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7866" w14:textId="77777777" w:rsidR="00F86A4A" w:rsidRPr="0087586E" w:rsidRDefault="00F86A4A" w:rsidP="00F86A4A">
      <w:pPr>
        <w:pStyle w:val="Text"/>
        <w:rPr>
          <w:rStyle w:val="PageNumber"/>
          <w:sz w:val="22"/>
          <w:szCs w:val="22"/>
        </w:rPr>
      </w:pPr>
      <w:r w:rsidRPr="0087586E">
        <w:rPr>
          <w:rStyle w:val="PageNumber"/>
          <w:sz w:val="22"/>
          <w:szCs w:val="22"/>
        </w:rPr>
        <w:t>#articleTitle</w:t>
      </w:r>
    </w:p>
    <w:p w14:paraId="202C0F6A" w14:textId="28DCA1C7" w:rsidR="00993FA6" w:rsidRDefault="00C012EA" w:rsidP="00993FA6">
      <w:pPr>
        <w:rPr>
          <w:b/>
          <w:bCs/>
        </w:rPr>
      </w:pPr>
      <w:r>
        <w:rPr>
          <w:b/>
          <w:bCs/>
        </w:rPr>
        <w:t xml:space="preserve">An Inscription from the Reign of Probus in the Isis Temple at </w:t>
      </w:r>
      <w:proofErr w:type="spellStart"/>
      <w:r>
        <w:rPr>
          <w:b/>
          <w:bCs/>
        </w:rPr>
        <w:t>Berenike</w:t>
      </w:r>
      <w:proofErr w:type="spellEnd"/>
    </w:p>
    <w:p w14:paraId="4F15ABE7" w14:textId="77777777" w:rsidR="00F86A4A" w:rsidRDefault="00F86A4A" w:rsidP="00F86A4A">
      <w:pPr>
        <w:pStyle w:val="Text"/>
        <w:rPr>
          <w:rStyle w:val="PageNumber"/>
          <w:sz w:val="22"/>
          <w:szCs w:val="22"/>
        </w:rPr>
      </w:pPr>
    </w:p>
    <w:p w14:paraId="4E055861" w14:textId="3188258F" w:rsidR="00F86A4A" w:rsidRPr="0087586E" w:rsidRDefault="00F86A4A" w:rsidP="00F86A4A">
      <w:pPr>
        <w:pStyle w:val="Text"/>
        <w:rPr>
          <w:rStyle w:val="PageNumber"/>
          <w:sz w:val="22"/>
          <w:szCs w:val="22"/>
        </w:rPr>
      </w:pPr>
      <w:r w:rsidRPr="0087586E">
        <w:rPr>
          <w:rStyle w:val="PageNumber"/>
          <w:sz w:val="22"/>
          <w:szCs w:val="22"/>
        </w:rPr>
        <w:t>#author</w:t>
      </w:r>
    </w:p>
    <w:p w14:paraId="47DB958F" w14:textId="64B9DEE1" w:rsidR="00F86A4A" w:rsidRDefault="00F86A4A" w:rsidP="00993FA6">
      <w:r>
        <w:t>Rodney Ast</w:t>
      </w:r>
    </w:p>
    <w:p w14:paraId="01C30449" w14:textId="77777777" w:rsidR="00F86A4A" w:rsidRDefault="00F86A4A" w:rsidP="00F86A4A">
      <w:pPr>
        <w:pStyle w:val="Text"/>
        <w:rPr>
          <w:rStyle w:val="PageNumber"/>
          <w:sz w:val="22"/>
          <w:szCs w:val="22"/>
          <w:lang w:val="fr-FR"/>
        </w:rPr>
      </w:pPr>
    </w:p>
    <w:p w14:paraId="676263FA" w14:textId="50BD1B09" w:rsidR="00F86A4A" w:rsidRPr="0087586E" w:rsidRDefault="00F86A4A" w:rsidP="00F86A4A">
      <w:pPr>
        <w:pStyle w:val="Text"/>
        <w:rPr>
          <w:rStyle w:val="PageNumber"/>
          <w:sz w:val="22"/>
          <w:szCs w:val="22"/>
          <w:lang w:val="fr-FR"/>
        </w:rPr>
      </w:pPr>
      <w:r w:rsidRPr="0087586E">
        <w:rPr>
          <w:rStyle w:val="PageNumber"/>
          <w:sz w:val="22"/>
          <w:szCs w:val="22"/>
          <w:lang w:val="fr-FR"/>
        </w:rPr>
        <w:t>#affiliation</w:t>
      </w:r>
    </w:p>
    <w:p w14:paraId="44A263C2" w14:textId="77777777" w:rsidR="00F86A4A" w:rsidRPr="0087586E" w:rsidRDefault="00F86A4A" w:rsidP="00F86A4A">
      <w:pPr>
        <w:pStyle w:val="Text"/>
        <w:rPr>
          <w:rStyle w:val="PageNumber"/>
          <w:rFonts w:ascii="IFAO-Grec Unicode" w:eastAsia="IFAO-Grec Unicode" w:hAnsi="IFAO-Grec Unicode" w:cs="IFAO-Grec Unicode"/>
          <w:sz w:val="22"/>
          <w:szCs w:val="22"/>
        </w:rPr>
      </w:pPr>
      <w:r w:rsidRPr="0087586E">
        <w:rPr>
          <w:rStyle w:val="PageNumber"/>
          <w:rFonts w:ascii="Times New Roman" w:hAnsi="Times New Roman"/>
          <w:sz w:val="22"/>
          <w:szCs w:val="22"/>
        </w:rPr>
        <w:t>Heidelberg University</w:t>
      </w:r>
      <w:r w:rsidRPr="0087586E">
        <w:rPr>
          <w:rStyle w:val="PageNumber"/>
          <w:rFonts w:ascii="IFAO-Grec Unicode" w:hAnsi="IFAO-Grec Unicode"/>
          <w:sz w:val="22"/>
          <w:szCs w:val="22"/>
          <w:lang w:val="fr-FR"/>
        </w:rPr>
        <w:t xml:space="preserve"> </w:t>
      </w:r>
    </w:p>
    <w:p w14:paraId="01846FAE" w14:textId="77777777" w:rsidR="00F86A4A" w:rsidRDefault="00F86A4A" w:rsidP="00F86A4A">
      <w:pPr>
        <w:pStyle w:val="Text"/>
        <w:rPr>
          <w:rStyle w:val="PageNumber"/>
          <w:sz w:val="22"/>
          <w:szCs w:val="22"/>
        </w:rPr>
      </w:pPr>
    </w:p>
    <w:p w14:paraId="24D9DF92" w14:textId="51B0AA5C" w:rsidR="00F86A4A" w:rsidRPr="0087586E" w:rsidRDefault="00F86A4A" w:rsidP="00F86A4A">
      <w:pPr>
        <w:pStyle w:val="Text"/>
        <w:rPr>
          <w:rStyle w:val="PageNumber"/>
          <w:sz w:val="22"/>
          <w:szCs w:val="22"/>
        </w:rPr>
      </w:pPr>
      <w:r w:rsidRPr="0087586E">
        <w:rPr>
          <w:rStyle w:val="PageNumber"/>
          <w:sz w:val="22"/>
          <w:szCs w:val="22"/>
        </w:rPr>
        <w:t>#email</w:t>
      </w:r>
    </w:p>
    <w:p w14:paraId="580C7C0B" w14:textId="7D95B88F" w:rsidR="00F86A4A" w:rsidRDefault="00000000" w:rsidP="00993FA6">
      <w:hyperlink r:id="rId8" w:history="1">
        <w:r w:rsidR="00F86A4A" w:rsidRPr="00345EAA">
          <w:rPr>
            <w:rStyle w:val="Hyperlink"/>
          </w:rPr>
          <w:t>ast@uni-heidelberg.de</w:t>
        </w:r>
      </w:hyperlink>
    </w:p>
    <w:p w14:paraId="19426874" w14:textId="77777777" w:rsidR="00F86A4A" w:rsidRDefault="00F86A4A" w:rsidP="00993FA6"/>
    <w:p w14:paraId="39A5B263" w14:textId="0FE938BE" w:rsidR="00F86A4A" w:rsidRDefault="00F86A4A" w:rsidP="00F86A4A">
      <w:pPr>
        <w:suppressAutoHyphens/>
      </w:pPr>
      <w:r w:rsidRPr="008A49EF">
        <w:t>#editionDDB</w:t>
      </w:r>
    </w:p>
    <w:p w14:paraId="0BFA9E31" w14:textId="77777777" w:rsidR="00F86A4A" w:rsidRPr="00F86A4A" w:rsidRDefault="00F86A4A" w:rsidP="00F86A4A">
      <w:pPr>
        <w:suppressAutoHyphens/>
      </w:pPr>
    </w:p>
    <w:p w14:paraId="24B955AF" w14:textId="77777777" w:rsidR="00F86A4A" w:rsidRDefault="00F86A4A" w:rsidP="00F86A4A">
      <w:pPr>
        <w:suppressAutoHyphens/>
      </w:pPr>
      <w:r>
        <w:t>#metadata</w:t>
      </w:r>
    </w:p>
    <w:p w14:paraId="42629721" w14:textId="77777777" w:rsidR="00F86A4A" w:rsidRDefault="00F86A4A" w:rsidP="00F86A4A">
      <w:pPr>
        <w:suppressAutoHyphens/>
      </w:pPr>
    </w:p>
    <w:tbl>
      <w:tblPr>
        <w:tblStyle w:val="TableGrid"/>
        <w:tblW w:w="0" w:type="auto"/>
        <w:tblLook w:val="04A0" w:firstRow="1" w:lastRow="0" w:firstColumn="1" w:lastColumn="0" w:noHBand="0" w:noVBand="1"/>
      </w:tblPr>
      <w:tblGrid>
        <w:gridCol w:w="4508"/>
        <w:gridCol w:w="4508"/>
      </w:tblGrid>
      <w:tr w:rsidR="00F86A4A" w14:paraId="34E99C85" w14:textId="77777777" w:rsidTr="00F86A4A">
        <w:tc>
          <w:tcPr>
            <w:tcW w:w="4508" w:type="dxa"/>
          </w:tcPr>
          <w:p w14:paraId="5B4C92D2" w14:textId="532AF0C5" w:rsidR="00F86A4A" w:rsidRDefault="00F86A4A" w:rsidP="00CB3DE1">
            <w:pPr>
              <w:suppressAutoHyphens/>
            </w:pPr>
            <w:r>
              <w:t>Find no.</w:t>
            </w:r>
          </w:p>
        </w:tc>
        <w:tc>
          <w:tcPr>
            <w:tcW w:w="4508" w:type="dxa"/>
          </w:tcPr>
          <w:p w14:paraId="23A96738" w14:textId="47CBFCA4" w:rsidR="00F86A4A" w:rsidRDefault="00F86A4A" w:rsidP="00F86A4A">
            <w:r w:rsidRPr="00803C75">
              <w:t>BE-15/18/22 111.999.001</w:t>
            </w:r>
            <w:r>
              <w:t xml:space="preserve"> </w:t>
            </w:r>
          </w:p>
        </w:tc>
      </w:tr>
      <w:tr w:rsidR="00F86A4A" w14:paraId="63464F40" w14:textId="77777777" w:rsidTr="00F86A4A">
        <w:tc>
          <w:tcPr>
            <w:tcW w:w="4508" w:type="dxa"/>
          </w:tcPr>
          <w:p w14:paraId="0126779B" w14:textId="711AFE25" w:rsidR="00F86A4A" w:rsidRDefault="00F86A4A" w:rsidP="00CB3DE1">
            <w:pPr>
              <w:suppressAutoHyphens/>
            </w:pPr>
            <w:r>
              <w:t>Inventory no.</w:t>
            </w:r>
          </w:p>
        </w:tc>
        <w:tc>
          <w:tcPr>
            <w:tcW w:w="4508" w:type="dxa"/>
          </w:tcPr>
          <w:p w14:paraId="3BC72E41" w14:textId="65B28F8A" w:rsidR="00F86A4A" w:rsidRDefault="00F86A4A" w:rsidP="00CB3DE1">
            <w:pPr>
              <w:suppressAutoHyphens/>
            </w:pPr>
            <w:r>
              <w:t>inv. 111016</w:t>
            </w:r>
          </w:p>
        </w:tc>
      </w:tr>
      <w:tr w:rsidR="00F86A4A" w14:paraId="30E82D01" w14:textId="77777777" w:rsidTr="00F86A4A">
        <w:tc>
          <w:tcPr>
            <w:tcW w:w="4508" w:type="dxa"/>
          </w:tcPr>
          <w:p w14:paraId="1B5B352D" w14:textId="77777777" w:rsidR="00F86A4A" w:rsidRDefault="00F86A4A" w:rsidP="00CB3DE1">
            <w:pPr>
              <w:suppressAutoHyphens/>
            </w:pPr>
            <w:r w:rsidRPr="002009C2">
              <w:t>Dimensions: height</w:t>
            </w:r>
          </w:p>
        </w:tc>
        <w:tc>
          <w:tcPr>
            <w:tcW w:w="4508" w:type="dxa"/>
          </w:tcPr>
          <w:p w14:paraId="1513BA8B" w14:textId="448FE88D" w:rsidR="00F86A4A" w:rsidRDefault="00F86A4A" w:rsidP="00CB3DE1">
            <w:pPr>
              <w:suppressAutoHyphens/>
            </w:pPr>
            <w:r>
              <w:rPr>
                <w:rStyle w:val="metadataelement-value"/>
              </w:rPr>
              <w:t>72 cm</w:t>
            </w:r>
          </w:p>
        </w:tc>
      </w:tr>
      <w:tr w:rsidR="00F86A4A" w14:paraId="78F2D8F7" w14:textId="77777777" w:rsidTr="00F86A4A">
        <w:tc>
          <w:tcPr>
            <w:tcW w:w="4508" w:type="dxa"/>
          </w:tcPr>
          <w:p w14:paraId="56135647" w14:textId="77777777" w:rsidR="00F86A4A" w:rsidRDefault="00F86A4A" w:rsidP="00CB3DE1">
            <w:pPr>
              <w:suppressAutoHyphens/>
            </w:pPr>
            <w:r w:rsidRPr="002009C2">
              <w:t xml:space="preserve">Dimensions: </w:t>
            </w:r>
            <w:r>
              <w:t>width</w:t>
            </w:r>
          </w:p>
        </w:tc>
        <w:tc>
          <w:tcPr>
            <w:tcW w:w="4508" w:type="dxa"/>
          </w:tcPr>
          <w:p w14:paraId="3EE1D69B" w14:textId="74844578" w:rsidR="00F86A4A" w:rsidRDefault="00F86A4A" w:rsidP="00CB3DE1">
            <w:pPr>
              <w:suppressAutoHyphens/>
            </w:pPr>
            <w:r>
              <w:rPr>
                <w:rStyle w:val="metadataelement-value"/>
              </w:rPr>
              <w:t>83 cm</w:t>
            </w:r>
          </w:p>
        </w:tc>
      </w:tr>
      <w:tr w:rsidR="00F86A4A" w14:paraId="6A806982" w14:textId="77777777" w:rsidTr="00F86A4A">
        <w:tc>
          <w:tcPr>
            <w:tcW w:w="4508" w:type="dxa"/>
          </w:tcPr>
          <w:p w14:paraId="563E8958" w14:textId="38186C70" w:rsidR="00F86A4A" w:rsidRDefault="00F86A4A" w:rsidP="00CB3DE1">
            <w:pPr>
              <w:suppressAutoHyphens/>
            </w:pPr>
            <w:r>
              <w:t>Dimensions: thickness</w:t>
            </w:r>
          </w:p>
        </w:tc>
        <w:tc>
          <w:tcPr>
            <w:tcW w:w="4508" w:type="dxa"/>
          </w:tcPr>
          <w:p w14:paraId="3827D0C2" w14:textId="416EC273" w:rsidR="00F86A4A" w:rsidRDefault="00F86A4A" w:rsidP="00CB3DE1">
            <w:pPr>
              <w:suppressAutoHyphens/>
            </w:pPr>
            <w:r>
              <w:t>9 cm</w:t>
            </w:r>
          </w:p>
        </w:tc>
      </w:tr>
      <w:tr w:rsidR="00F86A4A" w14:paraId="108E68AB" w14:textId="77777777" w:rsidTr="00F86A4A">
        <w:tc>
          <w:tcPr>
            <w:tcW w:w="4508" w:type="dxa"/>
          </w:tcPr>
          <w:p w14:paraId="177A61B6" w14:textId="77777777" w:rsidR="00F86A4A" w:rsidRDefault="00F86A4A" w:rsidP="00CB3DE1">
            <w:pPr>
              <w:suppressAutoHyphens/>
            </w:pPr>
            <w:r>
              <w:t>Material</w:t>
            </w:r>
          </w:p>
        </w:tc>
        <w:tc>
          <w:tcPr>
            <w:tcW w:w="4508" w:type="dxa"/>
          </w:tcPr>
          <w:p w14:paraId="4D033ED6" w14:textId="66BF395C" w:rsidR="00F86A4A" w:rsidRDefault="00F86A4A" w:rsidP="00CB3DE1">
            <w:pPr>
              <w:suppressAutoHyphens/>
            </w:pPr>
            <w:proofErr w:type="spellStart"/>
            <w:r>
              <w:t>anhydritic</w:t>
            </w:r>
            <w:proofErr w:type="spellEnd"/>
            <w:r>
              <w:t xml:space="preserve"> gypsum</w:t>
            </w:r>
          </w:p>
        </w:tc>
      </w:tr>
      <w:tr w:rsidR="00F86A4A" w14:paraId="0DC8F46C" w14:textId="77777777" w:rsidTr="00F86A4A">
        <w:tc>
          <w:tcPr>
            <w:tcW w:w="4508" w:type="dxa"/>
          </w:tcPr>
          <w:p w14:paraId="54ADDF6E" w14:textId="77777777" w:rsidR="00F86A4A" w:rsidRDefault="00F86A4A" w:rsidP="00CB3DE1">
            <w:pPr>
              <w:suppressAutoHyphens/>
            </w:pPr>
            <w:r>
              <w:t>Inventory Number</w:t>
            </w:r>
          </w:p>
        </w:tc>
        <w:tc>
          <w:tcPr>
            <w:tcW w:w="4508" w:type="dxa"/>
          </w:tcPr>
          <w:p w14:paraId="2D616E15" w14:textId="77777777" w:rsidR="00F86A4A" w:rsidRDefault="00F86A4A" w:rsidP="00CB3DE1">
            <w:pPr>
              <w:suppressAutoHyphens/>
            </w:pPr>
            <w:r w:rsidRPr="00BA0AB6">
              <w:rPr>
                <w:rStyle w:val="metadataelement-value"/>
              </w:rPr>
              <w:t>CBL 142.2</w:t>
            </w:r>
          </w:p>
        </w:tc>
      </w:tr>
      <w:tr w:rsidR="00F86A4A" w14:paraId="5E9B642E" w14:textId="77777777" w:rsidTr="00F86A4A">
        <w:tc>
          <w:tcPr>
            <w:tcW w:w="4508" w:type="dxa"/>
          </w:tcPr>
          <w:p w14:paraId="71559013" w14:textId="77777777" w:rsidR="00F86A4A" w:rsidRDefault="00F86A4A" w:rsidP="00CB3DE1">
            <w:pPr>
              <w:suppressAutoHyphens/>
            </w:pPr>
            <w:r>
              <w:t>Date</w:t>
            </w:r>
          </w:p>
        </w:tc>
        <w:tc>
          <w:tcPr>
            <w:tcW w:w="4508" w:type="dxa"/>
          </w:tcPr>
          <w:p w14:paraId="7A85159F" w14:textId="629A9AB3" w:rsidR="00F86A4A" w:rsidRPr="00BA0AB6" w:rsidRDefault="00F86A4A" w:rsidP="00CB3DE1">
            <w:pPr>
              <w:suppressAutoHyphens/>
              <w:rPr>
                <w:rStyle w:val="metadataelement-value"/>
              </w:rPr>
            </w:pPr>
            <w:r>
              <w:t>AD 276–281, November 17/</w:t>
            </w:r>
            <w:r w:rsidRPr="00BD4904">
              <w:t>18</w:t>
            </w:r>
          </w:p>
        </w:tc>
      </w:tr>
      <w:tr w:rsidR="00F86A4A" w14:paraId="6897C609" w14:textId="77777777" w:rsidTr="00F86A4A">
        <w:tc>
          <w:tcPr>
            <w:tcW w:w="4508" w:type="dxa"/>
          </w:tcPr>
          <w:p w14:paraId="5275346F" w14:textId="0B15669C" w:rsidR="00F86A4A" w:rsidRPr="00953FDC" w:rsidRDefault="00F86A4A" w:rsidP="00CB3DE1">
            <w:pPr>
              <w:suppressAutoHyphens/>
            </w:pPr>
            <w:r w:rsidRPr="00953FDC">
              <w:t>Inscription identified</w:t>
            </w:r>
          </w:p>
        </w:tc>
        <w:tc>
          <w:tcPr>
            <w:tcW w:w="4508" w:type="dxa"/>
          </w:tcPr>
          <w:p w14:paraId="75696D6C" w14:textId="4EEE6DE7" w:rsidR="00F86A4A" w:rsidRPr="00953FDC" w:rsidRDefault="00F86A4A" w:rsidP="00CB3DE1">
            <w:pPr>
              <w:suppressAutoHyphens/>
            </w:pPr>
            <w:r w:rsidRPr="00953FDC">
              <w:t>26.01.2022</w:t>
            </w:r>
          </w:p>
        </w:tc>
      </w:tr>
    </w:tbl>
    <w:p w14:paraId="0A5F1673" w14:textId="77777777" w:rsidR="00F86A4A" w:rsidRDefault="00F86A4A" w:rsidP="00F86A4A">
      <w:pPr>
        <w:pStyle w:val="Standard"/>
        <w:spacing w:after="0" w:line="240" w:lineRule="auto"/>
        <w:rPr>
          <w:rStyle w:val="metadataelement-value"/>
        </w:rPr>
      </w:pPr>
    </w:p>
    <w:p w14:paraId="7AF447D3" w14:textId="77777777" w:rsidR="00993FA6" w:rsidRPr="00BD4904" w:rsidRDefault="00993FA6" w:rsidP="00993FA6"/>
    <w:p w14:paraId="087464B0" w14:textId="44422168" w:rsidR="00993FA6" w:rsidRPr="00F86A4A" w:rsidRDefault="00F86A4A" w:rsidP="00993FA6">
      <w:r>
        <w:t>#</w:t>
      </w:r>
      <w:r w:rsidR="00573AEA">
        <w:t>i</w:t>
      </w:r>
      <w:r>
        <w:t>ntroduction</w:t>
      </w:r>
    </w:p>
    <w:p w14:paraId="41BCA912" w14:textId="2914BD1A" w:rsidR="0053683D" w:rsidRDefault="00823A30" w:rsidP="00823A30">
      <w:r>
        <w:t>The stele</w:t>
      </w:r>
      <w:r w:rsidR="00697A1C">
        <w:t xml:space="preserve"> </w:t>
      </w:r>
      <w:r>
        <w:t>published here</w:t>
      </w:r>
      <w:r w:rsidR="00697A1C">
        <w:t xml:space="preserve"> </w:t>
      </w:r>
      <w:r>
        <w:t>was first excavated</w:t>
      </w:r>
      <w:r w:rsidR="0053683D">
        <w:t xml:space="preserve">, albeit partially, </w:t>
      </w:r>
      <w:r>
        <w:t>in 2015</w:t>
      </w:r>
      <w:r w:rsidR="00661F1B">
        <w:t xml:space="preserve"> in the forecourt of the Isis temple at the port of </w:t>
      </w:r>
      <w:proofErr w:type="spellStart"/>
      <w:r w:rsidR="00661F1B">
        <w:t>Berenike</w:t>
      </w:r>
      <w:proofErr w:type="spellEnd"/>
      <w:r w:rsidR="00661F1B">
        <w:t xml:space="preserve"> on Egypt’s Red Sea coast.</w:t>
      </w:r>
      <w:r w:rsidR="00661F1B">
        <w:rPr>
          <w:rStyle w:val="FootnoteReference"/>
        </w:rPr>
        <w:footnoteReference w:id="1"/>
      </w:r>
      <w:r w:rsidR="00661F1B">
        <w:t xml:space="preserve"> It lay under a pile of </w:t>
      </w:r>
      <w:r w:rsidR="00E60191">
        <w:t xml:space="preserve">large </w:t>
      </w:r>
      <w:r w:rsidR="00661F1B">
        <w:t>stones</w:t>
      </w:r>
      <w:r w:rsidR="00E60191">
        <w:t xml:space="preserve"> heaped </w:t>
      </w:r>
      <w:r w:rsidR="00EC3087">
        <w:t>near the north</w:t>
      </w:r>
      <w:r w:rsidR="00E2427E">
        <w:t>west</w:t>
      </w:r>
      <w:r w:rsidR="00EC3087">
        <w:t xml:space="preserve"> corner of the temple courtyard</w:t>
      </w:r>
      <w:r w:rsidR="00661F1B">
        <w:t xml:space="preserve">. The inscribed side was not </w:t>
      </w:r>
      <w:r w:rsidR="00CD5C8A">
        <w:t xml:space="preserve">exposed </w:t>
      </w:r>
      <w:r w:rsidR="00661F1B">
        <w:t>until</w:t>
      </w:r>
      <w:r w:rsidR="003243F0">
        <w:t xml:space="preserve"> </w:t>
      </w:r>
      <w:r w:rsidR="00C43575">
        <w:t xml:space="preserve">January </w:t>
      </w:r>
      <w:r w:rsidR="003243F0">
        <w:t>2022</w:t>
      </w:r>
      <w:r w:rsidR="00E60191">
        <w:t xml:space="preserve"> after a large roof block </w:t>
      </w:r>
      <w:r w:rsidR="00E2427E">
        <w:t>had</w:t>
      </w:r>
      <w:r w:rsidR="00E60191">
        <w:t xml:space="preserve"> be</w:t>
      </w:r>
      <w:r w:rsidR="00E2427E">
        <w:t>en</w:t>
      </w:r>
      <w:r w:rsidR="00E60191">
        <w:t xml:space="preserve"> removed</w:t>
      </w:r>
      <w:r w:rsidR="003243F0">
        <w:t xml:space="preserve">. </w:t>
      </w:r>
    </w:p>
    <w:p w14:paraId="3DEA2B54" w14:textId="77777777" w:rsidR="0053683D" w:rsidRDefault="0053683D" w:rsidP="00823A30"/>
    <w:p w14:paraId="28AE580D" w14:textId="2DAEE88F" w:rsidR="003243F0" w:rsidRPr="0053683D" w:rsidRDefault="00697A1C" w:rsidP="00823A30">
      <w:r w:rsidRPr="006F3680">
        <w:t>The stele</w:t>
      </w:r>
      <w:r w:rsidR="006F3680" w:rsidRPr="006F3680">
        <w:t>, which</w:t>
      </w:r>
      <w:r w:rsidR="00180EF8" w:rsidRPr="006F3680">
        <w:t xml:space="preserve"> measur</w:t>
      </w:r>
      <w:r w:rsidR="006F3680" w:rsidRPr="006F3680">
        <w:t>es</w:t>
      </w:r>
      <w:r w:rsidR="00180EF8" w:rsidRPr="006F3680">
        <w:t xml:space="preserve"> 83 × 72 × 9 cm</w:t>
      </w:r>
      <w:r w:rsidR="006F3680" w:rsidRPr="006F3680">
        <w:t>,</w:t>
      </w:r>
      <w:r w:rsidRPr="006F3680">
        <w:t xml:space="preserve"> is made </w:t>
      </w:r>
      <w:r w:rsidR="00363A8E" w:rsidRPr="006F3680">
        <w:t>from</w:t>
      </w:r>
      <w:r w:rsidRPr="006F3680">
        <w:t xml:space="preserve"> the </w:t>
      </w:r>
      <w:proofErr w:type="spellStart"/>
      <w:r w:rsidRPr="006F3680">
        <w:t>anhydritic</w:t>
      </w:r>
      <w:proofErr w:type="spellEnd"/>
      <w:r w:rsidRPr="006F3680">
        <w:t xml:space="preserve"> gypsum</w:t>
      </w:r>
      <w:r w:rsidR="00363A8E" w:rsidRPr="006F3680">
        <w:t xml:space="preserve"> stone</w:t>
      </w:r>
      <w:r w:rsidRPr="006F3680">
        <w:t xml:space="preserve"> commonly </w:t>
      </w:r>
      <w:r w:rsidR="00E36497" w:rsidRPr="006F3680">
        <w:t>used</w:t>
      </w:r>
      <w:r w:rsidRPr="006F3680">
        <w:t xml:space="preserve"> in </w:t>
      </w:r>
      <w:proofErr w:type="spellStart"/>
      <w:r w:rsidRPr="006F3680">
        <w:t>Berenike</w:t>
      </w:r>
      <w:proofErr w:type="spellEnd"/>
      <w:r w:rsidR="006D3D58" w:rsidRPr="006F3680">
        <w:t xml:space="preserve"> </w:t>
      </w:r>
      <w:r w:rsidR="00E36497" w:rsidRPr="006F3680">
        <w:t>for buildings, statues, inscriptions</w:t>
      </w:r>
      <w:r w:rsidR="00AC7FB8" w:rsidRPr="006F3680">
        <w:t>,</w:t>
      </w:r>
      <w:r w:rsidR="00E36497" w:rsidRPr="006F3680">
        <w:t xml:space="preserve"> </w:t>
      </w:r>
      <w:r w:rsidR="00E2427E" w:rsidRPr="006F3680">
        <w:t>etc</w:t>
      </w:r>
      <w:r w:rsidR="00E36497" w:rsidRPr="006F3680">
        <w:t>.</w:t>
      </w:r>
      <w:r w:rsidR="00180EF8" w:rsidRPr="006F3680">
        <w:rPr>
          <w:rStyle w:val="FootnoteReference"/>
        </w:rPr>
        <w:footnoteReference w:id="2"/>
      </w:r>
      <w:r w:rsidR="00E36497" w:rsidRPr="006F3680">
        <w:t xml:space="preserve"> It</w:t>
      </w:r>
      <w:r w:rsidR="00FE751A" w:rsidRPr="006F3680">
        <w:t xml:space="preserve"> originated on </w:t>
      </w:r>
      <w:r w:rsidR="00CD5C8A" w:rsidRPr="006F3680">
        <w:t>Ras</w:t>
      </w:r>
      <w:r w:rsidR="00CD5C8A">
        <w:t xml:space="preserve"> Banas, the </w:t>
      </w:r>
      <w:r w:rsidR="00847654">
        <w:t>peninsula</w:t>
      </w:r>
      <w:r w:rsidR="00CD5C8A">
        <w:t xml:space="preserve"> th</w:t>
      </w:r>
      <w:r w:rsidR="00661F1B">
        <w:t>at</w:t>
      </w:r>
      <w:r w:rsidR="00CD5C8A">
        <w:t xml:space="preserve"> stretches north and east </w:t>
      </w:r>
      <w:r w:rsidR="00661F1B">
        <w:t>of the port</w:t>
      </w:r>
      <w:r w:rsidR="00847654">
        <w:t xml:space="preserve"> </w:t>
      </w:r>
      <w:r w:rsidR="00607AEF">
        <w:t>across from</w:t>
      </w:r>
      <w:r w:rsidR="00847654">
        <w:t xml:space="preserve"> Foul Bay</w:t>
      </w:r>
      <w:r>
        <w:t>.</w:t>
      </w:r>
      <w:r w:rsidR="006D3D58">
        <w:rPr>
          <w:rStyle w:val="FootnoteReference"/>
        </w:rPr>
        <w:footnoteReference w:id="3"/>
      </w:r>
      <w:r>
        <w:t xml:space="preserve"> </w:t>
      </w:r>
      <w:r w:rsidR="003243F0">
        <w:t xml:space="preserve">Broken </w:t>
      </w:r>
      <w:r w:rsidR="0053683D">
        <w:t>at the top and on the left side,</w:t>
      </w:r>
      <w:r w:rsidR="003243F0">
        <w:t xml:space="preserve"> </w:t>
      </w:r>
      <w:r w:rsidR="0053683D">
        <w:t xml:space="preserve">the </w:t>
      </w:r>
      <w:r w:rsidR="00B97195">
        <w:t>dedication</w:t>
      </w:r>
      <w:r w:rsidR="00CC1445">
        <w:t xml:space="preserve"> </w:t>
      </w:r>
      <w:r w:rsidR="00823A30">
        <w:t xml:space="preserve">comprises </w:t>
      </w:r>
      <w:r w:rsidR="003243F0">
        <w:t>at least five lines</w:t>
      </w:r>
      <w:r w:rsidR="0053683D">
        <w:t>. Clearly incised guidelines</w:t>
      </w:r>
      <w:r w:rsidR="009909AB">
        <w:t xml:space="preserve"> cut at intervals of about 3cm</w:t>
      </w:r>
      <w:r>
        <w:t xml:space="preserve"> </w:t>
      </w:r>
      <w:r w:rsidR="00E60191">
        <w:t xml:space="preserve">give </w:t>
      </w:r>
      <w:r w:rsidR="00130D0D">
        <w:t>it</w:t>
      </w:r>
      <w:r w:rsidR="00E60191">
        <w:t xml:space="preserve"> an unfinished appearance</w:t>
      </w:r>
      <w:r w:rsidR="003243F0">
        <w:t xml:space="preserve">. </w:t>
      </w:r>
      <w:r w:rsidR="006D3D58">
        <w:t xml:space="preserve">While such guidelines are apparent </w:t>
      </w:r>
      <w:r w:rsidR="00C022CD">
        <w:t>in</w:t>
      </w:r>
      <w:r w:rsidR="006D3D58">
        <w:t xml:space="preserve"> other inscriptions</w:t>
      </w:r>
      <w:r w:rsidR="00E36497">
        <w:t xml:space="preserve"> from the site</w:t>
      </w:r>
      <w:r w:rsidR="006D3D58">
        <w:t>,</w:t>
      </w:r>
      <w:r w:rsidR="006D3D58">
        <w:rPr>
          <w:rStyle w:val="FootnoteReference"/>
        </w:rPr>
        <w:footnoteReference w:id="4"/>
      </w:r>
      <w:r w:rsidR="006D3D58">
        <w:t xml:space="preserve"> these are much more pronounced. </w:t>
      </w:r>
      <w:r w:rsidR="003243F0">
        <w:t>The surface</w:t>
      </w:r>
      <w:r w:rsidR="0053683D">
        <w:t xml:space="preserve"> of the stone</w:t>
      </w:r>
      <w:r w:rsidR="003243F0">
        <w:t xml:space="preserve"> is now very damaged, </w:t>
      </w:r>
      <w:r>
        <w:t xml:space="preserve">and </w:t>
      </w:r>
      <w:r w:rsidR="00CE7070">
        <w:t>decipherment</w:t>
      </w:r>
      <w:r>
        <w:t xml:space="preserve"> is</w:t>
      </w:r>
      <w:r w:rsidR="0071336E">
        <w:t xml:space="preserve"> seriously</w:t>
      </w:r>
      <w:r w:rsidR="00CE7070">
        <w:t xml:space="preserve"> impeded by flaking</w:t>
      </w:r>
      <w:r w:rsidR="003C796F">
        <w:t xml:space="preserve">, but </w:t>
      </w:r>
      <w:r w:rsidR="003243F0">
        <w:t>it has been possible to read most of the extant text</w:t>
      </w:r>
      <w:r w:rsidR="00CC1445">
        <w:t xml:space="preserve"> with the help of Reflectance </w:t>
      </w:r>
      <w:r w:rsidR="00CC1445">
        <w:lastRenderedPageBreak/>
        <w:t>Transformation Imaging (RTI)</w:t>
      </w:r>
      <w:r w:rsidR="009D5F50">
        <w:t>, which was</w:t>
      </w:r>
      <w:r w:rsidR="00CC1445">
        <w:t xml:space="preserve"> </w:t>
      </w:r>
      <w:r w:rsidR="00CD5C8A">
        <w:t>performed</w:t>
      </w:r>
      <w:r w:rsidR="00CC1445">
        <w:t xml:space="preserve"> by </w:t>
      </w:r>
      <w:r w:rsidR="00CC1445" w:rsidRPr="006D3D58">
        <w:rPr>
          <w:rFonts w:ascii="IFAO-Grec Unicode" w:hAnsi="IFAO-Grec Unicode"/>
        </w:rPr>
        <w:t xml:space="preserve">Kamila </w:t>
      </w:r>
      <w:proofErr w:type="spellStart"/>
      <w:r w:rsidR="006D3D58" w:rsidRPr="006D3D58">
        <w:rPr>
          <w:rFonts w:ascii="IFAO-Grec Unicode" w:hAnsi="IFAO-Grec Unicode"/>
          <w:color w:val="000000"/>
        </w:rPr>
        <w:t>Braulińska</w:t>
      </w:r>
      <w:proofErr w:type="spellEnd"/>
      <w:r w:rsidR="003243F0">
        <w:t>.</w:t>
      </w:r>
      <w:r w:rsidR="00C022CD">
        <w:rPr>
          <w:rStyle w:val="FootnoteReference"/>
        </w:rPr>
        <w:footnoteReference w:id="5"/>
      </w:r>
      <w:r w:rsidR="00661F1B">
        <w:t xml:space="preserve"> A novelty of this </w:t>
      </w:r>
      <w:r w:rsidR="00E2427E">
        <w:t>edition</w:t>
      </w:r>
      <w:r w:rsidR="00661F1B">
        <w:t xml:space="preserve"> is that </w:t>
      </w:r>
      <w:r w:rsidR="00E2427E">
        <w:t>it</w:t>
      </w:r>
      <w:r w:rsidR="00661F1B">
        <w:t xml:space="preserve"> is accompanied by t</w:t>
      </w:r>
      <w:r w:rsidR="009D5F50">
        <w:t>his imaging</w:t>
      </w:r>
      <w:r w:rsidR="00661F1B">
        <w:t xml:space="preserve">, which is presented in </w:t>
      </w:r>
      <w:r w:rsidR="00953FDC">
        <w:t>an RTI</w:t>
      </w:r>
      <w:r w:rsidR="00661F1B">
        <w:t xml:space="preserve"> Web viewer.</w:t>
      </w:r>
    </w:p>
    <w:p w14:paraId="3433236D" w14:textId="77777777" w:rsidR="003243F0" w:rsidRDefault="003243F0" w:rsidP="00823A30"/>
    <w:p w14:paraId="5F534E3A" w14:textId="20D0BC10" w:rsidR="00823A30" w:rsidRPr="00E31B33" w:rsidRDefault="003243F0" w:rsidP="00823A30">
      <w:r>
        <w:t>The lettering of the inscription is</w:t>
      </w:r>
      <w:r w:rsidR="009909AB">
        <w:t xml:space="preserve"> </w:t>
      </w:r>
      <w:r w:rsidR="00363A8E">
        <w:t>largely</w:t>
      </w:r>
      <w:r>
        <w:t xml:space="preserve"> </w:t>
      </w:r>
      <w:r w:rsidR="006E1061">
        <w:t>bilinear</w:t>
      </w:r>
      <w:r w:rsidR="006F58E2">
        <w:t xml:space="preserve"> with </w:t>
      </w:r>
      <w:r w:rsidR="006E1061">
        <w:t>individual letter</w:t>
      </w:r>
      <w:r w:rsidR="006F58E2">
        <w:t xml:space="preserve">s </w:t>
      </w:r>
      <w:r w:rsidR="006E1061">
        <w:t>measur</w:t>
      </w:r>
      <w:r w:rsidR="006F58E2">
        <w:t>ing</w:t>
      </w:r>
      <w:r w:rsidR="006E1061">
        <w:t xml:space="preserve"> 2.6</w:t>
      </w:r>
      <w:r w:rsidR="00E36497">
        <w:t>–</w:t>
      </w:r>
      <w:r w:rsidR="006E1061">
        <w:t>3.0 cm in height</w:t>
      </w:r>
      <w:r w:rsidR="00CE7070">
        <w:t xml:space="preserve">. Omicron </w:t>
      </w:r>
      <w:r w:rsidR="007449BA">
        <w:t>poses an exception</w:t>
      </w:r>
      <w:r w:rsidR="00BC3F5E">
        <w:t>: I</w:t>
      </w:r>
      <w:r w:rsidR="007449BA">
        <w:t xml:space="preserve">n several places it is incised </w:t>
      </w:r>
      <w:r w:rsidR="00BC3F5E">
        <w:t>so</w:t>
      </w:r>
      <w:r w:rsidR="007449BA">
        <w:t xml:space="preserve"> small</w:t>
      </w:r>
      <w:r w:rsidR="007519AA">
        <w:t xml:space="preserve"> that it </w:t>
      </w:r>
      <w:r w:rsidR="007449BA">
        <w:t>resembl</w:t>
      </w:r>
      <w:r w:rsidR="007519AA">
        <w:t>es</w:t>
      </w:r>
      <w:r w:rsidR="00CC1445">
        <w:t xml:space="preserve"> an exaggerated medial dot (cf. the second omicron in </w:t>
      </w:r>
      <w:proofErr w:type="spellStart"/>
      <w:r w:rsidR="00CC1445" w:rsidRPr="00CC1445">
        <w:rPr>
          <w:rFonts w:ascii="IFAO-Grec Unicode" w:hAnsi="IFAO-Grec Unicode"/>
        </w:rPr>
        <w:t>Πρ</w:t>
      </w:r>
      <w:proofErr w:type="spellEnd"/>
      <w:r w:rsidR="00CC1445" w:rsidRPr="00CC1445">
        <w:rPr>
          <w:rFonts w:ascii="IFAO-Grec Unicode" w:hAnsi="IFAO-Grec Unicode"/>
          <w:lang w:val="x-none"/>
        </w:rPr>
        <w:t>όβ</w:t>
      </w:r>
      <w:proofErr w:type="spellStart"/>
      <w:r w:rsidR="00CC1445" w:rsidRPr="00CC1445">
        <w:rPr>
          <w:rFonts w:ascii="IFAO-Grec Unicode" w:hAnsi="IFAO-Grec Unicode"/>
          <w:lang w:val="x-none"/>
        </w:rPr>
        <w:t>ου</w:t>
      </w:r>
      <w:proofErr w:type="spellEnd"/>
      <w:r w:rsidR="00CC1445">
        <w:rPr>
          <w:rFonts w:ascii="IFAO-Grec Unicode" w:hAnsi="IFAO-Grec Unicode"/>
          <w:lang w:val="x-none"/>
        </w:rPr>
        <w:t xml:space="preserve"> </w:t>
      </w:r>
      <w:r w:rsidR="00DC76F5">
        <w:rPr>
          <w:rFonts w:ascii="IFAO-Grec Unicode" w:hAnsi="IFAO-Grec Unicode"/>
          <w:lang w:val="x-none"/>
        </w:rPr>
        <w:t xml:space="preserve">in line 3 and </w:t>
      </w:r>
      <w:r w:rsidR="00CC1445">
        <w:rPr>
          <w:rFonts w:ascii="IFAO-Grec Unicode" w:hAnsi="IFAO-Grec Unicode"/>
        </w:rPr>
        <w:t xml:space="preserve">that in </w:t>
      </w:r>
      <w:proofErr w:type="spellStart"/>
      <w:r w:rsidR="00CC1445">
        <w:rPr>
          <w:rFonts w:ascii="IFAO-Grec Unicode" w:hAnsi="IFAO-Grec Unicode"/>
        </w:rPr>
        <w:t>κυρ</w:t>
      </w:r>
      <w:r w:rsidR="00CC1445">
        <w:rPr>
          <w:rFonts w:ascii="IFAO-Grec Unicode" w:hAnsi="IFAO-Grec Unicode"/>
          <w:lang w:val="x-none"/>
        </w:rPr>
        <w:t>ίου</w:t>
      </w:r>
      <w:proofErr w:type="spellEnd"/>
      <w:r w:rsidR="00DC76F5">
        <w:rPr>
          <w:rFonts w:ascii="IFAO-Grec Unicode" w:hAnsi="IFAO-Grec Unicode"/>
          <w:lang w:val="x-none"/>
        </w:rPr>
        <w:t xml:space="preserve"> in line 4</w:t>
      </w:r>
      <w:r w:rsidR="00CC1445">
        <w:rPr>
          <w:lang w:val="x-none"/>
        </w:rPr>
        <w:t xml:space="preserve">). </w:t>
      </w:r>
      <w:r w:rsidR="00DC76F5">
        <w:t xml:space="preserve">Following </w:t>
      </w:r>
      <w:proofErr w:type="spellStart"/>
      <w:r w:rsidR="00DC76F5" w:rsidRPr="00E31B33">
        <w:rPr>
          <w:rFonts w:ascii="IFAO-Grec Unicode" w:hAnsi="IFAO-Grec Unicode"/>
        </w:rPr>
        <w:t>Σε</w:t>
      </w:r>
      <w:proofErr w:type="spellEnd"/>
      <w:r w:rsidR="00DC76F5" w:rsidRPr="00E31B33">
        <w:rPr>
          <w:rFonts w:ascii="IFAO-Grec Unicode" w:hAnsi="IFAO-Grec Unicode"/>
        </w:rPr>
        <w:t>βα</w:t>
      </w:r>
      <w:proofErr w:type="spellStart"/>
      <w:r w:rsidR="00DC76F5" w:rsidRPr="00E31B33">
        <w:rPr>
          <w:rFonts w:ascii="IFAO-Grec Unicode" w:hAnsi="IFAO-Grec Unicode"/>
        </w:rPr>
        <w:t>στο</w:t>
      </w:r>
      <w:proofErr w:type="spellEnd"/>
      <w:r w:rsidR="00DC76F5" w:rsidRPr="00E31B33">
        <w:rPr>
          <w:rFonts w:ascii="IFAO-Grec Unicode" w:hAnsi="IFAO-Grec Unicode"/>
          <w:lang w:val="x-none"/>
        </w:rPr>
        <w:t>ῦ</w:t>
      </w:r>
      <w:r w:rsidR="00DC76F5">
        <w:t xml:space="preserve"> at</w:t>
      </w:r>
      <w:r w:rsidR="00E31B33">
        <w:t xml:space="preserve"> the end of th</w:t>
      </w:r>
      <w:r w:rsidR="00E355A7">
        <w:t xml:space="preserve">e regnal </w:t>
      </w:r>
      <w:r w:rsidR="00E31B33">
        <w:t>formula</w:t>
      </w:r>
      <w:r w:rsidR="00E355A7">
        <w:t xml:space="preserve"> in line 4</w:t>
      </w:r>
      <w:r w:rsidR="00E31B33">
        <w:t xml:space="preserve"> is</w:t>
      </w:r>
      <w:r w:rsidR="009D5F50">
        <w:t xml:space="preserve"> a</w:t>
      </w:r>
      <w:r w:rsidR="00E31B33">
        <w:t xml:space="preserve"> punctuation</w:t>
      </w:r>
      <w:r w:rsidR="009D5F50">
        <w:t xml:space="preserve"> mark</w:t>
      </w:r>
      <w:r w:rsidR="00E31B33">
        <w:t xml:space="preserve"> </w:t>
      </w:r>
      <w:r w:rsidR="007449BA">
        <w:t>shaped like</w:t>
      </w:r>
      <w:r w:rsidR="00EB62CB">
        <w:t xml:space="preserve"> a</w:t>
      </w:r>
      <w:r w:rsidR="00365567">
        <w:t xml:space="preserve">n angular bracket </w:t>
      </w:r>
      <w:r w:rsidR="005C0AC4">
        <w:t>(&gt;)</w:t>
      </w:r>
      <w:r w:rsidR="00E31B33">
        <w:t xml:space="preserve">. </w:t>
      </w:r>
      <w:r w:rsidR="007449BA">
        <w:t>A l</w:t>
      </w:r>
      <w:r w:rsidR="00E31B33">
        <w:t>ar</w:t>
      </w:r>
      <w:r w:rsidR="005C0AC4">
        <w:t>g</w:t>
      </w:r>
      <w:r w:rsidR="00E31B33">
        <w:t>e ivy lea</w:t>
      </w:r>
      <w:r w:rsidR="007449BA">
        <w:t>f</w:t>
      </w:r>
      <w:r w:rsidR="00DC76F5">
        <w:t xml:space="preserve"> (</w:t>
      </w:r>
      <w:r w:rsidR="00E31B33" w:rsidRPr="00E31B33">
        <w:rPr>
          <w:i/>
          <w:iCs/>
        </w:rPr>
        <w:t>hedera</w:t>
      </w:r>
      <w:r w:rsidR="00DC76F5">
        <w:t>)</w:t>
      </w:r>
      <w:r w:rsidR="00E31B33">
        <w:t xml:space="preserve"> </w:t>
      </w:r>
      <w:r w:rsidR="007449BA">
        <w:t>is</w:t>
      </w:r>
      <w:r w:rsidR="00D3364C">
        <w:t xml:space="preserve"> visible</w:t>
      </w:r>
      <w:r w:rsidR="0071336E">
        <w:t xml:space="preserve"> </w:t>
      </w:r>
      <w:r w:rsidR="007449BA">
        <w:t>after</w:t>
      </w:r>
      <w:r w:rsidR="00D3364C">
        <w:t xml:space="preserve"> </w:t>
      </w:r>
      <w:r w:rsidR="00E31B33">
        <w:t xml:space="preserve">the month and day, </w:t>
      </w:r>
      <w:proofErr w:type="spellStart"/>
      <w:r w:rsidR="00E31B33" w:rsidRPr="00E31B33">
        <w:rPr>
          <w:rFonts w:ascii="IFAO-Grec Unicode" w:hAnsi="IFAO-Grec Unicode"/>
          <w:lang w:val="x-none"/>
        </w:rPr>
        <w:t>Ἁθὺ</w:t>
      </w:r>
      <w:r w:rsidR="00E31B33">
        <w:rPr>
          <w:rFonts w:ascii="IFAO-Grec Unicode" w:hAnsi="IFAO-Grec Unicode"/>
          <w:lang w:val="x-none"/>
        </w:rPr>
        <w:t>ρ</w:t>
      </w:r>
      <w:proofErr w:type="spellEnd"/>
      <w:r w:rsidR="00E31B33">
        <w:rPr>
          <w:rFonts w:ascii="IFAO-Grec Unicode" w:hAnsi="IFAO-Grec Unicode"/>
          <w:lang w:val="x-none"/>
        </w:rPr>
        <w:t xml:space="preserve"> κα</w:t>
      </w:r>
      <w:r w:rsidR="007519AA">
        <w:rPr>
          <w:rFonts w:ascii="IFAO-Grec Unicode" w:hAnsi="IFAO-Grec Unicode"/>
          <w:lang w:val="x-none"/>
        </w:rPr>
        <w:t>, in the last line</w:t>
      </w:r>
      <w:r w:rsidR="009D5F50">
        <w:rPr>
          <w:rFonts w:ascii="IFAO-Grec Unicode" w:hAnsi="IFAO-Grec Unicode"/>
          <w:lang w:val="x-none"/>
        </w:rPr>
        <w:t>.</w:t>
      </w:r>
      <w:r w:rsidR="007449BA">
        <w:rPr>
          <w:rFonts w:ascii="IFAO-Grec Unicode" w:hAnsi="IFAO-Grec Unicode"/>
          <w:lang w:val="x-none"/>
        </w:rPr>
        <w:t xml:space="preserve"> Whether another </w:t>
      </w:r>
      <w:r w:rsidR="007519AA">
        <w:rPr>
          <w:rFonts w:ascii="IFAO-Grec Unicode" w:hAnsi="IFAO-Grec Unicode"/>
          <w:lang w:val="x-none"/>
        </w:rPr>
        <w:t>leaf</w:t>
      </w:r>
      <w:r w:rsidR="007449BA">
        <w:rPr>
          <w:rFonts w:ascii="IFAO-Grec Unicode" w:hAnsi="IFAO-Grec Unicode"/>
          <w:lang w:val="x-none"/>
        </w:rPr>
        <w:t xml:space="preserve"> was inscribed </w:t>
      </w:r>
      <w:r w:rsidR="00BC3F5E">
        <w:rPr>
          <w:rFonts w:ascii="IFAO-Grec Unicode" w:hAnsi="IFAO-Grec Unicode"/>
          <w:lang w:val="x-none"/>
        </w:rPr>
        <w:t>before the month name i</w:t>
      </w:r>
      <w:r w:rsidR="007449BA">
        <w:rPr>
          <w:rFonts w:ascii="IFAO-Grec Unicode" w:hAnsi="IFAO-Grec Unicode"/>
          <w:lang w:val="x-none"/>
        </w:rPr>
        <w:t>s difficult to say (see comm. ad loc.).</w:t>
      </w:r>
    </w:p>
    <w:p w14:paraId="5E85956B" w14:textId="77777777" w:rsidR="00984F30" w:rsidRDefault="00984F30" w:rsidP="00993FA6"/>
    <w:p w14:paraId="63690199" w14:textId="37D212A7" w:rsidR="007449BA" w:rsidRDefault="007449BA" w:rsidP="007449BA">
      <w:r>
        <w:t xml:space="preserve">The physical format of the stele finds parallels in other third-century dedications from </w:t>
      </w:r>
      <w:proofErr w:type="spellStart"/>
      <w:r>
        <w:t>Berenike</w:t>
      </w:r>
      <w:proofErr w:type="spellEnd"/>
      <w:r>
        <w:t xml:space="preserve">. The stones </w:t>
      </w:r>
      <w:r w:rsidR="006F58E2">
        <w:t>are in the</w:t>
      </w:r>
      <w:r>
        <w:t xml:space="preserve"> shape of thin slabs</w:t>
      </w:r>
      <w:r w:rsidR="006F58E2">
        <w:t xml:space="preserve">, </w:t>
      </w:r>
      <w:r>
        <w:t>not the large dedication bases</w:t>
      </w:r>
      <w:r w:rsidR="006F58E2">
        <w:t xml:space="preserve"> </w:t>
      </w:r>
      <w:r w:rsidR="007519AA">
        <w:t xml:space="preserve">intended to support </w:t>
      </w:r>
      <w:r w:rsidR="006F58E2">
        <w:t>monumental statues</w:t>
      </w:r>
      <w:r>
        <w:t xml:space="preserve"> </w:t>
      </w:r>
      <w:r w:rsidR="007519AA">
        <w:t xml:space="preserve">that were </w:t>
      </w:r>
      <w:r>
        <w:t>typical of the first and early second centuries</w:t>
      </w:r>
      <w:r w:rsidR="00362901">
        <w:t>, although this type is also found albeit in smaller format</w:t>
      </w:r>
      <w:r>
        <w:t>.</w:t>
      </w:r>
      <w:r>
        <w:rPr>
          <w:rStyle w:val="FootnoteReference"/>
        </w:rPr>
        <w:footnoteReference w:id="6"/>
      </w:r>
      <w:r>
        <w:t xml:space="preserve"> The slabs are too slender to have been self-standing. They must have </w:t>
      </w:r>
      <w:r w:rsidR="00BC3F5E">
        <w:t xml:space="preserve">leaned </w:t>
      </w:r>
      <w:r>
        <w:t>against a wall or other stable</w:t>
      </w:r>
      <w:r w:rsidR="000F4F81">
        <w:t xml:space="preserve"> vertical</w:t>
      </w:r>
      <w:r>
        <w:t xml:space="preserve"> surface. Other examples of this format are</w:t>
      </w:r>
      <w:r w:rsidR="00BC3F5E">
        <w:t xml:space="preserve"> found in</w:t>
      </w:r>
      <w:r>
        <w:t xml:space="preserve"> two Greek dedicatory </w:t>
      </w:r>
      <w:proofErr w:type="spellStart"/>
      <w:r>
        <w:t>stela</w:t>
      </w:r>
      <w:r w:rsidR="00E2427E">
        <w:t>i</w:t>
      </w:r>
      <w:proofErr w:type="spellEnd"/>
      <w:r>
        <w:t xml:space="preserve">, one from the joint reign of Gallus and </w:t>
      </w:r>
      <w:proofErr w:type="spellStart"/>
      <w:r>
        <w:t>Volusianus</w:t>
      </w:r>
      <w:proofErr w:type="spellEnd"/>
      <w:r>
        <w:t xml:space="preserve"> (</w:t>
      </w:r>
      <w:r w:rsidR="009E2DE4">
        <w:t xml:space="preserve">April </w:t>
      </w:r>
      <w:r>
        <w:t>17</w:t>
      </w:r>
      <w:r w:rsidR="009E2DE4">
        <w:t xml:space="preserve">, </w:t>
      </w:r>
      <w:r>
        <w:t xml:space="preserve">253), 58 </w:t>
      </w:r>
      <w:r w:rsidR="009E2DE4">
        <w:t>×</w:t>
      </w:r>
      <w:r>
        <w:t xml:space="preserve"> 74 </w:t>
      </w:r>
      <w:r w:rsidR="009E2DE4">
        <w:t>×</w:t>
      </w:r>
      <w:r>
        <w:t xml:space="preserve"> 20</w:t>
      </w:r>
      <w:r w:rsidR="009909AB">
        <w:t xml:space="preserve"> cm</w:t>
      </w:r>
      <w:r w:rsidR="009909AB" w:rsidRPr="009E2DE4">
        <w:t>,</w:t>
      </w:r>
      <w:r>
        <w:t xml:space="preserve"> and another from the reign of Septimius Severus (</w:t>
      </w:r>
      <w:r w:rsidR="009E2DE4">
        <w:t xml:space="preserve">September 7, </w:t>
      </w:r>
      <w:r>
        <w:t xml:space="preserve">210), 70 </w:t>
      </w:r>
      <w:r w:rsidR="009E2DE4">
        <w:t>×</w:t>
      </w:r>
      <w:r>
        <w:t xml:space="preserve"> 73 </w:t>
      </w:r>
      <w:r w:rsidR="009E2DE4">
        <w:t>×</w:t>
      </w:r>
      <w:r>
        <w:t xml:space="preserve"> 13</w:t>
      </w:r>
      <w:r w:rsidR="00180EF8">
        <w:t xml:space="preserve"> cm</w:t>
      </w:r>
      <w:r>
        <w:t>.</w:t>
      </w:r>
      <w:r>
        <w:rPr>
          <w:rStyle w:val="FootnoteReference"/>
        </w:rPr>
        <w:footnoteReference w:id="7"/>
      </w:r>
      <w:r>
        <w:t xml:space="preserve"> The Brahmi Sanskrit-Greek stele from </w:t>
      </w:r>
      <w:r w:rsidR="00BC3F5E">
        <w:t>sixth year</w:t>
      </w:r>
      <w:r>
        <w:t xml:space="preserve"> of Philip the Arab (</w:t>
      </w:r>
      <w:r w:rsidR="009E2DE4">
        <w:t xml:space="preserve">September 9, </w:t>
      </w:r>
      <w:r>
        <w:t xml:space="preserve">248), </w:t>
      </w:r>
      <w:r w:rsidRPr="00803C75">
        <w:t xml:space="preserve">55 </w:t>
      </w:r>
      <w:r w:rsidR="00180EF8">
        <w:t>×</w:t>
      </w:r>
      <w:r w:rsidRPr="00803C75">
        <w:t xml:space="preserve"> 83 </w:t>
      </w:r>
      <w:r w:rsidR="00180EF8">
        <w:t>×</w:t>
      </w:r>
      <w:r w:rsidRPr="00803C75">
        <w:t xml:space="preserve"> 17.5</w:t>
      </w:r>
      <w:r w:rsidR="00180EF8">
        <w:t xml:space="preserve"> cm</w:t>
      </w:r>
      <w:r w:rsidR="000A651A">
        <w:t>,</w:t>
      </w:r>
      <w:r>
        <w:t xml:space="preserve"> is also of the slab type.</w:t>
      </w:r>
      <w:r>
        <w:rPr>
          <w:rStyle w:val="FootnoteReference"/>
        </w:rPr>
        <w:footnoteReference w:id="8"/>
      </w:r>
      <w:r>
        <w:t xml:space="preserve"> </w:t>
      </w:r>
      <w:r w:rsidR="00036F65">
        <w:t>Like</w:t>
      </w:r>
      <w:r>
        <w:t xml:space="preserve"> the inscription edited here, the Sanskrit stele features a large blank space at the bottom that might have served as a backdrop to a votive offering or </w:t>
      </w:r>
      <w:r w:rsidR="006F58E2">
        <w:t>have been</w:t>
      </w:r>
      <w:r>
        <w:t xml:space="preserve"> decorated in paint or some other medium that has s</w:t>
      </w:r>
      <w:r w:rsidR="00DE17C7">
        <w:t>ince</w:t>
      </w:r>
      <w:r>
        <w:t xml:space="preserve"> faded from view. </w:t>
      </w:r>
    </w:p>
    <w:p w14:paraId="3B450F4E" w14:textId="77777777" w:rsidR="007449BA" w:rsidRDefault="007449BA" w:rsidP="00993FA6"/>
    <w:p w14:paraId="0827EEA0" w14:textId="77777777" w:rsidR="000B1DE6" w:rsidRDefault="0068326A" w:rsidP="00993FA6">
      <w:r>
        <w:t xml:space="preserve">The present </w:t>
      </w:r>
      <w:r w:rsidR="00971357">
        <w:t xml:space="preserve">inscription is a private dedication </w:t>
      </w:r>
      <w:r w:rsidR="000F4F81">
        <w:t>of</w:t>
      </w:r>
      <w:r w:rsidR="00971357">
        <w:t xml:space="preserve"> </w:t>
      </w:r>
      <w:r w:rsidR="000A651A">
        <w:t>an individual</w:t>
      </w:r>
      <w:r w:rsidR="00971357">
        <w:t xml:space="preserve"> whose</w:t>
      </w:r>
      <w:r w:rsidR="005D1FD2">
        <w:t xml:space="preserve"> name</w:t>
      </w:r>
      <w:r w:rsidR="00971357">
        <w:t xml:space="preserve"> is no</w:t>
      </w:r>
      <w:r w:rsidR="005D1FD2">
        <w:t xml:space="preserve"> longer</w:t>
      </w:r>
      <w:r w:rsidR="00971357">
        <w:t xml:space="preserve"> preserved. </w:t>
      </w:r>
      <w:r w:rsidR="005D1FD2">
        <w:t>All that remains of the part identifying this person are the letters -</w:t>
      </w:r>
      <w:proofErr w:type="spellStart"/>
      <w:r w:rsidR="005D1FD2">
        <w:t>ων</w:t>
      </w:r>
      <w:proofErr w:type="spellEnd"/>
      <w:r w:rsidR="005D1FD2">
        <w:t xml:space="preserve"> </w:t>
      </w:r>
      <w:r w:rsidR="006527EA">
        <w:t>at the beginning of</w:t>
      </w:r>
      <w:r w:rsidR="005D1FD2">
        <w:t xml:space="preserve"> line 2. The dedicatee’s name is also no longer extant</w:t>
      </w:r>
      <w:r w:rsidR="00E355A7">
        <w:t xml:space="preserve">, </w:t>
      </w:r>
      <w:r w:rsidR="005D1FD2">
        <w:t>but</w:t>
      </w:r>
      <w:r w:rsidR="00E355A7">
        <w:t xml:space="preserve"> it</w:t>
      </w:r>
      <w:r w:rsidR="005D1FD2">
        <w:t xml:space="preserve"> </w:t>
      </w:r>
      <w:r w:rsidR="001C398D">
        <w:t xml:space="preserve">was likely either </w:t>
      </w:r>
      <w:r w:rsidR="005D1FD2">
        <w:t>Isis</w:t>
      </w:r>
      <w:r w:rsidR="001C398D">
        <w:t xml:space="preserve"> or </w:t>
      </w:r>
      <w:proofErr w:type="spellStart"/>
      <w:r w:rsidR="001C398D">
        <w:t>Sarapis</w:t>
      </w:r>
      <w:proofErr w:type="spellEnd"/>
      <w:r w:rsidR="001C398D">
        <w:t>, the two</w:t>
      </w:r>
      <w:r w:rsidR="00D46C7C">
        <w:t xml:space="preserve"> most common</w:t>
      </w:r>
      <w:r w:rsidR="009909AB">
        <w:t xml:space="preserve"> recipients of dedications</w:t>
      </w:r>
      <w:r w:rsidR="00D46C7C">
        <w:t xml:space="preserve"> in the temple</w:t>
      </w:r>
      <w:r w:rsidR="005D1FD2">
        <w:t xml:space="preserve">. </w:t>
      </w:r>
      <w:r w:rsidR="00447B3D">
        <w:t>The</w:t>
      </w:r>
      <w:r w:rsidR="006527EA">
        <w:t xml:space="preserve"> dedicant</w:t>
      </w:r>
      <w:r w:rsidR="005D1FD2">
        <w:t xml:space="preserve"> </w:t>
      </w:r>
      <w:r w:rsidR="00081A30">
        <w:t xml:space="preserve">made the offering </w:t>
      </w:r>
      <w:r w:rsidR="00447B3D">
        <w:t>as an expression of piety (</w:t>
      </w:r>
      <w:r w:rsidR="00447B3D">
        <w:rPr>
          <w:rFonts w:ascii="IFAO-Grec Unicode" w:hAnsi="IFAO-Grec Unicode"/>
        </w:rPr>
        <w:t>ε</w:t>
      </w:r>
      <w:proofErr w:type="spellStart"/>
      <w:r w:rsidR="00447B3D">
        <w:rPr>
          <w:rFonts w:ascii="IFAO-Grec Unicode" w:hAnsi="IFAO-Grec Unicode"/>
          <w:lang w:val="x-none"/>
        </w:rPr>
        <w:t>ὐσε</w:t>
      </w:r>
      <w:proofErr w:type="spellEnd"/>
      <w:r w:rsidR="00447B3D">
        <w:rPr>
          <w:rFonts w:ascii="IFAO-Grec Unicode" w:hAnsi="IFAO-Grec Unicode"/>
          <w:lang w:val="x-none"/>
        </w:rPr>
        <w:t>β</w:t>
      </w:r>
      <w:proofErr w:type="spellStart"/>
      <w:r w:rsidR="00447B3D">
        <w:rPr>
          <w:rFonts w:ascii="IFAO-Grec Unicode" w:hAnsi="IFAO-Grec Unicode"/>
          <w:lang w:val="x-none"/>
        </w:rPr>
        <w:t>εί</w:t>
      </w:r>
      <w:proofErr w:type="spellEnd"/>
      <w:r w:rsidR="00447B3D">
        <w:rPr>
          <w:rFonts w:ascii="IFAO-Grec Unicode" w:hAnsi="IFAO-Grec Unicode"/>
          <w:lang w:val="x-none"/>
        </w:rPr>
        <w:t xml:space="preserve">ας </w:t>
      </w:r>
      <w:proofErr w:type="spellStart"/>
      <w:r w:rsidR="00447B3D">
        <w:rPr>
          <w:rFonts w:ascii="IFAO-Grec Unicode" w:hAnsi="IFAO-Grec Unicode"/>
          <w:lang w:val="x-none"/>
        </w:rPr>
        <w:t>χάριν</w:t>
      </w:r>
      <w:proofErr w:type="spellEnd"/>
      <w:r w:rsidR="00447B3D">
        <w:rPr>
          <w:rFonts w:ascii="IFAO-Grec Unicode" w:hAnsi="IFAO-Grec Unicode"/>
          <w:lang w:val="x-none"/>
        </w:rPr>
        <w:t xml:space="preserve">, ll. </w:t>
      </w:r>
      <w:r w:rsidR="00447B3D">
        <w:rPr>
          <w:rFonts w:ascii="IFAO-Grec Unicode" w:hAnsi="IFAO-Grec Unicode"/>
        </w:rPr>
        <w:t>2–3)</w:t>
      </w:r>
      <w:r w:rsidR="00447B3D">
        <w:t>.</w:t>
      </w:r>
      <w:r w:rsidR="005D1FD2">
        <w:rPr>
          <w:rFonts w:ascii="IFAO-Grec Unicode" w:hAnsi="IFAO-Grec Unicode"/>
        </w:rPr>
        <w:t xml:space="preserve"> </w:t>
      </w:r>
      <w:r w:rsidR="001C398D">
        <w:rPr>
          <w:rFonts w:ascii="IFAO-Grec Unicode" w:hAnsi="IFAO-Grec Unicode"/>
          <w:lang w:val="x-none"/>
        </w:rPr>
        <w:t xml:space="preserve">The same reason is given for two other dedications from </w:t>
      </w:r>
      <w:proofErr w:type="spellStart"/>
      <w:r w:rsidR="001C398D">
        <w:rPr>
          <w:rFonts w:ascii="IFAO-Grec Unicode" w:hAnsi="IFAO-Grec Unicode"/>
          <w:lang w:val="x-none"/>
        </w:rPr>
        <w:t>Berenike</w:t>
      </w:r>
      <w:proofErr w:type="spellEnd"/>
      <w:r w:rsidR="001C398D">
        <w:rPr>
          <w:rFonts w:ascii="IFAO-Grec Unicode" w:hAnsi="IFAO-Grec Unicode"/>
          <w:lang w:val="x-none"/>
        </w:rPr>
        <w:t xml:space="preserve">, one for Isis and one for </w:t>
      </w:r>
      <w:proofErr w:type="spellStart"/>
      <w:r w:rsidR="001C398D">
        <w:rPr>
          <w:rFonts w:ascii="IFAO-Grec Unicode" w:hAnsi="IFAO-Grec Unicode"/>
          <w:lang w:val="x-none"/>
        </w:rPr>
        <w:t>Sarapis</w:t>
      </w:r>
      <w:proofErr w:type="spellEnd"/>
      <w:r w:rsidR="001C398D">
        <w:t>.</w:t>
      </w:r>
      <w:r w:rsidR="001C398D">
        <w:rPr>
          <w:rStyle w:val="FootnoteReference"/>
        </w:rPr>
        <w:footnoteReference w:id="9"/>
      </w:r>
      <w:r w:rsidR="001C398D">
        <w:t xml:space="preserve"> </w:t>
      </w:r>
    </w:p>
    <w:p w14:paraId="5C996399" w14:textId="77777777" w:rsidR="000B1DE6" w:rsidRDefault="000B1DE6" w:rsidP="00993FA6"/>
    <w:p w14:paraId="206F92E0" w14:textId="6230C9D8" w:rsidR="00F030D9" w:rsidRPr="00F46948" w:rsidRDefault="009D5F50" w:rsidP="00993FA6">
      <w:pPr>
        <w:rPr>
          <w:rFonts w:ascii="IFAO-Grec Unicode" w:hAnsi="IFAO-Grec Unicode"/>
        </w:rPr>
      </w:pPr>
      <w:r>
        <w:rPr>
          <w:rFonts w:ascii="IFAO-Grec Unicode" w:hAnsi="IFAO-Grec Unicode"/>
        </w:rPr>
        <w:t>All that</w:t>
      </w:r>
      <w:r w:rsidR="00E2427E">
        <w:rPr>
          <w:rFonts w:ascii="IFAO-Grec Unicode" w:hAnsi="IFAO-Grec Unicode"/>
        </w:rPr>
        <w:t xml:space="preserve"> </w:t>
      </w:r>
      <w:r w:rsidR="00362901">
        <w:rPr>
          <w:rFonts w:ascii="IFAO-Grec Unicode" w:hAnsi="IFAO-Grec Unicode"/>
        </w:rPr>
        <w:t xml:space="preserve">can </w:t>
      </w:r>
      <w:r w:rsidR="00E2427E">
        <w:rPr>
          <w:rFonts w:ascii="IFAO-Grec Unicode" w:hAnsi="IFAO-Grec Unicode"/>
        </w:rPr>
        <w:t>clearly</w:t>
      </w:r>
      <w:r>
        <w:rPr>
          <w:rFonts w:ascii="IFAO-Grec Unicode" w:hAnsi="IFAO-Grec Unicode"/>
        </w:rPr>
        <w:t xml:space="preserve"> </w:t>
      </w:r>
      <w:r w:rsidR="00F34593">
        <w:rPr>
          <w:rFonts w:ascii="IFAO-Grec Unicode" w:hAnsi="IFAO-Grec Unicode"/>
        </w:rPr>
        <w:t xml:space="preserve">be associated with a </w:t>
      </w:r>
      <w:r>
        <w:rPr>
          <w:rFonts w:ascii="IFAO-Grec Unicode" w:hAnsi="IFAO-Grec Unicode"/>
        </w:rPr>
        <w:t>date, besides the month and day, is</w:t>
      </w:r>
      <w:r w:rsidR="00405C0F">
        <w:rPr>
          <w:rFonts w:ascii="IFAO-Grec Unicode" w:hAnsi="IFAO-Grec Unicode"/>
        </w:rPr>
        <w:t xml:space="preserve"> t</w:t>
      </w:r>
      <w:r w:rsidR="007F3172">
        <w:rPr>
          <w:rFonts w:ascii="IFAO-Grec Unicode" w:hAnsi="IFAO-Grec Unicode"/>
        </w:rPr>
        <w:t xml:space="preserve">he </w:t>
      </w:r>
      <w:r w:rsidR="00F34593">
        <w:rPr>
          <w:rFonts w:ascii="IFAO-Grec Unicode" w:hAnsi="IFAO-Grec Unicode"/>
        </w:rPr>
        <w:t>expression</w:t>
      </w:r>
      <w:r w:rsidR="00405C0F">
        <w:rPr>
          <w:rFonts w:ascii="IFAO-Grec Unicode" w:hAnsi="IFAO-Grec Unicode"/>
        </w:rPr>
        <w:t xml:space="preserve"> </w:t>
      </w:r>
      <w:proofErr w:type="spellStart"/>
      <w:r w:rsidR="00E355A7" w:rsidRPr="005C0AC4">
        <w:rPr>
          <w:rFonts w:ascii="IFAO-Grec Unicode" w:hAnsi="IFAO-Grec Unicode"/>
        </w:rPr>
        <w:t>Πρ</w:t>
      </w:r>
      <w:proofErr w:type="spellEnd"/>
      <w:r w:rsidR="00E355A7" w:rsidRPr="005C0AC4">
        <w:rPr>
          <w:rFonts w:ascii="IFAO-Grec Unicode" w:hAnsi="IFAO-Grec Unicode"/>
          <w:lang w:val="x-none"/>
        </w:rPr>
        <w:t>όβ</w:t>
      </w:r>
      <w:proofErr w:type="spellStart"/>
      <w:r w:rsidR="00E355A7" w:rsidRPr="005C0AC4">
        <w:rPr>
          <w:rFonts w:ascii="IFAO-Grec Unicode" w:hAnsi="IFAO-Grec Unicode"/>
          <w:lang w:val="x-none"/>
        </w:rPr>
        <w:t>ο</w:t>
      </w:r>
      <w:r w:rsidR="00F030D9">
        <w:rPr>
          <w:rFonts w:ascii="IFAO-Grec Unicode" w:hAnsi="IFAO-Grec Unicode"/>
          <w:lang w:val="x-none"/>
        </w:rPr>
        <w:t>υ</w:t>
      </w:r>
      <w:proofErr w:type="spellEnd"/>
      <w:r w:rsidR="00F030D9">
        <w:rPr>
          <w:rFonts w:ascii="IFAO-Grec Unicode" w:hAnsi="IFAO-Grec Unicode"/>
          <w:lang w:val="x-none"/>
        </w:rPr>
        <w:t xml:space="preserve"> </w:t>
      </w:r>
      <w:proofErr w:type="spellStart"/>
      <w:r w:rsidR="00F030D9">
        <w:rPr>
          <w:rFonts w:ascii="IFAO-Grec Unicode" w:hAnsi="IFAO-Grec Unicode"/>
          <w:lang w:val="x-none"/>
        </w:rPr>
        <w:t>τοῦ</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κ</w:t>
      </w:r>
      <w:r w:rsidR="00F030D9">
        <w:rPr>
          <w:rFonts w:ascii="IFAO-Grec Unicode" w:hAnsi="IFAO-Grec Unicode"/>
          <w:lang w:val="x-none"/>
        </w:rPr>
        <w:t>υρί</w:t>
      </w:r>
      <w:r w:rsidR="00E355A7" w:rsidRPr="005C0AC4">
        <w:rPr>
          <w:rFonts w:ascii="IFAO-Grec Unicode" w:hAnsi="IFAO-Grec Unicode"/>
          <w:lang w:val="x-none"/>
        </w:rPr>
        <w:t>ο</w:t>
      </w:r>
      <w:r w:rsidR="00F030D9">
        <w:rPr>
          <w:rFonts w:ascii="IFAO-Grec Unicode" w:hAnsi="IFAO-Grec Unicode"/>
          <w:lang w:val="x-none"/>
        </w:rPr>
        <w:t>υ</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ἡμῶν</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Σε</w:t>
      </w:r>
      <w:proofErr w:type="spellEnd"/>
      <w:r w:rsidR="00E355A7" w:rsidRPr="005C0AC4">
        <w:rPr>
          <w:rFonts w:ascii="IFAO-Grec Unicode" w:hAnsi="IFAO-Grec Unicode"/>
          <w:lang w:val="x-none"/>
        </w:rPr>
        <w:t>βα</w:t>
      </w:r>
      <w:proofErr w:type="spellStart"/>
      <w:r w:rsidR="00E355A7" w:rsidRPr="005C0AC4">
        <w:rPr>
          <w:rFonts w:ascii="IFAO-Grec Unicode" w:hAnsi="IFAO-Grec Unicode"/>
          <w:lang w:val="x-none"/>
        </w:rPr>
        <w:t>στ</w:t>
      </w:r>
      <w:r w:rsidR="00F030D9">
        <w:rPr>
          <w:rFonts w:ascii="IFAO-Grec Unicode" w:hAnsi="IFAO-Grec Unicode"/>
          <w:lang w:val="x-none"/>
        </w:rPr>
        <w:t>οῦ</w:t>
      </w:r>
      <w:proofErr w:type="spellEnd"/>
      <w:r w:rsidR="00F030D9">
        <w:rPr>
          <w:rFonts w:ascii="IFAO-Grec Unicode" w:hAnsi="IFAO-Grec Unicode"/>
          <w:lang w:val="x-none"/>
        </w:rPr>
        <w:t xml:space="preserve"> in line 3</w:t>
      </w:r>
      <w:r w:rsidR="00F030D9">
        <w:rPr>
          <w:rFonts w:ascii="IFAO-Grec Unicode" w:hAnsi="IFAO-Grec Unicode"/>
        </w:rPr>
        <w:t>–4</w:t>
      </w:r>
      <w:r w:rsidR="004552D7">
        <w:t>. This formulation is</w:t>
      </w:r>
      <w:r w:rsidR="00362901">
        <w:t xml:space="preserve"> unprecedented in papyri and inscriptions and is</w:t>
      </w:r>
      <w:r w:rsidR="004552D7">
        <w:t xml:space="preserve"> not</w:t>
      </w:r>
      <w:r w:rsidR="00405C0F">
        <w:t xml:space="preserve"> </w:t>
      </w:r>
      <w:r w:rsidR="00362901">
        <w:t xml:space="preserve">part of any </w:t>
      </w:r>
      <w:r w:rsidR="00F34593">
        <w:t>standard regnal clause. The</w:t>
      </w:r>
      <w:r w:rsidR="00D46C7C">
        <w:t xml:space="preserve"> closest</w:t>
      </w:r>
      <w:r w:rsidR="00F34593">
        <w:t xml:space="preserve"> regnal formula </w:t>
      </w:r>
      <w:r w:rsidR="00362901">
        <w:t>found is</w:t>
      </w:r>
      <w:r w:rsidR="00D46C7C">
        <w:t xml:space="preserve"> the </w:t>
      </w:r>
      <w:r w:rsidR="00174E96">
        <w:t>common</w:t>
      </w:r>
      <w:r w:rsidR="00E355A7">
        <w:t xml:space="preserve"> </w:t>
      </w:r>
      <w:r w:rsidR="00E355A7" w:rsidRPr="005C0AC4">
        <w:rPr>
          <w:rFonts w:ascii="IFAO-Grec Unicode" w:hAnsi="IFAO-Grec Unicode"/>
          <w:lang w:val="x-none"/>
        </w:rPr>
        <w:t xml:space="preserve">ὁ </w:t>
      </w:r>
      <w:proofErr w:type="spellStart"/>
      <w:r w:rsidR="00E355A7" w:rsidRPr="005C0AC4">
        <w:rPr>
          <w:rFonts w:ascii="IFAO-Grec Unicode" w:hAnsi="IFAO-Grec Unicode"/>
          <w:lang w:val="x-none"/>
        </w:rPr>
        <w:t>κύριος</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ἡμῶν</w:t>
      </w:r>
      <w:proofErr w:type="spellEnd"/>
      <w:r w:rsidR="00E355A7">
        <w:rPr>
          <w:rFonts w:ascii="IFAO-Grec Unicode" w:hAnsi="IFAO-Grec Unicode"/>
          <w:lang w:val="x-none"/>
        </w:rPr>
        <w:t xml:space="preserve"> </w:t>
      </w:r>
      <w:proofErr w:type="spellStart"/>
      <w:r w:rsidR="00E355A7" w:rsidRPr="005C0AC4">
        <w:rPr>
          <w:rFonts w:ascii="IFAO-Grec Unicode" w:hAnsi="IFAO-Grec Unicode"/>
        </w:rPr>
        <w:t>Πρ</w:t>
      </w:r>
      <w:proofErr w:type="spellEnd"/>
      <w:r w:rsidR="00E355A7" w:rsidRPr="005C0AC4">
        <w:rPr>
          <w:rFonts w:ascii="IFAO-Grec Unicode" w:hAnsi="IFAO-Grec Unicode"/>
          <w:lang w:val="x-none"/>
        </w:rPr>
        <w:t>όβ</w:t>
      </w:r>
      <w:proofErr w:type="spellStart"/>
      <w:r w:rsidR="00E355A7" w:rsidRPr="005C0AC4">
        <w:rPr>
          <w:rFonts w:ascii="IFAO-Grec Unicode" w:hAnsi="IFAO-Grec Unicode"/>
          <w:lang w:val="x-none"/>
        </w:rPr>
        <w:t>ος</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Σε</w:t>
      </w:r>
      <w:proofErr w:type="spellEnd"/>
      <w:r w:rsidR="00E355A7" w:rsidRPr="005C0AC4">
        <w:rPr>
          <w:rFonts w:ascii="IFAO-Grec Unicode" w:hAnsi="IFAO-Grec Unicode"/>
          <w:lang w:val="x-none"/>
        </w:rPr>
        <w:t>βα</w:t>
      </w:r>
      <w:proofErr w:type="spellStart"/>
      <w:r w:rsidR="00E355A7" w:rsidRPr="005C0AC4">
        <w:rPr>
          <w:rFonts w:ascii="IFAO-Grec Unicode" w:hAnsi="IFAO-Grec Unicode"/>
          <w:lang w:val="x-none"/>
        </w:rPr>
        <w:t>στός</w:t>
      </w:r>
      <w:proofErr w:type="spellEnd"/>
      <w:r w:rsidR="00E355A7">
        <w:rPr>
          <w:rFonts w:ascii="IFAO-Grec Unicode" w:hAnsi="IFAO-Grec Unicode"/>
          <w:lang w:val="x-none"/>
        </w:rPr>
        <w:t>.</w:t>
      </w:r>
      <w:r w:rsidR="00E355A7">
        <w:rPr>
          <w:rStyle w:val="FootnoteReference"/>
          <w:rFonts w:ascii="IFAO-Grec Unicode" w:hAnsi="IFAO-Grec Unicode"/>
          <w:lang w:val="x-none"/>
        </w:rPr>
        <w:footnoteReference w:id="10"/>
      </w:r>
      <w:r w:rsidR="00C07CC7">
        <w:rPr>
          <w:rFonts w:ascii="IFAO-Grec Unicode" w:hAnsi="IFAO-Grec Unicode"/>
          <w:lang w:val="x-none"/>
        </w:rPr>
        <w:t xml:space="preserve"> </w:t>
      </w:r>
      <w:r w:rsidR="00362901">
        <w:rPr>
          <w:rFonts w:ascii="IFAO-Grec Unicode" w:hAnsi="IFAO-Grec Unicode"/>
          <w:lang w:val="x-none"/>
        </w:rPr>
        <w:t xml:space="preserve">This raises the question whether the clause belongs syntactically to the main part of the dedication. </w:t>
      </w:r>
      <w:r w:rsidR="00F030D9">
        <w:rPr>
          <w:rFonts w:ascii="IFAO-Grec Unicode" w:hAnsi="IFAO-Grec Unicode"/>
          <w:lang w:val="x-none"/>
        </w:rPr>
        <w:t>To answer this is</w:t>
      </w:r>
      <w:r w:rsidR="00362901">
        <w:rPr>
          <w:rFonts w:ascii="IFAO-Grec Unicode" w:hAnsi="IFAO-Grec Unicode"/>
          <w:lang w:val="x-none"/>
        </w:rPr>
        <w:t xml:space="preserve"> difficult, </w:t>
      </w:r>
      <w:r w:rsidR="00362901">
        <w:rPr>
          <w:rFonts w:ascii="IFAO-Grec Unicode" w:hAnsi="IFAO-Grec Unicode"/>
          <w:lang w:val="x-none"/>
        </w:rPr>
        <w:lastRenderedPageBreak/>
        <w:t xml:space="preserve">because there is a gap in front of </w:t>
      </w:r>
      <w:proofErr w:type="spellStart"/>
      <w:r w:rsidR="00F030D9" w:rsidRPr="005C0AC4">
        <w:rPr>
          <w:rFonts w:ascii="IFAO-Grec Unicode" w:hAnsi="IFAO-Grec Unicode"/>
        </w:rPr>
        <w:t>Πρ</w:t>
      </w:r>
      <w:proofErr w:type="spellEnd"/>
      <w:r w:rsidR="00F030D9" w:rsidRPr="005C0AC4">
        <w:rPr>
          <w:rFonts w:ascii="IFAO-Grec Unicode" w:hAnsi="IFAO-Grec Unicode"/>
          <w:lang w:val="x-none"/>
        </w:rPr>
        <w:t>όβ</w:t>
      </w:r>
      <w:proofErr w:type="spellStart"/>
      <w:r w:rsidR="00F030D9" w:rsidRPr="005C0AC4">
        <w:rPr>
          <w:rFonts w:ascii="IFAO-Grec Unicode" w:hAnsi="IFAO-Grec Unicode"/>
          <w:lang w:val="x-none"/>
        </w:rPr>
        <w:t>ο</w:t>
      </w:r>
      <w:r w:rsidR="00F030D9">
        <w:rPr>
          <w:rFonts w:ascii="IFAO-Grec Unicode" w:hAnsi="IFAO-Grec Unicode"/>
          <w:lang w:val="x-none"/>
        </w:rPr>
        <w:t>υ</w:t>
      </w:r>
      <w:proofErr w:type="spellEnd"/>
      <w:r w:rsidR="00F030D9">
        <w:rPr>
          <w:rFonts w:ascii="IFAO-Grec Unicode" w:hAnsi="IFAO-Grec Unicode"/>
          <w:lang w:val="x-none"/>
        </w:rPr>
        <w:t xml:space="preserve"> that has resisted interpretation. In it, the upper and lower guidelines are very clear; each consists of doubled lines, as in a few other spots on the stone. But, besides that, there are only some faint vertical strokes and a single, short horizontal slash. If the clause referring to Probus were a regnal formula, one would expect the year to have been carved before it</w:t>
      </w:r>
      <w:r w:rsidR="00F46948">
        <w:rPr>
          <w:rFonts w:ascii="IFAO-Grec Unicode" w:hAnsi="IFAO-Grec Unicode"/>
          <w:lang w:val="x-none"/>
        </w:rPr>
        <w:t>, but the strokes do not immediately suggest the symbol for year (</w:t>
      </w:r>
      <w:proofErr w:type="spellStart"/>
      <w:r w:rsidR="00F46948">
        <w:rPr>
          <w:rFonts w:ascii="IFAO-Grec Unicode" w:hAnsi="IFAO-Grec Unicode"/>
          <w:lang w:val="x-none"/>
        </w:rPr>
        <w:t>ἔτους</w:t>
      </w:r>
      <w:proofErr w:type="spellEnd"/>
      <w:r w:rsidR="00F46948">
        <w:rPr>
          <w:rFonts w:ascii="IFAO-Grec Unicode" w:hAnsi="IFAO-Grec Unicode"/>
          <w:lang w:val="x-none"/>
        </w:rPr>
        <w:t>).</w:t>
      </w:r>
      <w:r w:rsidR="00F030D9">
        <w:rPr>
          <w:rFonts w:ascii="IFAO-Grec Unicode" w:hAnsi="IFAO-Grec Unicode"/>
          <w:lang w:val="x-none"/>
        </w:rPr>
        <w:t xml:space="preserve"> If it is not the regnal formula, then </w:t>
      </w:r>
      <w:r w:rsidR="00F46948">
        <w:rPr>
          <w:rFonts w:ascii="IFAO-Grec Unicode" w:hAnsi="IFAO-Grec Unicode"/>
        </w:rPr>
        <w:t>there would be no necessity for a year here</w:t>
      </w:r>
      <w:r w:rsidR="00F030D9">
        <w:rPr>
          <w:rFonts w:ascii="IFAO-Grec Unicode" w:hAnsi="IFAO-Grec Unicode"/>
          <w:lang w:val="x-none"/>
        </w:rPr>
        <w:t>, and, in fact, the year seems to have been written at the beginning of line 5</w:t>
      </w:r>
      <w:r w:rsidR="00F46948">
        <w:rPr>
          <w:rFonts w:ascii="IFAO-Grec Unicode" w:hAnsi="IFAO-Grec Unicode"/>
          <w:lang w:val="x-none"/>
        </w:rPr>
        <w:t xml:space="preserve"> (see comm. ad loc.)</w:t>
      </w:r>
      <w:r w:rsidR="00F030D9">
        <w:rPr>
          <w:rFonts w:ascii="IFAO-Grec Unicode" w:hAnsi="IFAO-Grec Unicode"/>
          <w:lang w:val="x-none"/>
        </w:rPr>
        <w:t xml:space="preserve">. </w:t>
      </w:r>
      <w:r w:rsidR="00F46948">
        <w:rPr>
          <w:rFonts w:ascii="IFAO-Grec Unicode" w:hAnsi="IFAO-Grec Unicode"/>
          <w:lang w:val="x-none"/>
        </w:rPr>
        <w:t>We might then consider two possibilities: either that there was an empty space or that a word such as ὑπ</w:t>
      </w:r>
      <w:proofErr w:type="spellStart"/>
      <w:r w:rsidR="00F46948">
        <w:rPr>
          <w:rFonts w:ascii="IFAO-Grec Unicode" w:hAnsi="IFAO-Grec Unicode"/>
          <w:lang w:val="x-none"/>
        </w:rPr>
        <w:t>έρ</w:t>
      </w:r>
      <w:proofErr w:type="spellEnd"/>
      <w:r w:rsidR="00F46948">
        <w:rPr>
          <w:rFonts w:ascii="IFAO-Grec Unicode" w:hAnsi="IFAO-Grec Unicode"/>
        </w:rPr>
        <w:t xml:space="preserve"> was carved. The vertical strokes and horizontal bar would be consistent with this word, which would fit this space. The only other inscription from Egypt dated in the reign of Probus has </w:t>
      </w:r>
      <w:r w:rsidR="00F46948">
        <w:rPr>
          <w:rFonts w:ascii="IFAO-Grec Unicode" w:hAnsi="IFAO-Grec Unicode"/>
          <w:lang w:val="x-none"/>
        </w:rPr>
        <w:t xml:space="preserve">ὁ </w:t>
      </w:r>
      <w:proofErr w:type="spellStart"/>
      <w:r w:rsidR="00F46948">
        <w:rPr>
          <w:rFonts w:ascii="IFAO-Grec Unicode" w:hAnsi="IFAO-Grec Unicode"/>
          <w:lang w:val="x-none"/>
        </w:rPr>
        <w:t>κύριος</w:t>
      </w:r>
      <w:proofErr w:type="spellEnd"/>
      <w:r w:rsidR="00F46948">
        <w:rPr>
          <w:rFonts w:ascii="IFAO-Grec Unicode" w:hAnsi="IFAO-Grec Unicode"/>
          <w:lang w:val="x-none"/>
        </w:rPr>
        <w:t xml:space="preserve"> </w:t>
      </w:r>
      <w:proofErr w:type="spellStart"/>
      <w:r w:rsidR="00F46948">
        <w:rPr>
          <w:rFonts w:ascii="IFAO-Grec Unicode" w:hAnsi="IFAO-Grec Unicode"/>
          <w:lang w:val="x-none"/>
        </w:rPr>
        <w:t>Πρό</w:t>
      </w:r>
      <w:proofErr w:type="spellEnd"/>
      <w:r w:rsidR="00F46948">
        <w:rPr>
          <w:rFonts w:ascii="IFAO-Grec Unicode" w:hAnsi="IFAO-Grec Unicode"/>
          <w:lang w:val="x-none"/>
        </w:rPr>
        <w:t>β</w:t>
      </w:r>
      <w:proofErr w:type="spellStart"/>
      <w:r w:rsidR="00F46948">
        <w:rPr>
          <w:rFonts w:ascii="IFAO-Grec Unicode" w:hAnsi="IFAO-Grec Unicode"/>
          <w:lang w:val="x-none"/>
        </w:rPr>
        <w:t>ος</w:t>
      </w:r>
      <w:proofErr w:type="spellEnd"/>
      <w:r w:rsidR="00F46948">
        <w:rPr>
          <w:rFonts w:ascii="IFAO-Grec Unicode" w:hAnsi="IFAO-Grec Unicode"/>
        </w:rPr>
        <w:t xml:space="preserve"> </w:t>
      </w:r>
      <w:r w:rsidR="00F46948" w:rsidRPr="009804AD">
        <w:rPr>
          <w:rFonts w:ascii="IFAO-Grec Unicode" w:hAnsi="IFAO-Grec Unicode"/>
        </w:rPr>
        <w:t>(</w:t>
      </w:r>
      <w:hyperlink r:id="rId9" w:history="1">
        <w:r w:rsidR="00F46948" w:rsidRPr="009804AD">
          <w:rPr>
            <w:rStyle w:val="Hyperlink"/>
            <w:rFonts w:ascii="IFAO-Grec Unicode" w:hAnsi="IFAO-Grec Unicode"/>
          </w:rPr>
          <w:t>SEG 40</w:t>
        </w:r>
      </w:hyperlink>
      <w:r w:rsidR="00F46948" w:rsidRPr="009804AD">
        <w:rPr>
          <w:rFonts w:ascii="IFAO-Grec Unicode" w:hAnsi="IFAO-Grec Unicode"/>
        </w:rPr>
        <w:t xml:space="preserve"> 1565;</w:t>
      </w:r>
      <w:r w:rsidR="00F46948">
        <w:rPr>
          <w:rFonts w:ascii="IFAO-Grec Unicode" w:hAnsi="IFAO-Grec Unicode"/>
        </w:rPr>
        <w:t xml:space="preserve"> </w:t>
      </w:r>
      <w:proofErr w:type="spellStart"/>
      <w:r w:rsidR="00F46948">
        <w:rPr>
          <w:rFonts w:ascii="IFAO-Grec Unicode" w:hAnsi="IFAO-Grec Unicode"/>
        </w:rPr>
        <w:t>Kharga</w:t>
      </w:r>
      <w:proofErr w:type="spellEnd"/>
      <w:r w:rsidR="00F46948">
        <w:rPr>
          <w:rFonts w:ascii="IFAO-Grec Unicode" w:hAnsi="IFAO-Grec Unicode"/>
        </w:rPr>
        <w:t xml:space="preserve"> Oasis).</w:t>
      </w:r>
    </w:p>
    <w:p w14:paraId="202F7393" w14:textId="77777777" w:rsidR="00F030D9" w:rsidRDefault="00F030D9" w:rsidP="00993FA6">
      <w:pPr>
        <w:rPr>
          <w:rFonts w:ascii="IFAO-Grec Unicode" w:hAnsi="IFAO-Grec Unicode"/>
          <w:lang w:val="x-none"/>
        </w:rPr>
      </w:pPr>
    </w:p>
    <w:p w14:paraId="4B2EA8E6" w14:textId="736260FB" w:rsidR="00362901" w:rsidRPr="00A17697" w:rsidRDefault="00F030D9" w:rsidP="00993FA6">
      <w:pPr>
        <w:rPr>
          <w:rFonts w:ascii="IFAO-Grec Unicode" w:hAnsi="IFAO-Grec Unicode"/>
          <w:lang w:val="x-none"/>
        </w:rPr>
      </w:pPr>
      <w:r w:rsidRPr="00A17697">
        <w:rPr>
          <w:rFonts w:ascii="IFAO-Grec Unicode" w:hAnsi="IFAO-Grec Unicode"/>
          <w:lang w:val="x-none"/>
        </w:rPr>
        <w:t xml:space="preserve">Moreover, there is no trace of the </w:t>
      </w:r>
      <w:r w:rsidRPr="00A17697">
        <w:rPr>
          <w:rFonts w:ascii="IFAO-Grec Unicode" w:hAnsi="IFAO-Grec Unicode"/>
        </w:rPr>
        <w:t xml:space="preserve">symbol for </w:t>
      </w:r>
      <w:proofErr w:type="spellStart"/>
      <w:r w:rsidRPr="00A17697">
        <w:rPr>
          <w:rFonts w:ascii="IFAO-Grec Unicode" w:hAnsi="IFAO-Grec Unicode"/>
          <w:lang w:val="x-none"/>
        </w:rPr>
        <w:t>ἔτους</w:t>
      </w:r>
      <w:proofErr w:type="spellEnd"/>
      <w:r w:rsidRPr="00A17697">
        <w:rPr>
          <w:rFonts w:ascii="IFAO-Grec Unicode" w:hAnsi="IFAO-Grec Unicode"/>
          <w:lang w:val="x-none"/>
        </w:rPr>
        <w:t>. The vertical lines referred to above could be from the letter M</w:t>
      </w:r>
      <w:r w:rsidRPr="00A17697">
        <w:rPr>
          <w:rFonts w:ascii="IFAO-Grec Unicode" w:hAnsi="IFAO-Grec Unicode"/>
        </w:rPr>
        <w:t>, perhaps an abbreviation for </w:t>
      </w:r>
      <w:r w:rsidRPr="00A17697">
        <w:rPr>
          <w:rFonts w:ascii="IFAO-Grec Unicode" w:hAnsi="IFAO-Grec Unicode"/>
          <w:lang w:val="fr-FR"/>
        </w:rPr>
        <w:t>Μ</w:t>
      </w:r>
      <w:proofErr w:type="spellStart"/>
      <w:r w:rsidRPr="00A17697">
        <w:rPr>
          <w:rFonts w:ascii="IFAO-Grec Unicode" w:hAnsi="IFAO-Grec Unicode"/>
          <w:lang w:val="x-none"/>
        </w:rPr>
        <w:t>άρκου</w:t>
      </w:r>
      <w:proofErr w:type="spellEnd"/>
      <w:r w:rsidRPr="00A17697">
        <w:rPr>
          <w:rFonts w:ascii="IFAO-Grec Unicode" w:hAnsi="IFAO-Grec Unicode"/>
          <w:lang w:val="x-none"/>
        </w:rPr>
        <w:t xml:space="preserve"> </w:t>
      </w:r>
      <w:r w:rsidRPr="00A17697">
        <w:rPr>
          <w:rFonts w:ascii="IFAO-Grec Unicode" w:hAnsi="IFAO-Grec Unicode"/>
        </w:rPr>
        <w:t>but the abbreviated form Α</w:t>
      </w:r>
      <w:proofErr w:type="spellStart"/>
      <w:r w:rsidRPr="00A17697">
        <w:rPr>
          <w:rFonts w:ascii="IFAO-Grec Unicode" w:hAnsi="IFAO-Grec Unicode"/>
          <w:lang w:val="x-none"/>
        </w:rPr>
        <w:t>ὐρ</w:t>
      </w:r>
      <w:proofErr w:type="spellEnd"/>
      <w:r w:rsidRPr="00A17697">
        <w:rPr>
          <w:rFonts w:ascii="IFAO-Grec Unicode" w:hAnsi="IFAO-Grec Unicode"/>
          <w:lang w:val="x-none"/>
        </w:rPr>
        <w:t>(</w:t>
      </w:r>
      <w:proofErr w:type="spellStart"/>
      <w:r w:rsidRPr="00A17697">
        <w:rPr>
          <w:rFonts w:ascii="IFAO-Grec Unicode" w:hAnsi="IFAO-Grec Unicode"/>
          <w:lang w:val="x-none"/>
        </w:rPr>
        <w:t>ηλίου</w:t>
      </w:r>
      <w:proofErr w:type="spellEnd"/>
      <w:r w:rsidRPr="00A17697">
        <w:rPr>
          <w:rFonts w:ascii="IFAO-Grec Unicode" w:hAnsi="IFAO-Grec Unicode"/>
          <w:lang w:val="x-none"/>
        </w:rPr>
        <w:t xml:space="preserve">), which one would then expect, </w:t>
      </w:r>
      <w:r w:rsidRPr="00A17697">
        <w:rPr>
          <w:rFonts w:ascii="IFAO-Grec Unicode" w:hAnsi="IFAO-Grec Unicode"/>
        </w:rPr>
        <w:t>is in no way visible.</w:t>
      </w:r>
    </w:p>
    <w:p w14:paraId="52FC495D" w14:textId="77777777" w:rsidR="00362901" w:rsidRPr="00A17697" w:rsidRDefault="00362901" w:rsidP="00993FA6">
      <w:pPr>
        <w:rPr>
          <w:rFonts w:ascii="IFAO-Grec Unicode" w:hAnsi="IFAO-Grec Unicode"/>
          <w:lang w:val="x-none"/>
        </w:rPr>
      </w:pPr>
    </w:p>
    <w:p w14:paraId="58F1424D" w14:textId="55344814" w:rsidR="006527EA" w:rsidRPr="00C07CC7" w:rsidRDefault="000B1DE6" w:rsidP="00993FA6">
      <w:pPr>
        <w:rPr>
          <w:rFonts w:ascii="IFAO-Grec Unicode" w:hAnsi="IFAO-Grec Unicode"/>
        </w:rPr>
      </w:pPr>
      <w:r w:rsidRPr="00A17697">
        <w:rPr>
          <w:rFonts w:ascii="IFAO-Grec Unicode" w:hAnsi="IFAO-Grec Unicode"/>
        </w:rPr>
        <w:t>The precise year of the</w:t>
      </w:r>
      <w:r w:rsidR="00FD6501" w:rsidRPr="00A17697">
        <w:rPr>
          <w:rFonts w:ascii="IFAO-Grec Unicode" w:hAnsi="IFAO-Grec Unicode"/>
        </w:rPr>
        <w:t xml:space="preserve"> </w:t>
      </w:r>
      <w:proofErr w:type="spellStart"/>
      <w:r w:rsidR="00FD6501" w:rsidRPr="00A17697">
        <w:rPr>
          <w:rFonts w:ascii="IFAO-Grec Unicode" w:hAnsi="IFAO-Grec Unicode"/>
        </w:rPr>
        <w:t>Berenike</w:t>
      </w:r>
      <w:proofErr w:type="spellEnd"/>
      <w:r w:rsidRPr="00A17697">
        <w:rPr>
          <w:rFonts w:ascii="IFAO-Grec Unicode" w:hAnsi="IFAO-Grec Unicode"/>
        </w:rPr>
        <w:t xml:space="preserve"> dedication is unclear; one expects to find it </w:t>
      </w:r>
      <w:r w:rsidR="00FE628F" w:rsidRPr="00A17697">
        <w:rPr>
          <w:rFonts w:ascii="IFAO-Grec Unicode" w:hAnsi="IFAO-Grec Unicode"/>
        </w:rPr>
        <w:t xml:space="preserve">in front </w:t>
      </w:r>
      <w:r w:rsidRPr="00A17697">
        <w:rPr>
          <w:rFonts w:ascii="IFAO-Grec Unicode" w:hAnsi="IFAO-Grec Unicode"/>
        </w:rPr>
        <w:t xml:space="preserve">of the regnal formula in line 3, but there is little </w:t>
      </w:r>
      <w:r w:rsidR="00FD6501" w:rsidRPr="00A17697">
        <w:rPr>
          <w:rFonts w:ascii="IFAO-Grec Unicode" w:hAnsi="IFAO-Grec Unicode"/>
        </w:rPr>
        <w:t>or</w:t>
      </w:r>
      <w:r w:rsidRPr="00A17697">
        <w:rPr>
          <w:rFonts w:ascii="IFAO-Grec Unicode" w:hAnsi="IFAO-Grec Unicode"/>
        </w:rPr>
        <w:t xml:space="preserve"> no trace of it there (see comm. ad l. 3). It was possibly postponed until line 5, where there are remains of what might be part of the symbol for the word </w:t>
      </w:r>
      <w:proofErr w:type="spellStart"/>
      <w:r w:rsidRPr="00A17697">
        <w:rPr>
          <w:rFonts w:ascii="IFAO-Grec Unicode" w:hAnsi="IFAO-Grec Unicode"/>
          <w:lang w:val="x-none"/>
        </w:rPr>
        <w:t>ἔτους</w:t>
      </w:r>
      <w:proofErr w:type="spellEnd"/>
      <w:r w:rsidRPr="00A17697">
        <w:rPr>
          <w:rFonts w:ascii="IFAO-Grec Unicode" w:hAnsi="IFAO-Grec Unicode"/>
          <w:lang w:val="x-none"/>
        </w:rPr>
        <w:t xml:space="preserve"> and a number</w:t>
      </w:r>
      <w:r w:rsidRPr="00A17697">
        <w:rPr>
          <w:rFonts w:ascii="IFAO-Grec Unicode" w:hAnsi="IFAO-Grec Unicode"/>
        </w:rPr>
        <w:t xml:space="preserve"> (see comm. ad l. 5).</w:t>
      </w:r>
    </w:p>
    <w:p w14:paraId="4309046D" w14:textId="77777777" w:rsidR="006527EA" w:rsidRDefault="006527EA" w:rsidP="00993FA6">
      <w:pPr>
        <w:rPr>
          <w:rFonts w:ascii="IFAO-Grec Unicode" w:hAnsi="IFAO-Grec Unicode"/>
        </w:rPr>
      </w:pPr>
    </w:p>
    <w:p w14:paraId="6F0ADC83" w14:textId="105C7642" w:rsidR="00E2427E" w:rsidRDefault="005D1FD2" w:rsidP="00993FA6">
      <w:r>
        <w:t>The dedication</w:t>
      </w:r>
      <w:r w:rsidR="00F51361">
        <w:t xml:space="preserve"> </w:t>
      </w:r>
      <w:r w:rsidR="000F4F81">
        <w:t>is from</w:t>
      </w:r>
      <w:r w:rsidR="0068326A">
        <w:t xml:space="preserve"> a period </w:t>
      </w:r>
      <w:r w:rsidR="004552D7">
        <w:t xml:space="preserve">of significant uncertainty in both </w:t>
      </w:r>
      <w:proofErr w:type="spellStart"/>
      <w:r w:rsidR="004552D7">
        <w:t>Berenike</w:t>
      </w:r>
      <w:proofErr w:type="spellEnd"/>
      <w:r w:rsidR="004552D7">
        <w:t xml:space="preserve"> and the wider Eastern Desert</w:t>
      </w:r>
      <w:r w:rsidR="0068326A">
        <w:t>.</w:t>
      </w:r>
      <w:r w:rsidR="005541E8">
        <w:t xml:space="preserve"> </w:t>
      </w:r>
      <w:r w:rsidR="004552D7">
        <w:t>Prior to excavations in the Isis temple, the third century was</w:t>
      </w:r>
      <w:r w:rsidR="00F56351">
        <w:t xml:space="preserve"> thought to be</w:t>
      </w:r>
      <w:r w:rsidR="004552D7">
        <w:t xml:space="preserve"> very poorly represented</w:t>
      </w:r>
      <w:r w:rsidR="00A01AB0">
        <w:t xml:space="preserve"> at the port</w:t>
      </w:r>
      <w:r w:rsidR="00F56351">
        <w:t>, with only one inscription bearing a third-century date</w:t>
      </w:r>
      <w:r w:rsidR="004552D7">
        <w:t>.</w:t>
      </w:r>
      <w:r w:rsidR="00273E41">
        <w:rPr>
          <w:rStyle w:val="FootnoteReference"/>
        </w:rPr>
        <w:footnoteReference w:id="11"/>
      </w:r>
      <w:r w:rsidR="000B1DE6">
        <w:t xml:space="preserve"> </w:t>
      </w:r>
      <w:r w:rsidR="00F56351">
        <w:t>Now, the third century is the second best-attested century</w:t>
      </w:r>
      <w:r w:rsidR="00FE628F">
        <w:t xml:space="preserve"> in </w:t>
      </w:r>
      <w:r w:rsidR="00F56351">
        <w:t>precisely dated documents</w:t>
      </w:r>
      <w:r w:rsidR="00FE628F">
        <w:t xml:space="preserve"> from </w:t>
      </w:r>
      <w:proofErr w:type="spellStart"/>
      <w:r w:rsidR="00FE628F">
        <w:t>Berenike</w:t>
      </w:r>
      <w:proofErr w:type="spellEnd"/>
      <w:r w:rsidR="00F56351">
        <w:t>:</w:t>
      </w:r>
      <w:r w:rsidR="003B5439">
        <w:t xml:space="preserve"> </w:t>
      </w:r>
      <w:r w:rsidR="00CA6BD5">
        <w:t>In total, e</w:t>
      </w:r>
      <w:r w:rsidR="00920830">
        <w:t>ight</w:t>
      </w:r>
      <w:r w:rsidR="000B1DE6">
        <w:t xml:space="preserve"> third-century </w:t>
      </w:r>
      <w:r w:rsidR="00F56351">
        <w:t>dedications</w:t>
      </w:r>
      <w:r w:rsidR="00174E96">
        <w:t xml:space="preserve"> have</w:t>
      </w:r>
      <w:r w:rsidR="000B1DE6">
        <w:t xml:space="preserve"> </w:t>
      </w:r>
      <w:r w:rsidR="00174E96">
        <w:t xml:space="preserve">been </w:t>
      </w:r>
      <w:r w:rsidR="00FD6501">
        <w:t>registered</w:t>
      </w:r>
      <w:r w:rsidR="00482C44">
        <w:t xml:space="preserve">. </w:t>
      </w:r>
      <w:r w:rsidR="00920830">
        <w:t>Four of</w:t>
      </w:r>
      <w:r w:rsidR="003B5439">
        <w:t xml:space="preserve"> the</w:t>
      </w:r>
      <w:r w:rsidR="00F56351">
        <w:t xml:space="preserve">m </w:t>
      </w:r>
      <w:r w:rsidR="003B5439">
        <w:t>are from th</w:t>
      </w:r>
      <w:r w:rsidR="00920830">
        <w:t>e first decade (</w:t>
      </w:r>
      <w:r w:rsidR="008E5C1E">
        <w:t xml:space="preserve">years </w:t>
      </w:r>
      <w:r w:rsidR="00920830">
        <w:t xml:space="preserve">209 and 210) and one is from </w:t>
      </w:r>
      <w:r w:rsidR="00482C44">
        <w:t>the year</w:t>
      </w:r>
      <w:r w:rsidR="00E2427E">
        <w:t xml:space="preserve"> </w:t>
      </w:r>
      <w:r w:rsidR="00920830">
        <w:t>215;</w:t>
      </w:r>
      <w:r w:rsidR="00590270">
        <w:rPr>
          <w:rStyle w:val="FootnoteReference"/>
        </w:rPr>
        <w:footnoteReference w:id="12"/>
      </w:r>
      <w:r w:rsidR="00920830">
        <w:t xml:space="preserve"> </w:t>
      </w:r>
      <w:r w:rsidR="00273E41">
        <w:t>the</w:t>
      </w:r>
      <w:r w:rsidR="00920830">
        <w:t xml:space="preserve"> Sanskrit-Greek stele</w:t>
      </w:r>
      <w:r w:rsidR="00273E41">
        <w:t xml:space="preserve"> and </w:t>
      </w:r>
      <w:r w:rsidR="00003EE6">
        <w:t>dedication</w:t>
      </w:r>
      <w:r w:rsidR="00273E41">
        <w:t xml:space="preserve"> from the reign of Gallus and </w:t>
      </w:r>
      <w:proofErr w:type="spellStart"/>
      <w:r w:rsidR="00273E41">
        <w:t>Volusianus</w:t>
      </w:r>
      <w:proofErr w:type="spellEnd"/>
      <w:r w:rsidR="00273E41">
        <w:t xml:space="preserve"> mentioned above</w:t>
      </w:r>
      <w:r w:rsidR="008B592A">
        <w:t xml:space="preserve"> date</w:t>
      </w:r>
      <w:r w:rsidR="00273E41">
        <w:t xml:space="preserve"> to 248 and 253, respectively; the inscription published here </w:t>
      </w:r>
      <w:r w:rsidR="00590270">
        <w:t xml:space="preserve">is from the period </w:t>
      </w:r>
      <w:r w:rsidR="00273E41">
        <w:t>276</w:t>
      </w:r>
      <w:r w:rsidR="00273E41">
        <w:rPr>
          <w:rFonts w:ascii="IFAO-Grec Unicode" w:hAnsi="IFAO-Grec Unicode"/>
        </w:rPr>
        <w:t xml:space="preserve">–281. </w:t>
      </w:r>
      <w:r w:rsidR="00273E41">
        <w:t xml:space="preserve">The very latest inscription from the temple dates to the Tetrarchy (305). </w:t>
      </w:r>
      <w:r w:rsidR="00A01AB0">
        <w:t xml:space="preserve">This evidence naturally changes our perspective on the period, and </w:t>
      </w:r>
      <w:r w:rsidR="00DE17C7">
        <w:t>t</w:t>
      </w:r>
      <w:r w:rsidR="00B22CFF">
        <w:t>he</w:t>
      </w:r>
      <w:r w:rsidR="008B592A">
        <w:t xml:space="preserve">re can be no doubt that </w:t>
      </w:r>
      <w:r w:rsidR="00A01AB0">
        <w:t xml:space="preserve">the port was operating </w:t>
      </w:r>
      <w:r w:rsidR="00273E41">
        <w:t>throughout the third century</w:t>
      </w:r>
      <w:r w:rsidR="007D02BF">
        <w:t>, even if</w:t>
      </w:r>
      <w:r w:rsidR="004166F0">
        <w:t xml:space="preserve"> intermittently and</w:t>
      </w:r>
      <w:r w:rsidR="007D02BF">
        <w:t xml:space="preserve"> at a smaller scale</w:t>
      </w:r>
      <w:r w:rsidR="004166F0">
        <w:t xml:space="preserve"> than in the first and early second centuries</w:t>
      </w:r>
      <w:r w:rsidR="007D02BF">
        <w:t>.</w:t>
      </w:r>
      <w:r w:rsidR="00003EE6">
        <w:t xml:space="preserve"> </w:t>
      </w:r>
    </w:p>
    <w:p w14:paraId="24ED015C" w14:textId="77777777" w:rsidR="00E2427E" w:rsidRDefault="00E2427E" w:rsidP="00993FA6"/>
    <w:p w14:paraId="4560AEC6" w14:textId="17959CB0" w:rsidR="001F46D3" w:rsidRDefault="00DE17C7" w:rsidP="00993FA6">
      <w:r w:rsidRPr="00D66450">
        <w:t xml:space="preserve">The </w:t>
      </w:r>
      <w:r w:rsidR="00B335B0">
        <w:t xml:space="preserve">principal </w:t>
      </w:r>
      <w:r w:rsidRPr="00D66450">
        <w:t>reason for believing that the third century was a stagna</w:t>
      </w:r>
      <w:r w:rsidR="00F34593">
        <w:t>nt</w:t>
      </w:r>
      <w:r w:rsidRPr="00D66450">
        <w:t xml:space="preserve"> time</w:t>
      </w:r>
      <w:r w:rsidR="00B335B0">
        <w:t xml:space="preserve"> in </w:t>
      </w:r>
      <w:proofErr w:type="spellStart"/>
      <w:r w:rsidR="00B335B0">
        <w:t>Berenike</w:t>
      </w:r>
      <w:proofErr w:type="spellEnd"/>
      <w:r w:rsidRPr="00D66450">
        <w:t xml:space="preserve"> </w:t>
      </w:r>
      <w:r w:rsidR="004166F0">
        <w:t>has been</w:t>
      </w:r>
      <w:r w:rsidR="008B592A">
        <w:t xml:space="preserve"> the</w:t>
      </w:r>
      <w:r w:rsidRPr="00D66450">
        <w:t xml:space="preserve"> absence</w:t>
      </w:r>
      <w:r w:rsidR="00365567">
        <w:t xml:space="preserve"> not only </w:t>
      </w:r>
      <w:r w:rsidR="00CA6BD5">
        <w:t xml:space="preserve">of </w:t>
      </w:r>
      <w:r w:rsidR="004166F0">
        <w:t>dated texts,</w:t>
      </w:r>
      <w:r w:rsidR="00365567">
        <w:t xml:space="preserve"> but also</w:t>
      </w:r>
      <w:r w:rsidR="00CA6BD5">
        <w:t xml:space="preserve"> of</w:t>
      </w:r>
      <w:r w:rsidR="004166F0">
        <w:t xml:space="preserve"> </w:t>
      </w:r>
      <w:r w:rsidRPr="00D66450">
        <w:t>coins</w:t>
      </w:r>
      <w:r w:rsidR="000A752C" w:rsidRPr="00D66450">
        <w:t xml:space="preserve"> </w:t>
      </w:r>
      <w:r w:rsidR="007D02BF">
        <w:t xml:space="preserve">and </w:t>
      </w:r>
      <w:r w:rsidR="000A752C" w:rsidRPr="00D66450">
        <w:t>ceramics.</w:t>
      </w:r>
      <w:r w:rsidR="007D02BF">
        <w:rPr>
          <w:rStyle w:val="FootnoteReference"/>
        </w:rPr>
        <w:footnoteReference w:id="13"/>
      </w:r>
      <w:r w:rsidR="000A752C" w:rsidRPr="00D66450">
        <w:t xml:space="preserve"> </w:t>
      </w:r>
      <w:r w:rsidR="004166F0">
        <w:t>As</w:t>
      </w:r>
      <w:r w:rsidR="00B335B0">
        <w:t xml:space="preserve"> far as coins are concerned,</w:t>
      </w:r>
      <w:r w:rsidRPr="00D66450">
        <w:t xml:space="preserve"> </w:t>
      </w:r>
      <w:r w:rsidR="000541A0" w:rsidRPr="00D66450">
        <w:t xml:space="preserve">what </w:t>
      </w:r>
      <w:r w:rsidR="000A752C" w:rsidRPr="00D66450">
        <w:t xml:space="preserve">H. </w:t>
      </w:r>
      <w:proofErr w:type="spellStart"/>
      <w:r w:rsidRPr="00D66450">
        <w:t>Cuvigny</w:t>
      </w:r>
      <w:proofErr w:type="spellEnd"/>
      <w:r w:rsidRPr="00D66450">
        <w:t xml:space="preserve"> and </w:t>
      </w:r>
      <w:r w:rsidR="000A752C" w:rsidRPr="00D66450">
        <w:t xml:space="preserve">K. </w:t>
      </w:r>
      <w:proofErr w:type="spellStart"/>
      <w:r w:rsidRPr="00D66450">
        <w:t>Lach</w:t>
      </w:r>
      <w:r w:rsidR="000A752C" w:rsidRPr="00D66450">
        <w:t>-Urgacz</w:t>
      </w:r>
      <w:proofErr w:type="spellEnd"/>
      <w:r w:rsidRPr="00D66450">
        <w:t xml:space="preserve"> </w:t>
      </w:r>
      <w:r w:rsidR="000541A0" w:rsidRPr="00D66450">
        <w:t xml:space="preserve">say about the </w:t>
      </w:r>
      <w:r w:rsidR="000541A0" w:rsidRPr="00D66450">
        <w:rPr>
          <w:i/>
          <w:iCs/>
        </w:rPr>
        <w:t xml:space="preserve">praesidia </w:t>
      </w:r>
      <w:r w:rsidR="000541A0" w:rsidRPr="00D66450">
        <w:t xml:space="preserve">of the Eastern Desert </w:t>
      </w:r>
      <w:r w:rsidR="00BD2745">
        <w:t xml:space="preserve">could equally apply </w:t>
      </w:r>
      <w:r w:rsidR="000541A0" w:rsidRPr="00D66450">
        <w:t xml:space="preserve">to </w:t>
      </w:r>
      <w:proofErr w:type="spellStart"/>
      <w:r w:rsidR="000541A0" w:rsidRPr="00D66450">
        <w:t>Berenike</w:t>
      </w:r>
      <w:proofErr w:type="spellEnd"/>
      <w:r w:rsidR="008B592A">
        <w:t xml:space="preserve"> as well</w:t>
      </w:r>
      <w:r w:rsidR="000541A0" w:rsidRPr="00D66450">
        <w:t>: “</w:t>
      </w:r>
      <w:r w:rsidR="000A752C" w:rsidRPr="00D66450">
        <w:t xml:space="preserve">the </w:t>
      </w:r>
      <w:r w:rsidRPr="00D66450">
        <w:t xml:space="preserve">absence of </w:t>
      </w:r>
      <w:r w:rsidR="000541A0" w:rsidRPr="00D66450">
        <w:t>3</w:t>
      </w:r>
      <w:r w:rsidR="000541A0" w:rsidRPr="00D66450">
        <w:rPr>
          <w:vertAlign w:val="superscript"/>
        </w:rPr>
        <w:t>rd</w:t>
      </w:r>
      <w:r w:rsidR="000541A0" w:rsidRPr="00D66450">
        <w:t xml:space="preserve"> c. coins is easily explained by the fact that in this period almost only billon tetradrachms were minted, a denomination which people were careful not to lose, while the State relied on old bronze coins of previous reigns to serve in daily exchanges.”</w:t>
      </w:r>
      <w:r w:rsidR="000541A0" w:rsidRPr="00D66450">
        <w:rPr>
          <w:rStyle w:val="FootnoteReference"/>
        </w:rPr>
        <w:footnoteReference w:id="14"/>
      </w:r>
      <w:r w:rsidR="000541A0">
        <w:t xml:space="preserve"> </w:t>
      </w:r>
      <w:r w:rsidR="004166F0">
        <w:t>In the case of</w:t>
      </w:r>
      <w:r w:rsidR="000541A0">
        <w:t xml:space="preserve"> ceramics, </w:t>
      </w:r>
      <w:r w:rsidR="00B335B0">
        <w:t>very few third</w:t>
      </w:r>
      <w:r w:rsidR="008E0BC7">
        <w:t>-</w:t>
      </w:r>
      <w:r w:rsidR="00B335B0">
        <w:t xml:space="preserve">century </w:t>
      </w:r>
      <w:r w:rsidR="00B335B0" w:rsidRPr="0064251A">
        <w:rPr>
          <w:i/>
          <w:iCs/>
        </w:rPr>
        <w:t>loci</w:t>
      </w:r>
      <w:r w:rsidR="00B335B0">
        <w:t xml:space="preserve"> </w:t>
      </w:r>
      <w:r w:rsidR="00B335B0" w:rsidRPr="00BD6E2C">
        <w:t>have bee</w:t>
      </w:r>
      <w:r w:rsidR="00BD6E2C">
        <w:t xml:space="preserve">n identified, but </w:t>
      </w:r>
      <w:r w:rsidR="006A02CE">
        <w:t>third century ostraca and dipinti</w:t>
      </w:r>
      <w:r w:rsidR="00161A92">
        <w:t xml:space="preserve"> have been </w:t>
      </w:r>
      <w:r w:rsidR="00161A92">
        <w:lastRenderedPageBreak/>
        <w:t xml:space="preserve">documented among residual </w:t>
      </w:r>
      <w:r w:rsidR="00CA6BD5">
        <w:t xml:space="preserve">small </w:t>
      </w:r>
      <w:r w:rsidR="00161A92">
        <w:t xml:space="preserve">finds. </w:t>
      </w:r>
      <w:r w:rsidR="006A02CE">
        <w:t xml:space="preserve">For example, </w:t>
      </w:r>
      <w:r w:rsidR="00FD6501">
        <w:t xml:space="preserve">in </w:t>
      </w:r>
      <w:r w:rsidR="006A02CE">
        <w:t>the</w:t>
      </w:r>
      <w:r w:rsidR="00161A92">
        <w:t xml:space="preserve"> area just outside </w:t>
      </w:r>
      <w:r w:rsidR="006A02CE">
        <w:t>the</w:t>
      </w:r>
      <w:r w:rsidR="00161A92">
        <w:t xml:space="preserve"> door leading from the Isis temple courtyard </w:t>
      </w:r>
      <w:r w:rsidR="006A02CE">
        <w:t>to</w:t>
      </w:r>
      <w:r w:rsidR="00161A92">
        <w:t xml:space="preserve"> the north</w:t>
      </w:r>
      <w:r w:rsidR="00FD6501">
        <w:t>,</w:t>
      </w:r>
      <w:r w:rsidR="00161A92">
        <w:t xml:space="preserve"> a costrel </w:t>
      </w:r>
      <w:r w:rsidR="00FD6501">
        <w:t>from</w:t>
      </w:r>
      <w:r w:rsidR="00161A92">
        <w:t xml:space="preserve"> the second half of the second or the third century</w:t>
      </w:r>
      <w:r w:rsidR="00FD6501">
        <w:t xml:space="preserve"> was found alongside a third-century ostracon that seems to mention Palmyrene archers</w:t>
      </w:r>
      <w:r w:rsidR="00161A92">
        <w:t>.</w:t>
      </w:r>
      <w:r w:rsidR="006A02CE">
        <w:rPr>
          <w:rStyle w:val="FootnoteReference"/>
        </w:rPr>
        <w:footnoteReference w:id="15"/>
      </w:r>
      <w:r w:rsidR="00161A92">
        <w:t xml:space="preserve"> </w:t>
      </w:r>
      <w:r w:rsidR="00FD6501">
        <w:t>Thus, g</w:t>
      </w:r>
      <w:r w:rsidR="006A02CE">
        <w:t xml:space="preserve">iven the irrefutable presence of third century </w:t>
      </w:r>
      <w:r w:rsidR="00FD6501">
        <w:t>material</w:t>
      </w:r>
      <w:r w:rsidR="006A02CE">
        <w:t xml:space="preserve">, it is </w:t>
      </w:r>
      <w:r w:rsidR="00CA6BD5">
        <w:t>tempting to suppose that either the</w:t>
      </w:r>
      <w:r w:rsidR="006A02CE">
        <w:t xml:space="preserve"> </w:t>
      </w:r>
      <w:r w:rsidR="008E0BC7">
        <w:t>third-century c</w:t>
      </w:r>
      <w:r w:rsidR="006A02CE">
        <w:t>ontexts</w:t>
      </w:r>
      <w:r w:rsidR="00CA6BD5">
        <w:t xml:space="preserve"> (</w:t>
      </w:r>
      <w:r w:rsidR="00CA6BD5">
        <w:rPr>
          <w:i/>
          <w:iCs/>
        </w:rPr>
        <w:t>loci</w:t>
      </w:r>
      <w:r w:rsidR="00CA6BD5">
        <w:t>)</w:t>
      </w:r>
      <w:r w:rsidR="006A02CE">
        <w:t xml:space="preserve"> </w:t>
      </w:r>
      <w:r w:rsidR="00CA6BD5">
        <w:t xml:space="preserve">simply </w:t>
      </w:r>
      <w:r w:rsidR="006A02CE">
        <w:t>await excavation</w:t>
      </w:r>
      <w:r w:rsidR="00CA6BD5">
        <w:t xml:space="preserve"> still or they have not been properly identified</w:t>
      </w:r>
      <w:r w:rsidR="001F46D3">
        <w:t xml:space="preserve"> in previous seasons</w:t>
      </w:r>
      <w:r w:rsidR="00CA6BD5">
        <w:t>, or both</w:t>
      </w:r>
      <w:r w:rsidR="008E0BC7">
        <w:t>.</w:t>
      </w:r>
      <w:r w:rsidR="009A615F">
        <w:rPr>
          <w:rStyle w:val="FootnoteReference"/>
        </w:rPr>
        <w:footnoteReference w:id="16"/>
      </w:r>
      <w:r w:rsidR="0064251A">
        <w:t xml:space="preserve"> </w:t>
      </w:r>
    </w:p>
    <w:p w14:paraId="77628796" w14:textId="77777777" w:rsidR="001F46D3" w:rsidRDefault="001F46D3" w:rsidP="00993FA6"/>
    <w:p w14:paraId="6A5BDDCA" w14:textId="6580C527" w:rsidR="004552D7" w:rsidRDefault="00287D07" w:rsidP="00993FA6">
      <w:r>
        <w:t xml:space="preserve">A significant body of third century material, including dated texts, </w:t>
      </w:r>
      <w:r w:rsidR="00364B8D">
        <w:t xml:space="preserve">has been documented </w:t>
      </w:r>
      <w:r w:rsidR="00FD6501">
        <w:t xml:space="preserve">also </w:t>
      </w:r>
      <w:r w:rsidR="00364B8D">
        <w:t xml:space="preserve">in the forts </w:t>
      </w:r>
      <w:r w:rsidR="00FE628F">
        <w:t>along</w:t>
      </w:r>
      <w:r w:rsidR="0064251A">
        <w:t xml:space="preserve"> the road that connected </w:t>
      </w:r>
      <w:proofErr w:type="spellStart"/>
      <w:r w:rsidR="0064251A">
        <w:t>Berenike</w:t>
      </w:r>
      <w:proofErr w:type="spellEnd"/>
      <w:r w:rsidR="0064251A">
        <w:t xml:space="preserve"> to the city of </w:t>
      </w:r>
      <w:proofErr w:type="spellStart"/>
      <w:r w:rsidR="0064251A">
        <w:t>Coptos</w:t>
      </w:r>
      <w:proofErr w:type="spellEnd"/>
      <w:r w:rsidR="0064251A">
        <w:t xml:space="preserve">, which was the principal emporium in the Nile valley for goods passing through </w:t>
      </w:r>
      <w:proofErr w:type="spellStart"/>
      <w:r w:rsidR="0064251A">
        <w:t>Berenike</w:t>
      </w:r>
      <w:proofErr w:type="spellEnd"/>
      <w:r w:rsidR="0064251A">
        <w:t xml:space="preserve"> from the East on their way to Alexandria</w:t>
      </w:r>
      <w:r w:rsidR="001F46D3">
        <w:t>.</w:t>
      </w:r>
      <w:r w:rsidR="009A615F">
        <w:t xml:space="preserve"> </w:t>
      </w:r>
      <w:r w:rsidR="00364B8D">
        <w:t>This evidence includes o</w:t>
      </w:r>
      <w:r w:rsidR="00BD2745">
        <w:t xml:space="preserve">straca </w:t>
      </w:r>
      <w:r w:rsidR="0031413D">
        <w:t xml:space="preserve">found in the last occupation layers of </w:t>
      </w:r>
      <w:r w:rsidR="00BD2745">
        <w:t xml:space="preserve">the fort of </w:t>
      </w:r>
      <w:proofErr w:type="spellStart"/>
      <w:r w:rsidR="00BD2745">
        <w:t>Xeron</w:t>
      </w:r>
      <w:proofErr w:type="spellEnd"/>
      <w:r w:rsidR="00BD2745">
        <w:t xml:space="preserve"> </w:t>
      </w:r>
      <w:proofErr w:type="spellStart"/>
      <w:r w:rsidR="00BD2745">
        <w:t>Pelagos</w:t>
      </w:r>
      <w:proofErr w:type="spellEnd"/>
      <w:r w:rsidR="001F46D3">
        <w:t>,</w:t>
      </w:r>
      <w:r w:rsidR="00BD2745">
        <w:t xml:space="preserve"> which are dated to 264 and overlap with the latest ostraca from </w:t>
      </w:r>
      <w:proofErr w:type="spellStart"/>
      <w:r w:rsidR="00BD2745">
        <w:t>Didymoi</w:t>
      </w:r>
      <w:proofErr w:type="spellEnd"/>
      <w:r w:rsidR="00003EE6">
        <w:t>.</w:t>
      </w:r>
      <w:r w:rsidR="00BD2745">
        <w:t xml:space="preserve"> J.-P. Brun </w:t>
      </w:r>
      <w:r w:rsidR="00FD6501">
        <w:t xml:space="preserve">has </w:t>
      </w:r>
      <w:r w:rsidR="0031413D">
        <w:t xml:space="preserve">concluded from this material </w:t>
      </w:r>
      <w:r w:rsidR="00BD2745">
        <w:t xml:space="preserve">that the forts were </w:t>
      </w:r>
      <w:r w:rsidR="00364B8D">
        <w:t>abandoned</w:t>
      </w:r>
      <w:r w:rsidR="006A438A">
        <w:t xml:space="preserve"> </w:t>
      </w:r>
      <w:r w:rsidR="00364B8D">
        <w:t>sometime around 270</w:t>
      </w:r>
      <w:r w:rsidR="00BD2745">
        <w:t>. In his view, this corresponded with the removal of the Palmyrene archers</w:t>
      </w:r>
      <w:r w:rsidR="004166F0">
        <w:t xml:space="preserve"> from the area</w:t>
      </w:r>
      <w:r w:rsidR="00BD2745">
        <w:t xml:space="preserve"> following Zenobia’s </w:t>
      </w:r>
      <w:r w:rsidR="006A438A">
        <w:t>capture</w:t>
      </w:r>
      <w:r w:rsidR="002D1046">
        <w:t xml:space="preserve"> of Egypt</w:t>
      </w:r>
      <w:r w:rsidR="006A438A">
        <w:t xml:space="preserve"> in 270.</w:t>
      </w:r>
      <w:r w:rsidR="006A438A">
        <w:rPr>
          <w:rStyle w:val="FootnoteReference"/>
        </w:rPr>
        <w:footnoteReference w:id="17"/>
      </w:r>
      <w:r w:rsidR="00BD2745">
        <w:t xml:space="preserve"> </w:t>
      </w:r>
      <w:r w:rsidR="0033269C">
        <w:t>T</w:t>
      </w:r>
      <w:r w:rsidR="00003EE6">
        <w:t xml:space="preserve">he Probus inscription and </w:t>
      </w:r>
      <w:r w:rsidR="00A668F4">
        <w:t>the dedication</w:t>
      </w:r>
      <w:r w:rsidR="00003EE6">
        <w:t xml:space="preserve"> </w:t>
      </w:r>
      <w:r w:rsidR="00F66592">
        <w:t xml:space="preserve">from the reign of the Tetrarchy </w:t>
      </w:r>
      <w:r w:rsidR="008B48BC">
        <w:t>prove</w:t>
      </w:r>
      <w:r w:rsidR="0033269C">
        <w:t xml:space="preserve"> that there was activity at </w:t>
      </w:r>
      <w:proofErr w:type="spellStart"/>
      <w:r w:rsidR="002D1046">
        <w:t>Berenike</w:t>
      </w:r>
      <w:proofErr w:type="spellEnd"/>
      <w:r w:rsidR="0033269C">
        <w:t xml:space="preserve"> during and after this time. </w:t>
      </w:r>
      <w:r w:rsidR="00597423">
        <w:t>This forces us to consider pushing the date of the abandonment</w:t>
      </w:r>
      <w:r w:rsidR="00364B8D">
        <w:t xml:space="preserve"> of the forts</w:t>
      </w:r>
      <w:r w:rsidR="00597423">
        <w:t xml:space="preserve"> somewhat later. </w:t>
      </w:r>
      <w:r w:rsidR="00D66450">
        <w:t>The</w:t>
      </w:r>
      <w:r w:rsidR="0033269C">
        <w:t xml:space="preserve"> shipments </w:t>
      </w:r>
      <w:r w:rsidR="00DE17C7">
        <w:t xml:space="preserve">arriving </w:t>
      </w:r>
      <w:r w:rsidR="00597423">
        <w:t xml:space="preserve">in </w:t>
      </w:r>
      <w:proofErr w:type="spellStart"/>
      <w:r w:rsidR="00597423">
        <w:t>Berenike</w:t>
      </w:r>
      <w:proofErr w:type="spellEnd"/>
      <w:r w:rsidR="002D1046">
        <w:t xml:space="preserve"> were likely </w:t>
      </w:r>
      <w:r w:rsidR="0033269C">
        <w:t xml:space="preserve">still being transported to </w:t>
      </w:r>
      <w:proofErr w:type="spellStart"/>
      <w:r w:rsidR="0033269C">
        <w:t>Coptos</w:t>
      </w:r>
      <w:proofErr w:type="spellEnd"/>
      <w:r w:rsidR="0033269C">
        <w:t xml:space="preserve"> </w:t>
      </w:r>
      <w:r w:rsidR="00D66450">
        <w:t>so that</w:t>
      </w:r>
      <w:r w:rsidR="0033269C">
        <w:t xml:space="preserve"> there must have been at least some</w:t>
      </w:r>
      <w:r w:rsidR="00D66450">
        <w:t xml:space="preserve"> infrastructure to serve the caravans </w:t>
      </w:r>
      <w:r w:rsidR="0033269C">
        <w:t xml:space="preserve">along the </w:t>
      </w:r>
      <w:proofErr w:type="spellStart"/>
      <w:r w:rsidR="00A668F4">
        <w:t>Coptos</w:t>
      </w:r>
      <w:proofErr w:type="spellEnd"/>
      <w:r w:rsidR="008A4878">
        <w:t>–</w:t>
      </w:r>
      <w:proofErr w:type="spellStart"/>
      <w:r w:rsidR="00A668F4">
        <w:t>Berenike</w:t>
      </w:r>
      <w:proofErr w:type="spellEnd"/>
      <w:r w:rsidR="00A668F4">
        <w:t xml:space="preserve"> road</w:t>
      </w:r>
      <w:r w:rsidR="00DE17C7">
        <w:t>.</w:t>
      </w:r>
      <w:r w:rsidR="003F6776">
        <w:rPr>
          <w:rStyle w:val="FootnoteReference"/>
        </w:rPr>
        <w:footnoteReference w:id="18"/>
      </w:r>
      <w:r w:rsidR="00597423">
        <w:t xml:space="preserve"> </w:t>
      </w:r>
    </w:p>
    <w:p w14:paraId="1E0CF36F" w14:textId="77777777" w:rsidR="00D66450" w:rsidRDefault="00D66450" w:rsidP="00993FA6"/>
    <w:p w14:paraId="467B99B1" w14:textId="2B1501B3" w:rsidR="00D66450" w:rsidRDefault="008B48BC" w:rsidP="00993FA6">
      <w:r>
        <w:t xml:space="preserve">It is unclear </w:t>
      </w:r>
      <w:r w:rsidR="00A668F4">
        <w:t>who was residing</w:t>
      </w:r>
      <w:r>
        <w:t xml:space="preserve"> in </w:t>
      </w:r>
      <w:proofErr w:type="spellStart"/>
      <w:r>
        <w:t>Berenike</w:t>
      </w:r>
      <w:proofErr w:type="spellEnd"/>
      <w:r>
        <w:t xml:space="preserve"> in the late third century</w:t>
      </w:r>
      <w:r w:rsidR="00BF4AED">
        <w:t>.</w:t>
      </w:r>
      <w:r>
        <w:t xml:space="preserve"> </w:t>
      </w:r>
      <w:r w:rsidR="00BF4AED">
        <w:t>It</w:t>
      </w:r>
      <w:r>
        <w:t xml:space="preserve"> </w:t>
      </w:r>
      <w:r w:rsidR="00D66450">
        <w:t xml:space="preserve">was </w:t>
      </w:r>
      <w:r>
        <w:t xml:space="preserve">a </w:t>
      </w:r>
      <w:r w:rsidR="00D66450">
        <w:t>politically tumultuous</w:t>
      </w:r>
      <w:r>
        <w:t xml:space="preserve"> time</w:t>
      </w:r>
      <w:r w:rsidR="000F4F81">
        <w:t xml:space="preserve"> in </w:t>
      </w:r>
      <w:r w:rsidR="00923712">
        <w:t>Upper</w:t>
      </w:r>
      <w:r w:rsidR="000F4F81">
        <w:t xml:space="preserve"> Egypt</w:t>
      </w:r>
      <w:r w:rsidR="00BF4AED">
        <w:t xml:space="preserve">, </w:t>
      </w:r>
      <w:r w:rsidR="00873A7C">
        <w:t xml:space="preserve">with </w:t>
      </w:r>
      <w:proofErr w:type="spellStart"/>
      <w:r w:rsidR="00873A7C">
        <w:t>Coptos</w:t>
      </w:r>
      <w:proofErr w:type="spellEnd"/>
      <w:r w:rsidR="00873A7C">
        <w:t xml:space="preserve"> being a flash point for hostilities</w:t>
      </w:r>
      <w:r w:rsidR="00D66450">
        <w:t>.</w:t>
      </w:r>
      <w:r w:rsidR="00F02CE9">
        <w:t xml:space="preserve"> </w:t>
      </w:r>
      <w:r w:rsidR="00D66450">
        <w:t>Probus</w:t>
      </w:r>
      <w:r w:rsidR="002B343D">
        <w:t xml:space="preserve"> (ca. 280)</w:t>
      </w:r>
      <w:r w:rsidR="000E67A8">
        <w:t>, Galerius</w:t>
      </w:r>
      <w:r w:rsidR="00D66450">
        <w:t xml:space="preserve"> </w:t>
      </w:r>
      <w:r w:rsidR="002B343D">
        <w:t xml:space="preserve">(293/94) </w:t>
      </w:r>
      <w:r w:rsidR="00D66450">
        <w:t>and Diocletian</w:t>
      </w:r>
      <w:r w:rsidR="002B343D">
        <w:t xml:space="preserve"> (297/98)</w:t>
      </w:r>
      <w:r w:rsidR="00F02CE9">
        <w:t xml:space="preserve"> </w:t>
      </w:r>
      <w:r w:rsidR="002B343D">
        <w:t xml:space="preserve">all </w:t>
      </w:r>
      <w:r w:rsidR="00873A7C">
        <w:t xml:space="preserve">took measures to deal with unrest fomented by rebels, especially </w:t>
      </w:r>
      <w:r w:rsidR="0008546E">
        <w:t xml:space="preserve">by the </w:t>
      </w:r>
      <w:r w:rsidR="00873A7C">
        <w:t>semi-nomadic tribe of Blemmyes</w:t>
      </w:r>
      <w:r w:rsidR="00D66450">
        <w:t>.</w:t>
      </w:r>
      <w:r w:rsidR="000F4F81">
        <w:rPr>
          <w:rStyle w:val="FootnoteReference"/>
        </w:rPr>
        <w:footnoteReference w:id="19"/>
      </w:r>
      <w:r w:rsidR="00D66450">
        <w:t xml:space="preserve"> </w:t>
      </w:r>
      <w:proofErr w:type="spellStart"/>
      <w:r w:rsidR="002B343D">
        <w:t>Coptos’s</w:t>
      </w:r>
      <w:proofErr w:type="spellEnd"/>
      <w:r w:rsidR="002B343D">
        <w:t xml:space="preserve"> status as a center of trade with the East was surely a</w:t>
      </w:r>
      <w:r w:rsidR="00597423">
        <w:t xml:space="preserve">n important </w:t>
      </w:r>
      <w:r w:rsidR="002B343D">
        <w:t>reason for imperial intervention</w:t>
      </w:r>
      <w:r w:rsidR="00053732">
        <w:t xml:space="preserve">, </w:t>
      </w:r>
      <w:r w:rsidR="002B343D">
        <w:t xml:space="preserve">and this status depended too on smooth operations in </w:t>
      </w:r>
      <w:proofErr w:type="spellStart"/>
      <w:r w:rsidR="002B343D">
        <w:t>Berenike</w:t>
      </w:r>
      <w:proofErr w:type="spellEnd"/>
      <w:r w:rsidR="00D66450">
        <w:t xml:space="preserve">. </w:t>
      </w:r>
      <w:r w:rsidR="00252324">
        <w:t xml:space="preserve">In fact, I would go so far as to assert that still in the late third century </w:t>
      </w:r>
      <w:proofErr w:type="spellStart"/>
      <w:r w:rsidR="00252324">
        <w:t>Berenike</w:t>
      </w:r>
      <w:proofErr w:type="spellEnd"/>
      <w:r w:rsidR="00252324">
        <w:t xml:space="preserve"> was </w:t>
      </w:r>
      <w:r>
        <w:t>directly</w:t>
      </w:r>
      <w:r w:rsidR="00873A7C">
        <w:t xml:space="preserve"> </w:t>
      </w:r>
      <w:r w:rsidR="00252324">
        <w:t xml:space="preserve">affected by </w:t>
      </w:r>
      <w:r w:rsidR="00873A7C">
        <w:t xml:space="preserve">major </w:t>
      </w:r>
      <w:r w:rsidR="00252324">
        <w:t xml:space="preserve">events in </w:t>
      </w:r>
      <w:proofErr w:type="spellStart"/>
      <w:r w:rsidR="00252324">
        <w:t>Coptos</w:t>
      </w:r>
      <w:proofErr w:type="spellEnd"/>
      <w:r w:rsidR="00252324">
        <w:t xml:space="preserve">. </w:t>
      </w:r>
      <w:r w:rsidR="0067533A">
        <w:t>Unfortunately, th</w:t>
      </w:r>
      <w:r w:rsidR="002B343D">
        <w:t>e</w:t>
      </w:r>
      <w:r w:rsidR="0067533A">
        <w:t xml:space="preserve"> inscription </w:t>
      </w:r>
      <w:r w:rsidR="002B343D">
        <w:t xml:space="preserve">edited here </w:t>
      </w:r>
      <w:r w:rsidR="0067533A">
        <w:t>does not shed any direct light on the situation. One might assume</w:t>
      </w:r>
      <w:r w:rsidR="004166F0">
        <w:t xml:space="preserve"> </w:t>
      </w:r>
      <w:r w:rsidR="0031413D">
        <w:t>from the use of</w:t>
      </w:r>
      <w:r w:rsidR="001F46D3">
        <w:t xml:space="preserve"> </w:t>
      </w:r>
      <w:r w:rsidR="004166F0">
        <w:t xml:space="preserve">the regnal formula </w:t>
      </w:r>
      <w:r>
        <w:t>for Probus</w:t>
      </w:r>
      <w:r w:rsidR="0067533A">
        <w:t xml:space="preserve"> that</w:t>
      </w:r>
      <w:r w:rsidR="001F46D3">
        <w:t>,</w:t>
      </w:r>
      <w:r w:rsidR="0067533A">
        <w:t xml:space="preserve"> </w:t>
      </w:r>
      <w:r w:rsidR="00F02CE9">
        <w:t>at the time of its</w:t>
      </w:r>
      <w:r w:rsidR="00D66450">
        <w:t xml:space="preserve"> carv</w:t>
      </w:r>
      <w:r w:rsidR="00F02CE9">
        <w:t>ing</w:t>
      </w:r>
      <w:r w:rsidR="001F46D3">
        <w:t xml:space="preserve"> at least</w:t>
      </w:r>
      <w:r w:rsidR="00D66450">
        <w:t>, imperial structures were still functioning at the port</w:t>
      </w:r>
      <w:r w:rsidR="001F46D3">
        <w:t xml:space="preserve"> or that there was at least some degree of civic-mindedness</w:t>
      </w:r>
      <w:r w:rsidR="00D66450">
        <w:t>.</w:t>
      </w:r>
      <w:r w:rsidR="00287D07">
        <w:rPr>
          <w:rStyle w:val="FootnoteReference"/>
        </w:rPr>
        <w:footnoteReference w:id="20"/>
      </w:r>
      <w:r w:rsidR="00D66450">
        <w:t xml:space="preserve"> </w:t>
      </w:r>
      <w:r w:rsidR="0067533A">
        <w:t>But even supposing</w:t>
      </w:r>
      <w:r w:rsidR="00053732">
        <w:t xml:space="preserve"> </w:t>
      </w:r>
      <w:r w:rsidR="002B343D">
        <w:t>a very different scenario</w:t>
      </w:r>
      <w:r w:rsidR="00053732">
        <w:t>,</w:t>
      </w:r>
      <w:r w:rsidR="002B343D">
        <w:t xml:space="preserve"> for </w:t>
      </w:r>
      <w:r w:rsidR="002B343D">
        <w:lastRenderedPageBreak/>
        <w:t xml:space="preserve">example, </w:t>
      </w:r>
      <w:r w:rsidR="00053732">
        <w:t>that</w:t>
      </w:r>
      <w:r w:rsidR="0067533A">
        <w:t xml:space="preserve"> the Blemmyes </w:t>
      </w:r>
      <w:r w:rsidR="00597423">
        <w:t>had seized both</w:t>
      </w:r>
      <w:r w:rsidR="0067533A">
        <w:t xml:space="preserve"> </w:t>
      </w:r>
      <w:proofErr w:type="spellStart"/>
      <w:r w:rsidR="0067533A">
        <w:t>Coptos</w:t>
      </w:r>
      <w:proofErr w:type="spellEnd"/>
      <w:r w:rsidR="0067533A">
        <w:t xml:space="preserve"> and </w:t>
      </w:r>
      <w:proofErr w:type="spellStart"/>
      <w:r w:rsidR="0067533A">
        <w:t>Berenike</w:t>
      </w:r>
      <w:proofErr w:type="spellEnd"/>
      <w:r w:rsidR="0067533A">
        <w:t xml:space="preserve">, we </w:t>
      </w:r>
      <w:r w:rsidR="002B343D">
        <w:t>should not presume</w:t>
      </w:r>
      <w:r w:rsidR="0067533A">
        <w:t xml:space="preserve"> that they </w:t>
      </w:r>
      <w:r w:rsidR="00CC2EB7">
        <w:t>would have abandoned</w:t>
      </w:r>
      <w:r w:rsidR="004814A0">
        <w:t xml:space="preserve"> Roman</w:t>
      </w:r>
      <w:r w:rsidR="0067533A">
        <w:t xml:space="preserve"> imperial regnal formula</w:t>
      </w:r>
      <w:r w:rsidR="00CC2EB7">
        <w:t>s</w:t>
      </w:r>
      <w:r w:rsidR="0067533A">
        <w:t xml:space="preserve"> to date dedications.</w:t>
      </w:r>
      <w:r w:rsidR="00CC2EB7">
        <w:rPr>
          <w:rStyle w:val="FootnoteReference"/>
        </w:rPr>
        <w:footnoteReference w:id="21"/>
      </w:r>
      <w:r w:rsidR="0067533A">
        <w:t xml:space="preserve"> </w:t>
      </w:r>
      <w:r w:rsidR="00053732">
        <w:t>On the other hand,</w:t>
      </w:r>
      <w:r w:rsidR="002B343D">
        <w:t xml:space="preserve"> the </w:t>
      </w:r>
      <w:r w:rsidR="00252324">
        <w:t xml:space="preserve">inscription </w:t>
      </w:r>
      <w:r w:rsidR="002B343D">
        <w:t xml:space="preserve">could </w:t>
      </w:r>
      <w:r w:rsidR="00044001">
        <w:t>postdate Probus’s intervention</w:t>
      </w:r>
      <w:r w:rsidR="00252324">
        <w:t xml:space="preserve"> and </w:t>
      </w:r>
      <w:r w:rsidR="002B343D">
        <w:t xml:space="preserve">thus </w:t>
      </w:r>
      <w:r w:rsidR="00252324">
        <w:t xml:space="preserve">reflect </w:t>
      </w:r>
      <w:r w:rsidR="0067533A">
        <w:t>a situation in which</w:t>
      </w:r>
      <w:r>
        <w:t xml:space="preserve"> the</w:t>
      </w:r>
      <w:r w:rsidR="0067533A">
        <w:t xml:space="preserve"> imperial </w:t>
      </w:r>
      <w:r w:rsidR="004166F0">
        <w:t>administration</w:t>
      </w:r>
      <w:r w:rsidR="0067533A">
        <w:t xml:space="preserve"> had </w:t>
      </w:r>
      <w:r w:rsidR="004166F0">
        <w:t>reasserted itself</w:t>
      </w:r>
      <w:r w:rsidR="0067533A">
        <w:t xml:space="preserve">. </w:t>
      </w:r>
      <w:r w:rsidR="002B343D">
        <w:t xml:space="preserve">A further </w:t>
      </w:r>
      <w:r w:rsidR="00053732">
        <w:t>possib</w:t>
      </w:r>
      <w:r w:rsidR="002B343D">
        <w:t>ility</w:t>
      </w:r>
      <w:r w:rsidR="0067533A">
        <w:t xml:space="preserve"> </w:t>
      </w:r>
      <w:r w:rsidR="002B343D">
        <w:t xml:space="preserve">is </w:t>
      </w:r>
      <w:r w:rsidR="0067533A">
        <w:t>that</w:t>
      </w:r>
      <w:r w:rsidR="00044001">
        <w:t xml:space="preserve"> </w:t>
      </w:r>
      <w:r w:rsidR="00364B8D">
        <w:t xml:space="preserve">our </w:t>
      </w:r>
      <w:r w:rsidR="00044001">
        <w:t xml:space="preserve">sources have exaggerated the discord in </w:t>
      </w:r>
      <w:proofErr w:type="spellStart"/>
      <w:r w:rsidR="00044001">
        <w:t>Coptos</w:t>
      </w:r>
      <w:proofErr w:type="spellEnd"/>
      <w:r w:rsidR="00252324">
        <w:t>,</w:t>
      </w:r>
      <w:r w:rsidR="00252324">
        <w:rPr>
          <w:rStyle w:val="FootnoteReference"/>
        </w:rPr>
        <w:footnoteReference w:id="22"/>
      </w:r>
      <w:r w:rsidR="00252324">
        <w:t xml:space="preserve"> </w:t>
      </w:r>
      <w:r w:rsidR="004814A0">
        <w:t>and trade channels had</w:t>
      </w:r>
      <w:r w:rsidR="00364B8D">
        <w:t xml:space="preserve"> not</w:t>
      </w:r>
      <w:r w:rsidR="004814A0">
        <w:t xml:space="preserve"> been disrupted in any meaningful way</w:t>
      </w:r>
      <w:r w:rsidR="00044001">
        <w:t>.</w:t>
      </w:r>
      <w:r w:rsidR="00252324">
        <w:t xml:space="preserve"> </w:t>
      </w:r>
      <w:r w:rsidR="00E00B68">
        <w:t>W</w:t>
      </w:r>
      <w:r w:rsidR="00252324">
        <w:t xml:space="preserve">ithout additional evidence, </w:t>
      </w:r>
      <w:r w:rsidR="0008546E">
        <w:t xml:space="preserve">we cannot say </w:t>
      </w:r>
      <w:r>
        <w:t xml:space="preserve">who was organizing trade in </w:t>
      </w:r>
      <w:proofErr w:type="spellStart"/>
      <w:r w:rsidR="00743290">
        <w:t>Berenike</w:t>
      </w:r>
      <w:proofErr w:type="spellEnd"/>
      <w:r>
        <w:t xml:space="preserve"> in the time of Probus</w:t>
      </w:r>
      <w:r w:rsidR="00743290">
        <w:t xml:space="preserve"> or </w:t>
      </w:r>
      <w:r w:rsidR="00DE162E">
        <w:t xml:space="preserve">how </w:t>
      </w:r>
      <w:r w:rsidR="00743290">
        <w:t xml:space="preserve">regional </w:t>
      </w:r>
      <w:r w:rsidR="00DE162E">
        <w:t xml:space="preserve">politics were affecting </w:t>
      </w:r>
      <w:r w:rsidR="00E6362F">
        <w:t>the port</w:t>
      </w:r>
      <w:r w:rsidR="00252324">
        <w:t>.</w:t>
      </w:r>
    </w:p>
    <w:p w14:paraId="1CE874EB" w14:textId="5DDD71F7" w:rsidR="00597423" w:rsidRDefault="00597423" w:rsidP="00993FA6"/>
    <w:p w14:paraId="4F446D03" w14:textId="42AA7C0B" w:rsidR="00597423" w:rsidRDefault="00597423" w:rsidP="00993FA6">
      <w:r>
        <w:t xml:space="preserve">It should be noted that the abandonment of the Roman-built forts did not spell the end of </w:t>
      </w:r>
      <w:proofErr w:type="spellStart"/>
      <w:r>
        <w:t>Berenike</w:t>
      </w:r>
      <w:proofErr w:type="spellEnd"/>
      <w:r w:rsidR="009909AB">
        <w:t xml:space="preserve"> or other settl</w:t>
      </w:r>
      <w:r w:rsidR="00364B8D">
        <w:t>e</w:t>
      </w:r>
      <w:r w:rsidR="009909AB">
        <w:t>ments in the desert.</w:t>
      </w:r>
      <w:r w:rsidR="009909AB">
        <w:rPr>
          <w:rStyle w:val="FootnoteReference"/>
        </w:rPr>
        <w:footnoteReference w:id="23"/>
      </w:r>
      <w:r>
        <w:t xml:space="preserve"> </w:t>
      </w:r>
      <w:r w:rsidR="004166F0">
        <w:t>Although</w:t>
      </w:r>
      <w:r w:rsidR="00A668F4">
        <w:t xml:space="preserve"> there is</w:t>
      </w:r>
      <w:r w:rsidR="004166F0">
        <w:t xml:space="preserve"> </w:t>
      </w:r>
      <w:r w:rsidR="008B48BC">
        <w:t>very</w:t>
      </w:r>
      <w:r w:rsidR="004166F0">
        <w:t xml:space="preserve"> little written evidence </w:t>
      </w:r>
      <w:r w:rsidR="008B48BC">
        <w:t xml:space="preserve">from </w:t>
      </w:r>
      <w:r w:rsidR="004166F0">
        <w:t>after the third century,</w:t>
      </w:r>
      <w:r w:rsidR="008B48BC">
        <w:rPr>
          <w:rStyle w:val="FootnoteReference"/>
        </w:rPr>
        <w:footnoteReference w:id="24"/>
      </w:r>
      <w:r w:rsidR="004166F0">
        <w:t xml:space="preserve"> ceramics and other finds from the mid-fourth </w:t>
      </w:r>
      <w:r w:rsidR="008B48BC">
        <w:t>through the fifth century</w:t>
      </w:r>
      <w:r w:rsidR="004166F0">
        <w:t xml:space="preserve"> have suggested a significant renewal </w:t>
      </w:r>
      <w:r w:rsidR="00A668F4">
        <w:t>in</w:t>
      </w:r>
      <w:r w:rsidR="004166F0">
        <w:t xml:space="preserve"> activity at the site.</w:t>
      </w:r>
      <w:r w:rsidR="004166F0">
        <w:rPr>
          <w:rStyle w:val="FootnoteReference"/>
        </w:rPr>
        <w:footnoteReference w:id="25"/>
      </w:r>
      <w:r w:rsidR="00A01AB0">
        <w:t xml:space="preserve">  </w:t>
      </w:r>
      <w:r w:rsidR="008B48BC">
        <w:t>The Blemmyes seem to have played a large part in this</w:t>
      </w:r>
      <w:r w:rsidR="00A668F4">
        <w:t xml:space="preserve">, </w:t>
      </w:r>
      <w:r w:rsidR="008B48BC">
        <w:t>but what</w:t>
      </w:r>
      <w:r w:rsidR="00A01AB0">
        <w:t xml:space="preserve"> networks they used and how they organized trade is </w:t>
      </w:r>
      <w:r w:rsidR="004166F0">
        <w:t>a subject that deserves further attention</w:t>
      </w:r>
      <w:r w:rsidR="00A01AB0">
        <w:t>.</w:t>
      </w:r>
    </w:p>
    <w:p w14:paraId="0B39090F" w14:textId="5A7F932E" w:rsidR="00823A30" w:rsidRDefault="00823A30" w:rsidP="00582B7D">
      <w:pPr>
        <w:tabs>
          <w:tab w:val="left" w:pos="1405"/>
        </w:tabs>
      </w:pPr>
    </w:p>
    <w:p w14:paraId="55A3D6E6" w14:textId="72196922" w:rsidR="0033269C" w:rsidRDefault="00040E7E" w:rsidP="00582B7D">
      <w:pPr>
        <w:tabs>
          <w:tab w:val="left" w:pos="1405"/>
        </w:tabs>
      </w:pPr>
      <w:r>
        <w:t>#text</w:t>
      </w:r>
    </w:p>
    <w:p w14:paraId="7B9ACE3F" w14:textId="77777777" w:rsidR="00040E7E" w:rsidRPr="00040E7E" w:rsidRDefault="00040E7E" w:rsidP="00582B7D">
      <w:pPr>
        <w:tabs>
          <w:tab w:val="left" w:pos="1405"/>
        </w:tabs>
      </w:pPr>
    </w:p>
    <w:p w14:paraId="71FBBA1A" w14:textId="77777777" w:rsidR="00816784" w:rsidRPr="00816784" w:rsidRDefault="00816784" w:rsidP="00816784">
      <w:pPr>
        <w:rPr>
          <w:rFonts w:ascii="IFAO-Grec Unicode" w:hAnsi="IFAO-Grec Unicode"/>
        </w:rPr>
      </w:pPr>
      <w:r w:rsidRPr="00816784">
        <w:rPr>
          <w:rFonts w:ascii="IFAO-Grec Unicode" w:hAnsi="IFAO-Grec Unicode"/>
        </w:rPr>
        <w:t>&lt;S=.</w:t>
      </w:r>
      <w:proofErr w:type="spellStart"/>
      <w:r w:rsidRPr="00816784">
        <w:rPr>
          <w:rFonts w:ascii="IFAO-Grec Unicode" w:hAnsi="IFAO-Grec Unicode"/>
        </w:rPr>
        <w:t>grc</w:t>
      </w:r>
      <w:proofErr w:type="spellEnd"/>
    </w:p>
    <w:p w14:paraId="611F5FBE" w14:textId="77777777" w:rsidR="00816784" w:rsidRPr="00816784" w:rsidRDefault="00816784" w:rsidP="00816784">
      <w:pPr>
        <w:rPr>
          <w:rFonts w:ascii="IFAO-Grec Unicode" w:hAnsi="IFAO-Grec Unicode"/>
        </w:rPr>
      </w:pPr>
      <w:r w:rsidRPr="00816784">
        <w:rPr>
          <w:rFonts w:ascii="IFAO-Grec Unicode" w:hAnsi="IFAO-Grec Unicode"/>
        </w:rPr>
        <w:t>&lt;=</w:t>
      </w:r>
    </w:p>
    <w:p w14:paraId="0BA8F63C" w14:textId="77777777" w:rsidR="00816784" w:rsidRPr="00816784" w:rsidRDefault="00816784" w:rsidP="00816784">
      <w:pPr>
        <w:rPr>
          <w:rFonts w:ascii="IFAO-Grec Unicode" w:hAnsi="IFAO-Grec Unicode"/>
        </w:rPr>
      </w:pPr>
      <w:r w:rsidRPr="00816784">
        <w:rPr>
          <w:rFonts w:ascii="IFAO-Grec Unicode" w:hAnsi="IFAO-Grec Unicode"/>
        </w:rPr>
        <w:t>1. lost</w:t>
      </w:r>
      <w:proofErr w:type="gramStart"/>
      <w:r w:rsidRPr="00816784">
        <w:rPr>
          <w:rFonts w:ascii="IFAO-Grec Unicode" w:hAnsi="IFAO-Grec Unicode"/>
        </w:rPr>
        <w:t>.?</w:t>
      </w:r>
      <w:proofErr w:type="spellStart"/>
      <w:r w:rsidRPr="00816784">
        <w:rPr>
          <w:rFonts w:ascii="IFAO-Grec Unicode" w:hAnsi="IFAO-Grec Unicode"/>
        </w:rPr>
        <w:t>lin</w:t>
      </w:r>
      <w:proofErr w:type="spellEnd"/>
      <w:proofErr w:type="gramEnd"/>
    </w:p>
    <w:p w14:paraId="6BFB1916" w14:textId="5618EFFC" w:rsidR="00816784" w:rsidRPr="00816784" w:rsidRDefault="00816784" w:rsidP="00816784">
      <w:pPr>
        <w:rPr>
          <w:rFonts w:ascii="IFAO-Grec Unicode" w:hAnsi="IFAO-Grec Unicode"/>
        </w:rPr>
      </w:pPr>
      <w:r w:rsidRPr="00816784">
        <w:rPr>
          <w:rFonts w:ascii="IFAO-Grec Unicode" w:hAnsi="IFAO-Grec Unicode"/>
        </w:rPr>
        <w:t xml:space="preserve">1. [.?].4[.?] </w:t>
      </w:r>
    </w:p>
    <w:p w14:paraId="1AFE512A" w14:textId="27EC31A3" w:rsidR="00816784" w:rsidRPr="00816784" w:rsidRDefault="00816784" w:rsidP="00816784">
      <w:pPr>
        <w:rPr>
          <w:rFonts w:ascii="IFAO-Grec Unicode" w:hAnsi="IFAO-Grec Unicode"/>
        </w:rPr>
      </w:pPr>
      <w:r w:rsidRPr="00816784">
        <w:rPr>
          <w:rFonts w:ascii="IFAO-Grec Unicode" w:hAnsi="IFAO-Grec Unicode"/>
        </w:rPr>
        <w:t>2. [ca.3].2ων̣ ἀ</w:t>
      </w:r>
      <w:proofErr w:type="spellStart"/>
      <w:r w:rsidRPr="00816784">
        <w:rPr>
          <w:rFonts w:ascii="IFAO-Grec Unicode" w:hAnsi="IFAO-Grec Unicode"/>
        </w:rPr>
        <w:t>νέθηκεν</w:t>
      </w:r>
      <w:proofErr w:type="spellEnd"/>
      <w:r w:rsidRPr="00816784">
        <w:rPr>
          <w:rFonts w:ascii="IFAO-Grec Unicode" w:hAnsi="IFAO-Grec Unicode"/>
        </w:rPr>
        <w:t xml:space="preserve"> </w:t>
      </w:r>
      <w:proofErr w:type="spellStart"/>
      <w:r w:rsidRPr="00816784">
        <w:rPr>
          <w:rFonts w:ascii="IFAO-Grec Unicode" w:hAnsi="IFAO-Grec Unicode"/>
        </w:rPr>
        <w:t>εὐσ</w:t>
      </w:r>
      <w:proofErr w:type="spellEnd"/>
      <w:r w:rsidRPr="00816784">
        <w:rPr>
          <w:rFonts w:ascii="IFAO-Grec Unicode" w:hAnsi="IFAO-Grec Unicode"/>
        </w:rPr>
        <w:t>̣[εβ]</w:t>
      </w:r>
      <w:proofErr w:type="spellStart"/>
      <w:r w:rsidRPr="00816784">
        <w:rPr>
          <w:rFonts w:ascii="IFAO-Grec Unicode" w:hAnsi="IFAO-Grec Unicode"/>
        </w:rPr>
        <w:t>ε̣ι</w:t>
      </w:r>
      <w:proofErr w:type="spellEnd"/>
      <w:r w:rsidRPr="00816784">
        <w:rPr>
          <w:rFonts w:ascii="IFAO-Grec Unicode" w:hAnsi="IFAO-Grec Unicode"/>
        </w:rPr>
        <w:t>́α[ς]</w:t>
      </w:r>
    </w:p>
    <w:p w14:paraId="297C6897" w14:textId="145AE571" w:rsidR="00816784" w:rsidRPr="00816784" w:rsidRDefault="00816784" w:rsidP="00816784">
      <w:pPr>
        <w:rPr>
          <w:rFonts w:ascii="IFAO-Grec Unicode" w:hAnsi="IFAO-Grec Unicode"/>
        </w:rPr>
      </w:pPr>
      <w:r w:rsidRPr="00816784">
        <w:rPr>
          <w:rFonts w:ascii="IFAO-Grec Unicode" w:hAnsi="IFAO-Grec Unicode"/>
        </w:rPr>
        <w:t>3. [χ]ά̣</w:t>
      </w:r>
      <w:proofErr w:type="spellStart"/>
      <w:r w:rsidRPr="00816784">
        <w:rPr>
          <w:rFonts w:ascii="IFAO-Grec Unicode" w:hAnsi="IFAO-Grec Unicode"/>
        </w:rPr>
        <w:t>ριν</w:t>
      </w:r>
      <w:proofErr w:type="spellEnd"/>
      <w:r w:rsidRPr="00816784">
        <w:rPr>
          <w:rFonts w:ascii="IFAO-Grec Unicode" w:hAnsi="IFAO-Grec Unicode"/>
        </w:rPr>
        <w:t>̣ ἐπ᾿ ἀγα</w:t>
      </w:r>
      <w:proofErr w:type="spellStart"/>
      <w:r w:rsidRPr="00816784">
        <w:rPr>
          <w:rFonts w:ascii="IFAO-Grec Unicode" w:hAnsi="IFAO-Grec Unicode"/>
        </w:rPr>
        <w:t>θ</w:t>
      </w:r>
      <w:r w:rsidR="00516147">
        <w:rPr>
          <w:rFonts w:ascii="IFAO-Grec Unicode" w:hAnsi="IFAO-Grec Unicode"/>
        </w:rPr>
        <w:t>o</w:t>
      </w:r>
      <w:proofErr w:type="spellEnd"/>
      <w:r w:rsidR="00516147">
        <w:rPr>
          <w:rFonts w:ascii="IFAO-Grec Unicode" w:hAnsi="IFAO-Grec Unicode"/>
        </w:rPr>
        <w:t>̣</w:t>
      </w:r>
      <w:proofErr w:type="spellStart"/>
      <w:r w:rsidR="00516147">
        <w:rPr>
          <w:rFonts w:ascii="IFAO-Grec Unicode" w:hAnsi="IFAO-Grec Unicode"/>
          <w:lang w:val="x-none"/>
        </w:rPr>
        <w:t>ῖ̣</w:t>
      </w:r>
      <w:r w:rsidRPr="00816784">
        <w:rPr>
          <w:rFonts w:ascii="IFAO-Grec Unicode" w:hAnsi="IFAO-Grec Unicode"/>
        </w:rPr>
        <w:t>ς</w:t>
      </w:r>
      <w:proofErr w:type="spellEnd"/>
      <w:r w:rsidRPr="00816784">
        <w:rPr>
          <w:rFonts w:ascii="IFAO-Grec Unicode" w:hAnsi="IFAO-Grec Unicode"/>
        </w:rPr>
        <w:t xml:space="preserve">̣ </w:t>
      </w:r>
      <w:r w:rsidRPr="00516147">
        <w:rPr>
          <w:rFonts w:ascii="IFAO-Grec Unicode" w:hAnsi="IFAO-Grec Unicode"/>
        </w:rPr>
        <w:t>[ca.4]</w:t>
      </w:r>
      <w:r w:rsidRPr="00816784">
        <w:rPr>
          <w:rFonts w:ascii="IFAO-Grec Unicode" w:hAnsi="IFAO-Grec Unicode"/>
        </w:rPr>
        <w:t xml:space="preserve"> </w:t>
      </w:r>
      <w:proofErr w:type="spellStart"/>
      <w:r w:rsidRPr="00816784">
        <w:rPr>
          <w:rFonts w:ascii="IFAO-Grec Unicode" w:hAnsi="IFAO-Grec Unicode"/>
        </w:rPr>
        <w:t>Προ</w:t>
      </w:r>
      <w:proofErr w:type="spellEnd"/>
      <w:r w:rsidRPr="00816784">
        <w:rPr>
          <w:rFonts w:ascii="IFAO-Grec Unicode" w:hAnsi="IFAO-Grec Unicode"/>
        </w:rPr>
        <w:t>́βο̣[υ]</w:t>
      </w:r>
    </w:p>
    <w:p w14:paraId="24C52267" w14:textId="0887291A" w:rsidR="00816784" w:rsidRPr="00816784" w:rsidRDefault="00816784" w:rsidP="00816784">
      <w:pPr>
        <w:rPr>
          <w:rFonts w:ascii="IFAO-Grec Unicode" w:hAnsi="IFAO-Grec Unicode"/>
        </w:rPr>
      </w:pPr>
      <w:r w:rsidRPr="00816784">
        <w:rPr>
          <w:rFonts w:ascii="IFAO-Grec Unicode" w:hAnsi="IFAO-Grec Unicode"/>
        </w:rPr>
        <w:t xml:space="preserve">4. </w:t>
      </w:r>
      <w:proofErr w:type="spellStart"/>
      <w:r w:rsidRPr="00816784">
        <w:rPr>
          <w:rFonts w:ascii="IFAO-Grec Unicode" w:hAnsi="IFAO-Grec Unicode"/>
        </w:rPr>
        <w:t>τ̣ου</w:t>
      </w:r>
      <w:proofErr w:type="spellEnd"/>
      <w:r w:rsidRPr="00816784">
        <w:rPr>
          <w:rFonts w:ascii="IFAO-Grec Unicode" w:hAnsi="IFAO-Grec Unicode"/>
        </w:rPr>
        <w:t xml:space="preserve">͂ </w:t>
      </w:r>
      <w:proofErr w:type="spellStart"/>
      <w:r w:rsidRPr="00816784">
        <w:rPr>
          <w:rFonts w:ascii="IFAO-Grec Unicode" w:hAnsi="IFAO-Grec Unicode"/>
        </w:rPr>
        <w:t>κ̣υρίου</w:t>
      </w:r>
      <w:proofErr w:type="spellEnd"/>
      <w:r w:rsidRPr="00816784">
        <w:rPr>
          <w:rFonts w:ascii="IFAO-Grec Unicode" w:hAnsi="IFAO-Grec Unicode"/>
        </w:rPr>
        <w:t xml:space="preserve"> </w:t>
      </w:r>
      <w:proofErr w:type="spellStart"/>
      <w:r w:rsidRPr="00816784">
        <w:rPr>
          <w:rFonts w:ascii="IFAO-Grec Unicode" w:hAnsi="IFAO-Grec Unicode"/>
        </w:rPr>
        <w:t>ἡμῶν</w:t>
      </w:r>
      <w:proofErr w:type="spellEnd"/>
      <w:r w:rsidRPr="00816784">
        <w:rPr>
          <w:rFonts w:ascii="IFAO-Grec Unicode" w:hAnsi="IFAO-Grec Unicode"/>
        </w:rPr>
        <w:t xml:space="preserve"> </w:t>
      </w:r>
      <w:proofErr w:type="spellStart"/>
      <w:r w:rsidRPr="00816784">
        <w:rPr>
          <w:rFonts w:ascii="IFAO-Grec Unicode" w:hAnsi="IFAO-Grec Unicode"/>
        </w:rPr>
        <w:t>Σε</w:t>
      </w:r>
      <w:proofErr w:type="spellEnd"/>
      <w:r w:rsidRPr="00816784">
        <w:rPr>
          <w:rFonts w:ascii="IFAO-Grec Unicode" w:hAnsi="IFAO-Grec Unicode"/>
        </w:rPr>
        <w:t>βα</w:t>
      </w:r>
      <w:proofErr w:type="spellStart"/>
      <w:r w:rsidRPr="00816784">
        <w:rPr>
          <w:rFonts w:ascii="IFAO-Grec Unicode" w:hAnsi="IFAO-Grec Unicode"/>
        </w:rPr>
        <w:t>στου</w:t>
      </w:r>
      <w:proofErr w:type="spellEnd"/>
      <w:r w:rsidRPr="00816784">
        <w:rPr>
          <w:rFonts w:ascii="IFAO-Grec Unicode" w:hAnsi="IFAO-Grec Unicode"/>
        </w:rPr>
        <w:t>͂</w:t>
      </w:r>
      <w:r w:rsidR="00516147" w:rsidRPr="00516147">
        <w:t xml:space="preserve"> </w:t>
      </w:r>
      <w:r w:rsidR="00516147" w:rsidRPr="00516147">
        <w:rPr>
          <w:rFonts w:ascii="IFAO-Grec Unicode" w:hAnsi="IFAO-Grec Unicode"/>
        </w:rPr>
        <w:t>*filler(extension)</w:t>
      </w:r>
      <w:r w:rsidRPr="00516147">
        <w:rPr>
          <w:rFonts w:ascii="IFAO-Grec Unicode" w:hAnsi="IFAO-Grec Unicode"/>
        </w:rPr>
        <w:t>*</w:t>
      </w:r>
    </w:p>
    <w:p w14:paraId="39C59013" w14:textId="2B3907D8" w:rsidR="00816784" w:rsidRPr="00816784" w:rsidRDefault="00816784" w:rsidP="00816784">
      <w:pPr>
        <w:rPr>
          <w:rFonts w:ascii="IFAO-Grec Unicode" w:hAnsi="IFAO-Grec Unicode"/>
        </w:rPr>
      </w:pPr>
      <w:r w:rsidRPr="00816784">
        <w:rPr>
          <w:rFonts w:ascii="IFAO-Grec Unicode" w:hAnsi="IFAO-Grec Unicode"/>
        </w:rPr>
        <w:t xml:space="preserve">5. [.?].3 </w:t>
      </w:r>
      <w:proofErr w:type="spellStart"/>
      <w:r w:rsidRPr="00816784">
        <w:rPr>
          <w:rFonts w:ascii="IFAO-Grec Unicode" w:hAnsi="IFAO-Grec Unicode"/>
        </w:rPr>
        <w:t>Ἁθὺρ</w:t>
      </w:r>
      <w:proofErr w:type="spellEnd"/>
      <w:r w:rsidRPr="00816784">
        <w:rPr>
          <w:rFonts w:ascii="IFAO-Grec Unicode" w:hAnsi="IFAO-Grec Unicode"/>
        </w:rPr>
        <w:t xml:space="preserve"> </w:t>
      </w:r>
      <w:proofErr w:type="gramStart"/>
      <w:r w:rsidRPr="00816784">
        <w:rPr>
          <w:rFonts w:ascii="IFAO-Grec Unicode" w:hAnsi="IFAO-Grec Unicode"/>
        </w:rPr>
        <w:t>κα  *</w:t>
      </w:r>
      <w:proofErr w:type="gramEnd"/>
      <w:r w:rsidRPr="00816784">
        <w:rPr>
          <w:rFonts w:ascii="IFAO-Grec Unicode" w:hAnsi="IFAO-Grec Unicode"/>
        </w:rPr>
        <w:t>hedera*</w:t>
      </w:r>
    </w:p>
    <w:p w14:paraId="392BA014" w14:textId="6B350DC1" w:rsidR="00993FA6" w:rsidRPr="0099146F" w:rsidRDefault="00816784" w:rsidP="00816784">
      <w:r w:rsidRPr="00816784">
        <w:rPr>
          <w:rFonts w:ascii="IFAO-Grec Unicode" w:hAnsi="IFAO-Grec Unicode"/>
        </w:rPr>
        <w:t>=&gt;</w:t>
      </w:r>
    </w:p>
    <w:p w14:paraId="6C40F158" w14:textId="03A2F3B2" w:rsidR="00BA7F79" w:rsidRDefault="00BA7F79"/>
    <w:p w14:paraId="2AE22C3F" w14:textId="77777777" w:rsidR="00816784" w:rsidRDefault="00816784" w:rsidP="00816784">
      <w:pPr>
        <w:pStyle w:val="Standard"/>
        <w:spacing w:after="0" w:line="240" w:lineRule="auto"/>
        <w:rPr>
          <w:rFonts w:ascii="Times New Roman" w:hAnsi="Times New Roman"/>
        </w:rPr>
      </w:pPr>
      <w:r>
        <w:t>#translation</w:t>
      </w:r>
    </w:p>
    <w:p w14:paraId="123A9313" w14:textId="29D07787" w:rsidR="00573AEA" w:rsidRDefault="00573AEA" w:rsidP="00573AEA">
      <w:r>
        <w:t>&lt;T=.</w:t>
      </w:r>
      <w:proofErr w:type="spellStart"/>
      <w:r>
        <w:t>en</w:t>
      </w:r>
      <w:proofErr w:type="spellEnd"/>
    </w:p>
    <w:p w14:paraId="3E1AF2D2" w14:textId="6C290C54" w:rsidR="00816784" w:rsidRPr="00816784" w:rsidRDefault="00573AEA" w:rsidP="00573AEA">
      <w:r>
        <w:t xml:space="preserve">            &lt;=</w:t>
      </w:r>
    </w:p>
    <w:p w14:paraId="438BD08F" w14:textId="39BB37F5" w:rsidR="00BA7F79" w:rsidRDefault="00BA7F79">
      <w:r>
        <w:t xml:space="preserve">“… set this up as an expression of piety for the </w:t>
      </w:r>
      <w:r w:rsidR="002844CB">
        <w:t>benefits</w:t>
      </w:r>
      <w:r>
        <w:t xml:space="preserve"> … of Probus our lord Augustus…</w:t>
      </w:r>
      <w:proofErr w:type="spellStart"/>
      <w:r>
        <w:t>Hathyr</w:t>
      </w:r>
      <w:proofErr w:type="spellEnd"/>
      <w:r>
        <w:t xml:space="preserve"> 21 (hedera).”</w:t>
      </w:r>
    </w:p>
    <w:p w14:paraId="7410E48C" w14:textId="62E1B7B9" w:rsidR="00BA7F79" w:rsidRDefault="00573AEA">
      <w:r>
        <w:t>=&gt;</w:t>
      </w:r>
    </w:p>
    <w:p w14:paraId="51309A2A" w14:textId="0420DC4C" w:rsidR="00573AEA" w:rsidRDefault="00573AEA">
      <w:r w:rsidRPr="00573AEA">
        <w:t xml:space="preserve">         =T&gt;</w:t>
      </w:r>
    </w:p>
    <w:p w14:paraId="2BB2464F" w14:textId="77777777" w:rsidR="00573AEA" w:rsidRDefault="00573AEA"/>
    <w:p w14:paraId="58BA6680" w14:textId="77777777" w:rsidR="00816784" w:rsidRDefault="00816784" w:rsidP="00816784">
      <w:pPr>
        <w:pStyle w:val="Standard"/>
        <w:spacing w:after="0" w:line="240" w:lineRule="auto"/>
        <w:rPr>
          <w:rStyle w:val="Absatz-Standardschriftart"/>
          <w:rFonts w:ascii="IFAO-Grec Unicode" w:eastAsia="NewAthenaUnicode" w:hAnsi="IFAO-Grec Unicode" w:cs="Yu Gothic"/>
        </w:rPr>
      </w:pPr>
      <w:r>
        <w:t>#commentary</w:t>
      </w:r>
    </w:p>
    <w:p w14:paraId="6F4582DE" w14:textId="77777777" w:rsidR="00816784" w:rsidRPr="00816784" w:rsidRDefault="00816784"/>
    <w:p w14:paraId="794A8FCF" w14:textId="597E8EDA" w:rsidR="00EC7EB1" w:rsidRDefault="00EC7EB1">
      <w:pPr>
        <w:rPr>
          <w:rFonts w:ascii="IFAO-Grec Unicode" w:hAnsi="IFAO-Grec Unicode"/>
        </w:rPr>
      </w:pPr>
      <w:r>
        <w:t>2 </w:t>
      </w:r>
      <w:r w:rsidR="006527EA">
        <w:t xml:space="preserve">On autopsy, the reading </w:t>
      </w:r>
      <w:r w:rsidR="006527EA">
        <w:rPr>
          <w:rFonts w:ascii="IFAO-Grec Unicode" w:hAnsi="IFAO-Grec Unicode"/>
        </w:rPr>
        <w:t xml:space="preserve">[ </w:t>
      </w:r>
      <w:r w:rsidR="00816784">
        <w:rPr>
          <w:rFonts w:ascii="IFAO-Grec Unicode" w:hAnsi="IFAO-Grec Unicode"/>
        </w:rPr>
        <w:t xml:space="preserve">ca. </w:t>
      </w:r>
      <w:proofErr w:type="gramStart"/>
      <w:r w:rsidR="00816784">
        <w:rPr>
          <w:rFonts w:ascii="IFAO-Grec Unicode" w:hAnsi="IFAO-Grec Unicode"/>
        </w:rPr>
        <w:t>3</w:t>
      </w:r>
      <w:r w:rsidR="006527EA">
        <w:rPr>
          <w:rFonts w:ascii="IFAO-Grec Unicode" w:hAnsi="IFAO-Grec Unicode"/>
        </w:rPr>
        <w:t xml:space="preserve"> </w:t>
      </w:r>
      <w:r w:rsidR="006527EA" w:rsidRPr="00D07D63">
        <w:rPr>
          <w:rFonts w:ascii="IFAO-Grec Unicode" w:hAnsi="IFAO-Grec Unicode"/>
        </w:rPr>
        <w:t>]</w:t>
      </w:r>
      <w:r w:rsidR="006527EA">
        <w:rPr>
          <w:rFonts w:ascii="IFAO-Grec Unicode" w:hAnsi="IFAO-Grec Unicode"/>
        </w:rPr>
        <w:t>α̣</w:t>
      </w:r>
      <w:proofErr w:type="spellStart"/>
      <w:r w:rsidR="006527EA">
        <w:rPr>
          <w:rFonts w:ascii="IFAO-Grec Unicode" w:hAnsi="IFAO-Grec Unicode"/>
        </w:rPr>
        <w:t>ρ̣</w:t>
      </w:r>
      <w:r w:rsidR="006527EA" w:rsidRPr="00D07D63">
        <w:rPr>
          <w:rFonts w:ascii="IFAO-Grec Unicode" w:hAnsi="IFAO-Grec Unicode"/>
        </w:rPr>
        <w:t>ω</w:t>
      </w:r>
      <w:r w:rsidR="006527EA">
        <w:rPr>
          <w:rFonts w:ascii="IFAO-Grec Unicode" w:hAnsi="IFAO-Grec Unicode"/>
        </w:rPr>
        <w:t>ν</w:t>
      </w:r>
      <w:proofErr w:type="spellEnd"/>
      <w:r w:rsidR="006527EA">
        <w:rPr>
          <w:rFonts w:ascii="IFAO-Grec Unicode" w:hAnsi="IFAO-Grec Unicode"/>
        </w:rPr>
        <w:t>̣</w:t>
      </w:r>
      <w:proofErr w:type="gramEnd"/>
      <w:r w:rsidR="006527EA" w:rsidRPr="00D07D63">
        <w:rPr>
          <w:rFonts w:ascii="IFAO-Grec Unicode" w:hAnsi="IFAO-Grec Unicode"/>
        </w:rPr>
        <w:t xml:space="preserve"> </w:t>
      </w:r>
      <w:r w:rsidR="006527EA">
        <w:rPr>
          <w:rFonts w:ascii="IFAO-Grec Unicode" w:hAnsi="IFAO-Grec Unicode"/>
        </w:rPr>
        <w:t>seemed plausible, but not firm enough to warrant being printed in the text.</w:t>
      </w:r>
    </w:p>
    <w:p w14:paraId="0B12C5C6" w14:textId="60AC340B" w:rsidR="00C754A0" w:rsidRPr="007519AA" w:rsidRDefault="00C754A0">
      <w:r>
        <w:rPr>
          <w:rFonts w:ascii="IFAO-Grec Unicode" w:hAnsi="IFAO-Grec Unicode"/>
        </w:rPr>
        <w:tab/>
      </w:r>
      <w:r w:rsidRPr="007519AA">
        <w:rPr>
          <w:rFonts w:ascii="IFAO-Grec Unicode" w:hAnsi="IFAO-Grec Unicode"/>
        </w:rPr>
        <w:t xml:space="preserve">The letters </w:t>
      </w:r>
      <w:r w:rsidRPr="00BD2D5B">
        <w:rPr>
          <w:rFonts w:ascii="IFAO-Grec Unicode" w:hAnsi="IFAO-Grec Unicode"/>
        </w:rPr>
        <w:t>EY are easily read</w:t>
      </w:r>
      <w:r w:rsidR="007519AA" w:rsidRPr="00BD2D5B">
        <w:rPr>
          <w:rFonts w:ascii="IFAO-Grec Unicode" w:hAnsi="IFAO-Grec Unicode"/>
        </w:rPr>
        <w:t>. Upsilon is followed by a vertical stroke connected to a horizontal hasta on top</w:t>
      </w:r>
      <w:r w:rsidR="00BD2D5B" w:rsidRPr="00BD2D5B">
        <w:rPr>
          <w:rFonts w:ascii="IFAO-Grec Unicode" w:hAnsi="IFAO-Grec Unicode"/>
        </w:rPr>
        <w:t xml:space="preserve"> that sticks out to the right</w:t>
      </w:r>
      <w:r w:rsidR="007519AA" w:rsidRPr="00BD2D5B">
        <w:rPr>
          <w:rFonts w:ascii="IFAO-Grec Unicode" w:hAnsi="IFAO-Grec Unicode"/>
        </w:rPr>
        <w:t xml:space="preserve">; this could be the top of either </w:t>
      </w:r>
      <w:r w:rsidR="00E2427E">
        <w:rPr>
          <w:rFonts w:ascii="IFAO-Grec Unicode" w:hAnsi="IFAO-Grec Unicode"/>
        </w:rPr>
        <w:t xml:space="preserve">Σ </w:t>
      </w:r>
      <w:r w:rsidR="007519AA" w:rsidRPr="00BD2D5B">
        <w:rPr>
          <w:rFonts w:ascii="IFAO-Grec Unicode" w:hAnsi="IFAO-Grec Unicode"/>
        </w:rPr>
        <w:t xml:space="preserve">or </w:t>
      </w:r>
      <w:r w:rsidR="00E2427E">
        <w:rPr>
          <w:rFonts w:ascii="IFAO-Grec Unicode" w:hAnsi="IFAO-Grec Unicode"/>
        </w:rPr>
        <w:t>Π</w:t>
      </w:r>
      <w:r w:rsidR="007519AA" w:rsidRPr="00BD2D5B">
        <w:rPr>
          <w:rFonts w:ascii="IFAO-Grec Unicode" w:hAnsi="IFAO-Grec Unicode"/>
        </w:rPr>
        <w:t xml:space="preserve">. At the end of the line is </w:t>
      </w:r>
      <w:r w:rsidR="00E2427E">
        <w:rPr>
          <w:rFonts w:ascii="IFAO-Grec Unicode" w:hAnsi="IFAO-Grec Unicode"/>
        </w:rPr>
        <w:t xml:space="preserve">Ι </w:t>
      </w:r>
      <w:r w:rsidR="007519AA" w:rsidRPr="00BD2D5B">
        <w:rPr>
          <w:rFonts w:ascii="IFAO-Grec Unicode" w:hAnsi="IFAO-Grec Unicode"/>
        </w:rPr>
        <w:t xml:space="preserve">and part of </w:t>
      </w:r>
      <w:r w:rsidR="00E2427E">
        <w:rPr>
          <w:rFonts w:ascii="IFAO-Grec Unicode" w:hAnsi="IFAO-Grec Unicode"/>
        </w:rPr>
        <w:t>Α</w:t>
      </w:r>
      <w:r w:rsidR="007519AA" w:rsidRPr="00BD2D5B">
        <w:rPr>
          <w:rFonts w:ascii="IFAO-Grec Unicode" w:hAnsi="IFAO-Grec Unicode"/>
        </w:rPr>
        <w:t>.</w:t>
      </w:r>
      <w:r w:rsidR="007519AA">
        <w:rPr>
          <w:rFonts w:ascii="IFAO-Grec Unicode" w:hAnsi="IFAO-Grec Unicode"/>
        </w:rPr>
        <w:t xml:space="preserve"> While ε</w:t>
      </w:r>
      <w:r w:rsidR="007519AA">
        <w:rPr>
          <w:rFonts w:ascii="IFAO-Grec Unicode" w:hAnsi="IFAO-Grec Unicode"/>
          <w:lang w:val="x-none"/>
        </w:rPr>
        <w:t>ὐπ</w:t>
      </w:r>
      <w:proofErr w:type="spellStart"/>
      <w:r w:rsidR="007519AA">
        <w:rPr>
          <w:rFonts w:ascii="IFAO-Grec Unicode" w:hAnsi="IFAO-Grec Unicode"/>
          <w:lang w:val="x-none"/>
        </w:rPr>
        <w:t>λοί</w:t>
      </w:r>
      <w:proofErr w:type="spellEnd"/>
      <w:r w:rsidR="007519AA">
        <w:rPr>
          <w:rFonts w:ascii="IFAO-Grec Unicode" w:hAnsi="IFAO-Grec Unicode"/>
          <w:lang w:val="x-none"/>
        </w:rPr>
        <w:t xml:space="preserve">ας </w:t>
      </w:r>
      <w:r w:rsidR="007519AA">
        <w:rPr>
          <w:rFonts w:ascii="IFAO-Grec Unicode" w:hAnsi="IFAO-Grec Unicode"/>
        </w:rPr>
        <w:t xml:space="preserve">could fit these traces, it would require </w:t>
      </w:r>
      <w:r w:rsidR="007519AA">
        <w:rPr>
          <w:rFonts w:ascii="IFAO-Grec Unicode" w:hAnsi="IFAO-Grec Unicode"/>
        </w:rPr>
        <w:lastRenderedPageBreak/>
        <w:t>much less space than is present</w:t>
      </w:r>
      <w:r w:rsidR="00BD2D5B">
        <w:rPr>
          <w:rFonts w:ascii="IFAO-Grec Unicode" w:hAnsi="IFAO-Grec Unicode"/>
        </w:rPr>
        <w:t xml:space="preserve"> on the stone</w:t>
      </w:r>
      <w:r w:rsidR="007519AA">
        <w:rPr>
          <w:rFonts w:ascii="IFAO-Grec Unicode" w:hAnsi="IFAO-Grec Unicode"/>
        </w:rPr>
        <w:t xml:space="preserve">. Moreover, part of </w:t>
      </w:r>
      <w:r w:rsidR="00E2427E">
        <w:rPr>
          <w:rFonts w:ascii="IFAO-Grec Unicode" w:hAnsi="IFAO-Grec Unicode"/>
        </w:rPr>
        <w:t>Ε</w:t>
      </w:r>
      <w:r w:rsidR="007519AA">
        <w:rPr>
          <w:rFonts w:ascii="IFAO-Grec Unicode" w:hAnsi="IFAO-Grec Unicode"/>
        </w:rPr>
        <w:t xml:space="preserve"> can probably</w:t>
      </w:r>
      <w:r w:rsidR="00BD2D5B">
        <w:rPr>
          <w:rFonts w:ascii="IFAO-Grec Unicode" w:hAnsi="IFAO-Grec Unicode"/>
        </w:rPr>
        <w:t xml:space="preserve"> </w:t>
      </w:r>
      <w:r w:rsidR="007519AA">
        <w:rPr>
          <w:rFonts w:ascii="IFAO-Grec Unicode" w:hAnsi="IFAO-Grec Unicode"/>
        </w:rPr>
        <w:t xml:space="preserve">discerned before </w:t>
      </w:r>
      <w:r w:rsidR="00E2427E">
        <w:rPr>
          <w:rFonts w:ascii="IFAO-Grec Unicode" w:hAnsi="IFAO-Grec Unicode"/>
        </w:rPr>
        <w:t>Ι</w:t>
      </w:r>
      <w:r w:rsidR="007519AA">
        <w:rPr>
          <w:rFonts w:ascii="IFAO-Grec Unicode" w:hAnsi="IFAO-Grec Unicode"/>
        </w:rPr>
        <w:t>. Thus, the reading ε</w:t>
      </w:r>
      <w:proofErr w:type="spellStart"/>
      <w:r w:rsidR="007519AA">
        <w:rPr>
          <w:rFonts w:ascii="IFAO-Grec Unicode" w:hAnsi="IFAO-Grec Unicode"/>
          <w:lang w:val="x-none"/>
        </w:rPr>
        <w:t>ὐσε</w:t>
      </w:r>
      <w:proofErr w:type="spellEnd"/>
      <w:r w:rsidR="007519AA">
        <w:rPr>
          <w:rFonts w:ascii="IFAO-Grec Unicode" w:hAnsi="IFAO-Grec Unicode"/>
          <w:lang w:val="x-none"/>
        </w:rPr>
        <w:t>β</w:t>
      </w:r>
      <w:proofErr w:type="spellStart"/>
      <w:r w:rsidR="007519AA">
        <w:rPr>
          <w:rFonts w:ascii="IFAO-Grec Unicode" w:hAnsi="IFAO-Grec Unicode"/>
          <w:lang w:val="x-none"/>
        </w:rPr>
        <w:t>εί</w:t>
      </w:r>
      <w:proofErr w:type="spellEnd"/>
      <w:r w:rsidR="007519AA">
        <w:rPr>
          <w:rFonts w:ascii="IFAO-Grec Unicode" w:hAnsi="IFAO-Grec Unicode"/>
          <w:lang w:val="x-none"/>
        </w:rPr>
        <w:t>ας</w:t>
      </w:r>
      <w:r w:rsidR="007519AA">
        <w:rPr>
          <w:rFonts w:ascii="IFAO-Grec Unicode" w:hAnsi="IFAO-Grec Unicode"/>
        </w:rPr>
        <w:t xml:space="preserve"> is to be preferred</w:t>
      </w:r>
      <w:r w:rsidR="009909AB">
        <w:rPr>
          <w:rFonts w:ascii="IFAO-Grec Unicode" w:hAnsi="IFAO-Grec Unicode"/>
        </w:rPr>
        <w:t>.</w:t>
      </w:r>
    </w:p>
    <w:p w14:paraId="4BFF4DFD" w14:textId="074884E5" w:rsidR="00D3364C" w:rsidRDefault="00ED3063">
      <w:pPr>
        <w:rPr>
          <w:rFonts w:ascii="IFAO-Grec Unicode" w:hAnsi="IFAO-Grec Unicode"/>
          <w:lang w:val="x-none"/>
        </w:rPr>
      </w:pPr>
      <w:r>
        <w:rPr>
          <w:lang w:val="x-none"/>
        </w:rPr>
        <w:t>3 There is e</w:t>
      </w:r>
      <w:r w:rsidR="00CC5EAA">
        <w:rPr>
          <w:lang w:val="x-none"/>
        </w:rPr>
        <w:t xml:space="preserve">mpty space large enough for a single character between </w:t>
      </w:r>
      <w:r w:rsidR="00CC5EAA">
        <w:rPr>
          <w:rFonts w:ascii="IFAO-Grec Unicode" w:hAnsi="IFAO-Grec Unicode"/>
        </w:rPr>
        <w:t>[</w:t>
      </w:r>
      <w:r w:rsidR="00CC5EAA" w:rsidRPr="00D07D63">
        <w:rPr>
          <w:rFonts w:ascii="IFAO-Grec Unicode" w:hAnsi="IFAO-Grec Unicode"/>
        </w:rPr>
        <w:t>χ]</w:t>
      </w:r>
      <w:proofErr w:type="spellStart"/>
      <w:r w:rsidR="00CC5EAA" w:rsidRPr="00D07D63">
        <w:rPr>
          <w:rFonts w:ascii="IFAO-Grec Unicode" w:hAnsi="IFAO-Grec Unicode"/>
          <w:lang w:val="x-none"/>
        </w:rPr>
        <w:t>ά̣</w:t>
      </w:r>
      <w:r w:rsidR="00CC5EAA" w:rsidRPr="00D07D63">
        <w:rPr>
          <w:rFonts w:ascii="IFAO-Grec Unicode" w:hAnsi="IFAO-Grec Unicode"/>
        </w:rPr>
        <w:t>ριν</w:t>
      </w:r>
      <w:proofErr w:type="spellEnd"/>
      <w:r w:rsidR="00CC5EAA" w:rsidRPr="00D07D63">
        <w:rPr>
          <w:rFonts w:ascii="IFAO-Grec Unicode" w:hAnsi="IFAO-Grec Unicode"/>
        </w:rPr>
        <w:t>̣</w:t>
      </w:r>
      <w:r w:rsidR="00CC5EAA">
        <w:rPr>
          <w:rFonts w:ascii="IFAO-Grec Unicode" w:hAnsi="IFAO-Grec Unicode"/>
        </w:rPr>
        <w:t xml:space="preserve"> and </w:t>
      </w:r>
      <w:r w:rsidR="00CC5EAA" w:rsidRPr="00D07D63">
        <w:rPr>
          <w:rFonts w:ascii="IFAO-Grec Unicode" w:hAnsi="IFAO-Grec Unicode"/>
          <w:lang w:val="x-none"/>
        </w:rPr>
        <w:t>ἐπ᾿</w:t>
      </w:r>
      <w:r w:rsidR="00CC5EAA">
        <w:rPr>
          <w:rFonts w:ascii="IFAO-Grec Unicode" w:hAnsi="IFAO-Grec Unicode"/>
          <w:lang w:val="x-none"/>
        </w:rPr>
        <w:t xml:space="preserve">. While </w:t>
      </w:r>
      <w:r w:rsidR="000C20CD">
        <w:rPr>
          <w:rFonts w:ascii="IFAO-Grec Unicode" w:hAnsi="IFAO-Grec Unicode"/>
          <w:lang w:val="x-none"/>
        </w:rPr>
        <w:t>blank space</w:t>
      </w:r>
      <w:r w:rsidR="00CC5EAA">
        <w:rPr>
          <w:rFonts w:ascii="IFAO-Grec Unicode" w:hAnsi="IFAO-Grec Unicode"/>
          <w:lang w:val="x-none"/>
        </w:rPr>
        <w:t xml:space="preserve"> may have marked a </w:t>
      </w:r>
      <w:proofErr w:type="spellStart"/>
      <w:r w:rsidR="00CC5EAA" w:rsidRPr="00CC5EAA">
        <w:rPr>
          <w:rFonts w:ascii="IFAO-Grec Unicode" w:hAnsi="IFAO-Grec Unicode"/>
          <w:i/>
          <w:iCs/>
          <w:lang w:val="x-none"/>
        </w:rPr>
        <w:t>vacat</w:t>
      </w:r>
      <w:proofErr w:type="spellEnd"/>
      <w:r w:rsidR="00CC5EAA">
        <w:rPr>
          <w:rFonts w:ascii="IFAO-Grec Unicode" w:hAnsi="IFAO-Grec Unicode"/>
          <w:lang w:val="x-none"/>
        </w:rPr>
        <w:t>, i</w:t>
      </w:r>
      <w:r w:rsidR="00CC5EAA" w:rsidRPr="00CC5EAA">
        <w:rPr>
          <w:rFonts w:ascii="IFAO-Grec Unicode" w:hAnsi="IFAO-Grec Unicode"/>
          <w:lang w:val="x-none"/>
        </w:rPr>
        <w:t>t</w:t>
      </w:r>
      <w:r w:rsidR="00CC5EAA">
        <w:rPr>
          <w:rFonts w:ascii="IFAO-Grec Unicode" w:hAnsi="IFAO-Grec Unicode"/>
          <w:lang w:val="x-none"/>
        </w:rPr>
        <w:t xml:space="preserve"> is also possible that a punctation mark stood there.</w:t>
      </w:r>
    </w:p>
    <w:p w14:paraId="4642FF71" w14:textId="50AE1C82" w:rsidR="00405C0F" w:rsidRDefault="00405C0F">
      <w:pPr>
        <w:rPr>
          <w:rFonts w:ascii="IFAO-Grec Unicode" w:hAnsi="IFAO-Grec Unicode"/>
        </w:rPr>
      </w:pPr>
      <w:r>
        <w:rPr>
          <w:rFonts w:ascii="IFAO-Grec Unicode" w:hAnsi="IFAO-Grec Unicode"/>
          <w:lang w:val="x-none"/>
        </w:rPr>
        <w:tab/>
      </w:r>
      <w:r w:rsidR="00E6362F">
        <w:rPr>
          <w:rFonts w:ascii="IFAO-Grec Unicode" w:hAnsi="IFAO-Grec Unicode"/>
          <w:lang w:val="x-none"/>
        </w:rPr>
        <w:t xml:space="preserve">It is unclear if anything was incised between </w:t>
      </w:r>
      <w:proofErr w:type="spellStart"/>
      <w:r w:rsidR="00E6362F">
        <w:rPr>
          <w:rFonts w:ascii="IFAO-Grec Unicode" w:hAnsi="IFAO-Grec Unicode"/>
          <w:lang w:val="x-none"/>
        </w:rPr>
        <w:t>ἀγ</w:t>
      </w:r>
      <w:proofErr w:type="spellEnd"/>
      <w:r w:rsidR="00E6362F">
        <w:rPr>
          <w:rFonts w:ascii="IFAO-Grec Unicode" w:hAnsi="IFAO-Grec Unicode"/>
          <w:lang w:val="x-none"/>
        </w:rPr>
        <w:t>α</w:t>
      </w:r>
      <w:proofErr w:type="spellStart"/>
      <w:r w:rsidR="00E6362F">
        <w:rPr>
          <w:rFonts w:ascii="IFAO-Grec Unicode" w:hAnsi="IFAO-Grec Unicode"/>
          <w:lang w:val="x-none"/>
        </w:rPr>
        <w:t>θοῖς</w:t>
      </w:r>
      <w:proofErr w:type="spellEnd"/>
      <w:r w:rsidR="00E6362F">
        <w:rPr>
          <w:rFonts w:ascii="IFAO-Grec Unicode" w:hAnsi="IFAO-Grec Unicode"/>
          <w:lang w:val="x-none"/>
        </w:rPr>
        <w:t xml:space="preserve"> and </w:t>
      </w:r>
      <w:proofErr w:type="spellStart"/>
      <w:r w:rsidR="00E6362F" w:rsidRPr="00D07D63">
        <w:rPr>
          <w:rFonts w:ascii="IFAO-Grec Unicode" w:hAnsi="IFAO-Grec Unicode"/>
        </w:rPr>
        <w:t>Πρ</w:t>
      </w:r>
      <w:proofErr w:type="spellEnd"/>
      <w:r w:rsidR="00E6362F" w:rsidRPr="00D07D63">
        <w:rPr>
          <w:rFonts w:ascii="IFAO-Grec Unicode" w:hAnsi="IFAO-Grec Unicode"/>
          <w:lang w:val="x-none"/>
        </w:rPr>
        <w:t>όβ</w:t>
      </w:r>
      <w:proofErr w:type="spellStart"/>
      <w:r w:rsidR="00E6362F" w:rsidRPr="00D07D63">
        <w:rPr>
          <w:rFonts w:ascii="IFAO-Grec Unicode" w:hAnsi="IFAO-Grec Unicode"/>
        </w:rPr>
        <w:t>ου</w:t>
      </w:r>
      <w:proofErr w:type="spellEnd"/>
      <w:r w:rsidR="00E6362F">
        <w:rPr>
          <w:rFonts w:ascii="IFAO-Grec Unicode" w:hAnsi="IFAO-Grec Unicode"/>
          <w:lang w:val="x-none"/>
        </w:rPr>
        <w:t>.</w:t>
      </w:r>
      <w:r w:rsidR="00C57F5F">
        <w:rPr>
          <w:rFonts w:ascii="IFAO-Grec Unicode" w:hAnsi="IFAO-Grec Unicode"/>
          <w:lang w:val="x-none"/>
        </w:rPr>
        <w:t xml:space="preserve"> The upper and lower guidelines are very clear; each consists of doubled lines, as in a few other spots on the stone. Otherwise, there are some faint vertical strokes and a single, short horizontal slash. </w:t>
      </w:r>
      <w:r w:rsidR="00E6362F">
        <w:rPr>
          <w:rFonts w:ascii="IFAO-Grec Unicode" w:hAnsi="IFAO-Grec Unicode"/>
          <w:lang w:val="x-none"/>
        </w:rPr>
        <w:t xml:space="preserve">One expects </w:t>
      </w:r>
      <w:r w:rsidR="00C57F5F">
        <w:rPr>
          <w:rFonts w:ascii="IFAO-Grec Unicode" w:hAnsi="IFAO-Grec Unicode"/>
          <w:lang w:val="x-none"/>
        </w:rPr>
        <w:t>the</w:t>
      </w:r>
      <w:r w:rsidR="00E6362F">
        <w:rPr>
          <w:rFonts w:ascii="IFAO-Grec Unicode" w:hAnsi="IFAO-Grec Unicode"/>
          <w:lang w:val="x-none"/>
        </w:rPr>
        <w:t xml:space="preserve"> year </w:t>
      </w:r>
      <w:r w:rsidR="00C57F5F">
        <w:rPr>
          <w:rFonts w:ascii="IFAO-Grec Unicode" w:hAnsi="IFAO-Grec Unicode"/>
          <w:lang w:val="x-none"/>
        </w:rPr>
        <w:t xml:space="preserve">to have been carved before </w:t>
      </w:r>
      <w:r w:rsidR="00E6362F">
        <w:rPr>
          <w:rFonts w:ascii="IFAO-Grec Unicode" w:hAnsi="IFAO-Grec Unicode"/>
          <w:lang w:val="x-none"/>
        </w:rPr>
        <w:t xml:space="preserve">the regnal formula, but </w:t>
      </w:r>
      <w:r w:rsidR="00E00B68">
        <w:rPr>
          <w:rFonts w:ascii="IFAO-Grec Unicode" w:hAnsi="IFAO-Grec Unicode"/>
          <w:lang w:val="x-none"/>
        </w:rPr>
        <w:t xml:space="preserve">here </w:t>
      </w:r>
      <w:r w:rsidR="00E2427E">
        <w:rPr>
          <w:rFonts w:ascii="IFAO-Grec Unicode" w:hAnsi="IFAO-Grec Unicode"/>
          <w:lang w:val="x-none"/>
        </w:rPr>
        <w:t xml:space="preserve">it </w:t>
      </w:r>
      <w:r w:rsidR="00E00B68">
        <w:rPr>
          <w:rFonts w:ascii="IFAO-Grec Unicode" w:hAnsi="IFAO-Grec Unicode"/>
          <w:lang w:val="x-none"/>
        </w:rPr>
        <w:t>might have been in</w:t>
      </w:r>
      <w:r w:rsidR="00C57F5F">
        <w:rPr>
          <w:rFonts w:ascii="IFAO-Grec Unicode" w:hAnsi="IFAO-Grec Unicode"/>
          <w:lang w:val="x-none"/>
        </w:rPr>
        <w:t xml:space="preserve">scribed at the beginning of line 5. Moreover, there is no trace of the </w:t>
      </w:r>
      <w:r w:rsidR="00C57F5F">
        <w:rPr>
          <w:rFonts w:ascii="IFAO-Grec Unicode" w:hAnsi="IFAO-Grec Unicode"/>
        </w:rPr>
        <w:t xml:space="preserve">symbol for </w:t>
      </w:r>
      <w:proofErr w:type="spellStart"/>
      <w:r w:rsidR="00C57F5F">
        <w:rPr>
          <w:rFonts w:ascii="IFAO-Grec Unicode" w:hAnsi="IFAO-Grec Unicode"/>
          <w:lang w:val="x-none"/>
        </w:rPr>
        <w:t>ἔτους</w:t>
      </w:r>
      <w:proofErr w:type="spellEnd"/>
      <w:r w:rsidR="00C57F5F">
        <w:rPr>
          <w:rFonts w:ascii="IFAO-Grec Unicode" w:hAnsi="IFAO-Grec Unicode"/>
          <w:lang w:val="x-none"/>
        </w:rPr>
        <w:t>. The vertical lines referred to</w:t>
      </w:r>
      <w:r w:rsidR="00E2427E">
        <w:rPr>
          <w:rFonts w:ascii="IFAO-Grec Unicode" w:hAnsi="IFAO-Grec Unicode"/>
          <w:lang w:val="x-none"/>
        </w:rPr>
        <w:t xml:space="preserve"> above</w:t>
      </w:r>
      <w:r w:rsidR="00C57F5F">
        <w:rPr>
          <w:rFonts w:ascii="IFAO-Grec Unicode" w:hAnsi="IFAO-Grec Unicode"/>
          <w:lang w:val="x-none"/>
        </w:rPr>
        <w:t xml:space="preserve"> could be from the letter M</w:t>
      </w:r>
      <w:r w:rsidR="00C57F5F">
        <w:rPr>
          <w:rFonts w:ascii="IFAO-Grec Unicode" w:hAnsi="IFAO-Grec Unicode"/>
        </w:rPr>
        <w:t>, perhaps an abbreviation for </w:t>
      </w:r>
      <w:r w:rsidR="00C57F5F">
        <w:rPr>
          <w:rFonts w:ascii="IFAO-Grec Unicode" w:hAnsi="IFAO-Grec Unicode"/>
          <w:lang w:val="fr-FR"/>
        </w:rPr>
        <w:t>Μ</w:t>
      </w:r>
      <w:proofErr w:type="spellStart"/>
      <w:r w:rsidR="00C57F5F">
        <w:rPr>
          <w:rFonts w:ascii="IFAO-Grec Unicode" w:hAnsi="IFAO-Grec Unicode"/>
          <w:lang w:val="x-none"/>
        </w:rPr>
        <w:t>άρκου</w:t>
      </w:r>
      <w:proofErr w:type="spellEnd"/>
      <w:r w:rsidR="00C57F5F">
        <w:rPr>
          <w:rFonts w:ascii="IFAO-Grec Unicode" w:hAnsi="IFAO-Grec Unicode"/>
          <w:lang w:val="x-none"/>
        </w:rPr>
        <w:t xml:space="preserve"> </w:t>
      </w:r>
      <w:r w:rsidR="00C57F5F">
        <w:rPr>
          <w:rFonts w:ascii="IFAO-Grec Unicode" w:hAnsi="IFAO-Grec Unicode"/>
        </w:rPr>
        <w:t>but the abbreviated form Α</w:t>
      </w:r>
      <w:proofErr w:type="spellStart"/>
      <w:r w:rsidR="00C57F5F">
        <w:rPr>
          <w:rFonts w:ascii="IFAO-Grec Unicode" w:hAnsi="IFAO-Grec Unicode"/>
          <w:lang w:val="x-none"/>
        </w:rPr>
        <w:t>ὐρ</w:t>
      </w:r>
      <w:proofErr w:type="spellEnd"/>
      <w:r w:rsidR="00C57F5F">
        <w:rPr>
          <w:rFonts w:ascii="IFAO-Grec Unicode" w:hAnsi="IFAO-Grec Unicode"/>
          <w:lang w:val="x-none"/>
        </w:rPr>
        <w:t>(</w:t>
      </w:r>
      <w:proofErr w:type="spellStart"/>
      <w:r w:rsidR="00C57F5F">
        <w:rPr>
          <w:rFonts w:ascii="IFAO-Grec Unicode" w:hAnsi="IFAO-Grec Unicode"/>
          <w:lang w:val="x-none"/>
        </w:rPr>
        <w:t>ηλίου</w:t>
      </w:r>
      <w:proofErr w:type="spellEnd"/>
      <w:r w:rsidR="00C57F5F">
        <w:rPr>
          <w:rFonts w:ascii="IFAO-Grec Unicode" w:hAnsi="IFAO-Grec Unicode"/>
          <w:lang w:val="x-none"/>
        </w:rPr>
        <w:t>)</w:t>
      </w:r>
      <w:r w:rsidR="000134CB">
        <w:rPr>
          <w:rFonts w:ascii="IFAO-Grec Unicode" w:hAnsi="IFAO-Grec Unicode"/>
          <w:lang w:val="x-none"/>
        </w:rPr>
        <w:t>, which one would then expect,</w:t>
      </w:r>
      <w:r w:rsidR="00C57F5F">
        <w:rPr>
          <w:rFonts w:ascii="IFAO-Grec Unicode" w:hAnsi="IFAO-Grec Unicode"/>
          <w:lang w:val="x-none"/>
        </w:rPr>
        <w:t xml:space="preserve"> </w:t>
      </w:r>
      <w:r w:rsidR="00C57F5F">
        <w:rPr>
          <w:rFonts w:ascii="IFAO-Grec Unicode" w:hAnsi="IFAO-Grec Unicode"/>
        </w:rPr>
        <w:t xml:space="preserve">is in no way visible. </w:t>
      </w:r>
    </w:p>
    <w:p w14:paraId="6660E993" w14:textId="4D4B5E9E" w:rsidR="001E08BB" w:rsidRPr="0070454C" w:rsidRDefault="004B0A2A">
      <w:pPr>
        <w:rPr>
          <w:rFonts w:ascii="IFAO-Grec Unicode" w:hAnsi="IFAO-Grec Unicode"/>
        </w:rPr>
      </w:pPr>
      <w:r>
        <w:rPr>
          <w:rFonts w:ascii="IFAO-Grec Unicode" w:hAnsi="IFAO-Grec Unicode"/>
        </w:rPr>
        <w:t>5</w:t>
      </w:r>
      <w:r w:rsidR="000134CB">
        <w:rPr>
          <w:rFonts w:ascii="IFAO-Grec Unicode" w:hAnsi="IFAO-Grec Unicode"/>
        </w:rPr>
        <w:t xml:space="preserve"> There are clear remnants of incisions before the month name. Since the regnal formula certainly ended in the previous line, the </w:t>
      </w:r>
      <w:r w:rsidR="001E08BB">
        <w:rPr>
          <w:rFonts w:ascii="IFAO-Grec Unicode" w:hAnsi="IFAO-Grec Unicode"/>
        </w:rPr>
        <w:t>writing</w:t>
      </w:r>
      <w:r w:rsidR="000134CB">
        <w:rPr>
          <w:rFonts w:ascii="IFAO-Grec Unicode" w:hAnsi="IFAO-Grec Unicode"/>
        </w:rPr>
        <w:t xml:space="preserve"> cannot belong to that. One possibility is that </w:t>
      </w:r>
      <w:r w:rsidR="000134CB">
        <w:rPr>
          <w:rFonts w:ascii="IFAO-Grec Unicode" w:hAnsi="IFAO-Grec Unicode"/>
          <w:lang w:val="x-none"/>
        </w:rPr>
        <w:t xml:space="preserve">ἐπ᾿ </w:t>
      </w:r>
      <w:proofErr w:type="spellStart"/>
      <w:r w:rsidR="000134CB">
        <w:rPr>
          <w:rFonts w:ascii="IFAO-Grec Unicode" w:hAnsi="IFAO-Grec Unicode"/>
          <w:lang w:val="x-none"/>
        </w:rPr>
        <w:t>ἀγ</w:t>
      </w:r>
      <w:proofErr w:type="spellEnd"/>
      <w:r w:rsidR="000134CB">
        <w:rPr>
          <w:rFonts w:ascii="IFAO-Grec Unicode" w:hAnsi="IFAO-Grec Unicode"/>
          <w:lang w:val="x-none"/>
        </w:rPr>
        <w:t>α</w:t>
      </w:r>
      <w:proofErr w:type="spellStart"/>
      <w:r w:rsidR="000134CB">
        <w:rPr>
          <w:rFonts w:ascii="IFAO-Grec Unicode" w:hAnsi="IFAO-Grec Unicode"/>
          <w:lang w:val="x-none"/>
        </w:rPr>
        <w:t>θῷ</w:t>
      </w:r>
      <w:proofErr w:type="spellEnd"/>
      <w:r w:rsidR="000134CB">
        <w:rPr>
          <w:rFonts w:ascii="IFAO-Grec Unicode" w:hAnsi="IFAO-Grec Unicode"/>
          <w:lang w:val="x-none"/>
        </w:rPr>
        <w:t xml:space="preserve"> </w:t>
      </w:r>
      <w:r w:rsidR="000134CB">
        <w:rPr>
          <w:rFonts w:ascii="IFAO-Grec Unicode" w:hAnsi="IFAO-Grec Unicode"/>
        </w:rPr>
        <w:t>was carved</w:t>
      </w:r>
      <w:r w:rsidR="001E08BB">
        <w:rPr>
          <w:rFonts w:ascii="IFAO-Grec Unicode" w:hAnsi="IFAO-Grec Unicode"/>
        </w:rPr>
        <w:t xml:space="preserve"> at the beginning of the line</w:t>
      </w:r>
      <w:r w:rsidR="000134CB">
        <w:rPr>
          <w:rFonts w:ascii="IFAO-Grec Unicode" w:hAnsi="IFAO-Grec Unicode"/>
        </w:rPr>
        <w:t xml:space="preserve">, but there are two </w:t>
      </w:r>
      <w:r w:rsidR="00E2427E">
        <w:rPr>
          <w:rFonts w:ascii="IFAO-Grec Unicode" w:hAnsi="IFAO-Grec Unicode"/>
        </w:rPr>
        <w:t xml:space="preserve">problems </w:t>
      </w:r>
      <w:r w:rsidR="001E08BB">
        <w:rPr>
          <w:rFonts w:ascii="IFAO-Grec Unicode" w:hAnsi="IFAO-Grec Unicode"/>
        </w:rPr>
        <w:t>with</w:t>
      </w:r>
      <w:r w:rsidR="000134CB">
        <w:rPr>
          <w:rFonts w:ascii="IFAO-Grec Unicode" w:hAnsi="IFAO-Grec Unicode"/>
        </w:rPr>
        <w:t xml:space="preserve"> that interpretation: 1) it does not account for the</w:t>
      </w:r>
      <w:r w:rsidR="001E08BB">
        <w:rPr>
          <w:rFonts w:ascii="IFAO-Grec Unicode" w:hAnsi="IFAO-Grec Unicode"/>
        </w:rPr>
        <w:t xml:space="preserve"> tips of</w:t>
      </w:r>
      <w:r w:rsidR="000134CB">
        <w:rPr>
          <w:rFonts w:ascii="IFAO-Grec Unicode" w:hAnsi="IFAO-Grec Unicode"/>
        </w:rPr>
        <w:t xml:space="preserve"> </w:t>
      </w:r>
      <w:r w:rsidR="001E08BB">
        <w:rPr>
          <w:rFonts w:ascii="IFAO-Grec Unicode" w:hAnsi="IFAO-Grec Unicode"/>
        </w:rPr>
        <w:t xml:space="preserve">two diagonal lines (//) visible just to the right of the large lacuna; 2) it is hard to fit </w:t>
      </w:r>
      <w:r w:rsidR="001E08BB">
        <w:rPr>
          <w:rFonts w:ascii="IFAO-Grec Unicode" w:hAnsi="IFAO-Grec Unicode"/>
          <w:lang w:val="x-none"/>
        </w:rPr>
        <w:t>ω</w:t>
      </w:r>
      <w:r w:rsidR="001E08BB">
        <w:rPr>
          <w:rFonts w:ascii="IFAO-Grec Unicode" w:hAnsi="IFAO-Grec Unicode"/>
        </w:rPr>
        <w:t xml:space="preserve"> between what </w:t>
      </w:r>
      <w:r w:rsidR="001E08BB">
        <w:rPr>
          <w:rFonts w:ascii="IFAO-Grec Unicode" w:hAnsi="IFAO-Grec Unicode"/>
          <w:i/>
          <w:iCs/>
        </w:rPr>
        <w:t xml:space="preserve">could </w:t>
      </w:r>
      <w:r w:rsidR="001E08BB">
        <w:rPr>
          <w:rFonts w:ascii="IFAO-Grec Unicode" w:hAnsi="IFAO-Grec Unicode"/>
        </w:rPr>
        <w:t xml:space="preserve"> </w:t>
      </w:r>
      <w:r w:rsidR="0070454C">
        <w:rPr>
          <w:rFonts w:ascii="IFAO-Grec Unicode" w:hAnsi="IFAO-Grec Unicode"/>
        </w:rPr>
        <w:t xml:space="preserve">be </w:t>
      </w:r>
      <w:r w:rsidR="00E2427E">
        <w:rPr>
          <w:rFonts w:ascii="IFAO-Grec Unicode" w:hAnsi="IFAO-Grec Unicode"/>
        </w:rPr>
        <w:t>Θ</w:t>
      </w:r>
      <w:r w:rsidR="001E08BB">
        <w:rPr>
          <w:rFonts w:ascii="IFAO-Grec Unicode" w:hAnsi="IFAO-Grec Unicode"/>
        </w:rPr>
        <w:t xml:space="preserve"> and the round sign before alpha in </w:t>
      </w:r>
      <w:proofErr w:type="spellStart"/>
      <w:r w:rsidR="001E08BB">
        <w:rPr>
          <w:rFonts w:ascii="IFAO-Grec Unicode" w:hAnsi="IFAO-Grec Unicode"/>
          <w:lang w:val="x-none"/>
        </w:rPr>
        <w:t>Ἁθύρ</w:t>
      </w:r>
      <w:proofErr w:type="spellEnd"/>
      <w:r w:rsidR="001E08BB">
        <w:rPr>
          <w:rFonts w:ascii="IFAO-Grec Unicode" w:hAnsi="IFAO-Grec Unicode"/>
          <w:lang w:val="x-none"/>
        </w:rPr>
        <w:t xml:space="preserve">. Another possibility is that the </w:t>
      </w:r>
      <w:r w:rsidR="00E2427E">
        <w:rPr>
          <w:rFonts w:ascii="IFAO-Grec Unicode" w:hAnsi="IFAO-Grec Unicode"/>
          <w:lang w:val="x-none"/>
        </w:rPr>
        <w:t>visible lines</w:t>
      </w:r>
      <w:r w:rsidR="0070454C">
        <w:rPr>
          <w:rFonts w:ascii="IFAO-Grec Unicode" w:hAnsi="IFAO-Grec Unicode"/>
          <w:lang w:val="x-none"/>
        </w:rPr>
        <w:t xml:space="preserve"> are from two slanting strokes that followed an L-shaped </w:t>
      </w:r>
      <w:proofErr w:type="spellStart"/>
      <w:r w:rsidR="0070454C">
        <w:rPr>
          <w:rFonts w:ascii="IFAO-Grec Unicode" w:hAnsi="IFAO-Grec Unicode"/>
          <w:lang w:val="x-none"/>
        </w:rPr>
        <w:t>ἔτους</w:t>
      </w:r>
      <w:proofErr w:type="spellEnd"/>
      <w:r w:rsidR="0070454C">
        <w:rPr>
          <w:rFonts w:ascii="IFAO-Grec Unicode" w:hAnsi="IFAO-Grec Unicode"/>
          <w:lang w:val="x-none"/>
        </w:rPr>
        <w:t xml:space="preserve"> symbol (L//) and a Δ</w:t>
      </w:r>
      <w:r w:rsidR="0070454C">
        <w:rPr>
          <w:rFonts w:ascii="IFAO-Grec Unicode" w:hAnsi="IFAO-Grec Unicode"/>
        </w:rPr>
        <w:t xml:space="preserve"> (not a </w:t>
      </w:r>
      <w:r w:rsidR="00E2427E">
        <w:rPr>
          <w:rFonts w:ascii="IFAO-Grec Unicode" w:hAnsi="IFAO-Grec Unicode"/>
        </w:rPr>
        <w:t>Θ</w:t>
      </w:r>
      <w:r w:rsidR="0070454C">
        <w:rPr>
          <w:rFonts w:ascii="IFAO-Grec Unicode" w:hAnsi="IFAO-Grec Unicode"/>
        </w:rPr>
        <w:t xml:space="preserve">). </w:t>
      </w:r>
      <w:r w:rsidR="00E00B68">
        <w:rPr>
          <w:rFonts w:ascii="IFAO-Grec Unicode" w:hAnsi="IFAO-Grec Unicode"/>
        </w:rPr>
        <w:t>On this interpretation, t</w:t>
      </w:r>
      <w:r w:rsidR="0070454C">
        <w:rPr>
          <w:rFonts w:ascii="IFAO-Grec Unicode" w:hAnsi="IFAO-Grec Unicode"/>
        </w:rPr>
        <w:t xml:space="preserve">he round sign before the alpha would then be part of another </w:t>
      </w:r>
      <w:r w:rsidR="0070454C">
        <w:rPr>
          <w:rFonts w:ascii="IFAO-Grec Unicode" w:hAnsi="IFAO-Grec Unicode"/>
          <w:i/>
          <w:iCs/>
        </w:rPr>
        <w:t>hedera</w:t>
      </w:r>
      <w:r w:rsidR="0070454C">
        <w:rPr>
          <w:rFonts w:ascii="IFAO-Grec Unicode" w:hAnsi="IFAO-Grec Unicode"/>
        </w:rPr>
        <w:t>. If this is correct, then the date of the inscription will have been 17 November 278.</w:t>
      </w:r>
    </w:p>
    <w:p w14:paraId="20519DFE" w14:textId="77777777" w:rsidR="00D3364C" w:rsidRDefault="00D3364C">
      <w:pPr>
        <w:rPr>
          <w:lang w:val="x-none"/>
        </w:rPr>
      </w:pPr>
    </w:p>
    <w:p w14:paraId="38E3652F" w14:textId="77777777" w:rsidR="00BE2BD6" w:rsidRDefault="00BE2BD6" w:rsidP="00BF4C4A">
      <w:r>
        <w:t>#bibliography</w:t>
      </w:r>
    </w:p>
    <w:p w14:paraId="709FAE02" w14:textId="77777777" w:rsidR="00BE2BD6" w:rsidRDefault="00BE2BD6">
      <w:pPr>
        <w:rPr>
          <w:lang w:val="x-none"/>
        </w:rPr>
      </w:pPr>
    </w:p>
    <w:p w14:paraId="1447C1B7" w14:textId="216077E3" w:rsidR="008D53A7" w:rsidRDefault="00D3364C">
      <w:pPr>
        <w:rPr>
          <w:lang w:val="x-none"/>
        </w:rPr>
      </w:pPr>
      <w:r>
        <w:rPr>
          <w:lang w:val="x-none"/>
        </w:rPr>
        <w:t>Bibliography</w:t>
      </w:r>
    </w:p>
    <w:p w14:paraId="6F5D14DF" w14:textId="68BF2EDB" w:rsidR="00AF103E" w:rsidRDefault="00000000">
      <w:hyperlink r:id="rId10" w:tgtFrame="_blank" w:history="1">
        <w:r w:rsidR="0021664F">
          <w:rPr>
            <w:rStyle w:val="Hyperlink"/>
          </w:rPr>
          <w:t>Ast, R. (2020)</w:t>
        </w:r>
      </w:hyperlink>
      <w:r w:rsidR="0021664F">
        <w:t xml:space="preserve"> “</w:t>
      </w:r>
      <w:proofErr w:type="spellStart"/>
      <w:proofErr w:type="gramStart"/>
      <w:r w:rsidR="0021664F">
        <w:t>I.Pan</w:t>
      </w:r>
      <w:proofErr w:type="spellEnd"/>
      <w:proofErr w:type="gramEnd"/>
      <w:r w:rsidR="0021664F">
        <w:t xml:space="preserve"> 70, a Dedication from the Year 133 BC,” ZPE 213: 108–110.</w:t>
      </w:r>
    </w:p>
    <w:p w14:paraId="7825D660" w14:textId="77777777" w:rsidR="00372561" w:rsidRPr="00AF103E" w:rsidRDefault="00372561"/>
    <w:p w14:paraId="6FA1B13C" w14:textId="09FD3031" w:rsidR="00AF103E" w:rsidRDefault="008D53A7" w:rsidP="00372561">
      <w:r w:rsidRPr="00FE628F">
        <w:t>A</w:t>
      </w:r>
      <w:r w:rsidR="00AF103E" w:rsidRPr="00FE628F">
        <w:t>s</w:t>
      </w:r>
      <w:r w:rsidRPr="00FE628F">
        <w:t>t, R. (2021)</w:t>
      </w:r>
      <w:r w:rsidRPr="00AF103E">
        <w:t xml:space="preserve"> </w:t>
      </w:r>
      <w:r w:rsidR="0021664F" w:rsidRPr="00AF103E">
        <w:t>“</w:t>
      </w:r>
      <w:r w:rsidR="00AF103E" w:rsidRPr="00AF103E">
        <w:t xml:space="preserve">Marcus </w:t>
      </w:r>
      <w:proofErr w:type="spellStart"/>
      <w:r w:rsidR="00AF103E" w:rsidRPr="00AF103E">
        <w:t>Laelius</w:t>
      </w:r>
      <w:proofErr w:type="spellEnd"/>
      <w:r w:rsidR="00AF103E" w:rsidRPr="00AF103E">
        <w:t xml:space="preserve"> </w:t>
      </w:r>
      <w:proofErr w:type="spellStart"/>
      <w:r w:rsidR="00AF103E" w:rsidRPr="00AF103E">
        <w:t>Cosmus</w:t>
      </w:r>
      <w:proofErr w:type="spellEnd"/>
      <w:r w:rsidR="00AF103E" w:rsidRPr="00AF103E">
        <w:t xml:space="preserve">. Italian merchants and Roman trade at </w:t>
      </w:r>
      <w:proofErr w:type="spellStart"/>
      <w:r w:rsidR="00AF103E" w:rsidRPr="00AF103E">
        <w:t>Berenike</w:t>
      </w:r>
      <w:proofErr w:type="spellEnd"/>
      <w:r w:rsidR="00AF103E" w:rsidRPr="00AF103E">
        <w:t xml:space="preserve"> under the Julio-Claudian Emperor</w:t>
      </w:r>
      <w:r w:rsidR="00AF103E">
        <w:t xml:space="preserve">s” </w:t>
      </w:r>
      <w:r w:rsidR="00AF103E" w:rsidRPr="00AF103E">
        <w:t xml:space="preserve">L. </w:t>
      </w:r>
      <w:proofErr w:type="spellStart"/>
      <w:r w:rsidR="00AF103E" w:rsidRPr="00AF103E">
        <w:t>Rahmstorf</w:t>
      </w:r>
      <w:proofErr w:type="spellEnd"/>
      <w:r w:rsidR="00AF103E" w:rsidRPr="00AF103E">
        <w:t xml:space="preserve">, G. </w:t>
      </w:r>
      <w:proofErr w:type="spellStart"/>
      <w:r w:rsidR="00AF103E" w:rsidRPr="00AF103E">
        <w:t>Barjamovic</w:t>
      </w:r>
      <w:proofErr w:type="spellEnd"/>
      <w:r w:rsidR="00AF103E" w:rsidRPr="00AF103E">
        <w:t xml:space="preserve">, and N. </w:t>
      </w:r>
      <w:proofErr w:type="spellStart"/>
      <w:r w:rsidR="00AF103E" w:rsidRPr="00AF103E">
        <w:t>Ialongo</w:t>
      </w:r>
      <w:proofErr w:type="spellEnd"/>
      <w:r w:rsidR="00AF103E" w:rsidRPr="00AF103E">
        <w:t xml:space="preserve"> (eds), Merchants, Measures and Money Understanding Technologies of Early Trade in a Comparative Perspective. Weight and Value 2 (Kiel-Hamburg 2021): 142–157.</w:t>
      </w:r>
    </w:p>
    <w:p w14:paraId="72F1973A" w14:textId="77777777" w:rsidR="00372561" w:rsidRPr="00AF103E" w:rsidRDefault="00372561" w:rsidP="00372561">
      <w:pPr>
        <w:rPr>
          <w:b/>
          <w:bCs/>
        </w:rPr>
      </w:pPr>
    </w:p>
    <w:p w14:paraId="57B89148" w14:textId="0448F267" w:rsidR="0021664F" w:rsidRDefault="00000000">
      <w:hyperlink r:id="rId11" w:tgtFrame="_blank" w:history="1">
        <w:r w:rsidR="0021664F">
          <w:rPr>
            <w:rStyle w:val="Hyperlink"/>
          </w:rPr>
          <w:t>Ast, R. and Bagnall, R.S. (2015)</w:t>
        </w:r>
      </w:hyperlink>
      <w:r w:rsidR="0021664F">
        <w:t xml:space="preserve"> “The Receivers of </w:t>
      </w:r>
      <w:proofErr w:type="spellStart"/>
      <w:r w:rsidR="0021664F">
        <w:t>Berenike</w:t>
      </w:r>
      <w:proofErr w:type="spellEnd"/>
      <w:r w:rsidR="0021664F">
        <w:t xml:space="preserve">,” </w:t>
      </w:r>
      <w:r w:rsidR="0021664F" w:rsidRPr="00365567">
        <w:rPr>
          <w:i/>
          <w:iCs/>
        </w:rPr>
        <w:t>Chiron</w:t>
      </w:r>
      <w:r w:rsidR="0021664F">
        <w:t xml:space="preserve"> 45: 171</w:t>
      </w:r>
      <w:r w:rsidR="00AF103E">
        <w:t>–</w:t>
      </w:r>
      <w:r w:rsidR="0021664F">
        <w:t>185.</w:t>
      </w:r>
    </w:p>
    <w:p w14:paraId="4AC96BE3" w14:textId="77777777" w:rsidR="00AF103E" w:rsidRDefault="00AF103E"/>
    <w:p w14:paraId="67BEC9B7" w14:textId="44351428" w:rsidR="00365567" w:rsidRDefault="00365567">
      <w:r>
        <w:t>Ast, R., Pop</w:t>
      </w:r>
      <w:proofErr w:type="spellStart"/>
      <w:r>
        <w:rPr>
          <w:lang w:val="pl-PL"/>
        </w:rPr>
        <w:t>ławski</w:t>
      </w:r>
      <w:proofErr w:type="spellEnd"/>
      <w:r>
        <w:rPr>
          <w:lang w:val="pl-PL"/>
        </w:rPr>
        <w:t xml:space="preserve">, S. and </w:t>
      </w:r>
      <w:r w:rsidRPr="00CC2EB7">
        <w:t>R</w:t>
      </w:r>
      <w:r>
        <w:rPr>
          <w:lang w:val="pl-PL"/>
        </w:rPr>
        <w:t>ą</w:t>
      </w:r>
      <w:proofErr w:type="spellStart"/>
      <w:r>
        <w:t>dkowska</w:t>
      </w:r>
      <w:proofErr w:type="spellEnd"/>
      <w:r>
        <w:t>, J. (2022) “</w:t>
      </w:r>
      <w:r w:rsidRPr="00365567">
        <w:t xml:space="preserve">A Building Inscription for the </w:t>
      </w:r>
      <w:proofErr w:type="spellStart"/>
      <w:r w:rsidRPr="00365567">
        <w:t>Blemmyan</w:t>
      </w:r>
      <w:proofErr w:type="spellEnd"/>
      <w:r w:rsidRPr="00365567">
        <w:t xml:space="preserve"> King </w:t>
      </w:r>
      <w:proofErr w:type="spellStart"/>
      <w:r w:rsidRPr="00365567">
        <w:t>Kabantia</w:t>
      </w:r>
      <w:proofErr w:type="spellEnd"/>
      <w:r>
        <w:t xml:space="preserve">,” </w:t>
      </w:r>
      <w:r>
        <w:rPr>
          <w:i/>
          <w:iCs/>
        </w:rPr>
        <w:t>Chiron</w:t>
      </w:r>
      <w:r>
        <w:t xml:space="preserve"> 52: 210–216.</w:t>
      </w:r>
    </w:p>
    <w:p w14:paraId="66127E94" w14:textId="77777777" w:rsidR="00365567" w:rsidRPr="00365567" w:rsidRDefault="00365567"/>
    <w:p w14:paraId="7EA6B64C" w14:textId="29194DC6" w:rsidR="00AF103E" w:rsidRDefault="00000000">
      <w:hyperlink r:id="rId12" w:tgtFrame="_blank" w:history="1">
        <w:r w:rsidR="00AF103E">
          <w:rPr>
            <w:rStyle w:val="Hyperlink"/>
          </w:rPr>
          <w:t xml:space="preserve">Ast, R. and </w:t>
        </w:r>
        <w:proofErr w:type="spellStart"/>
        <w:r w:rsidR="00AF103E">
          <w:rPr>
            <w:rStyle w:val="Hyperlink"/>
          </w:rPr>
          <w:t>Rądkowska</w:t>
        </w:r>
        <w:proofErr w:type="spellEnd"/>
        <w:r w:rsidR="00AF103E">
          <w:rPr>
            <w:rStyle w:val="Hyperlink"/>
          </w:rPr>
          <w:t>, J. (2020)</w:t>
        </w:r>
      </w:hyperlink>
      <w:r w:rsidR="00AF103E">
        <w:t xml:space="preserve"> “Dedication of the </w:t>
      </w:r>
      <w:proofErr w:type="spellStart"/>
      <w:r w:rsidR="00AF103E">
        <w:t>Blemmyan</w:t>
      </w:r>
      <w:proofErr w:type="spellEnd"/>
      <w:r w:rsidR="00AF103E">
        <w:t xml:space="preserve"> Interpreter </w:t>
      </w:r>
      <w:proofErr w:type="spellStart"/>
      <w:r w:rsidR="00AF103E">
        <w:t>Mochosak</w:t>
      </w:r>
      <w:proofErr w:type="spellEnd"/>
      <w:r w:rsidR="00AF103E">
        <w:t xml:space="preserve"> on Behalf of King </w:t>
      </w:r>
      <w:proofErr w:type="spellStart"/>
      <w:r w:rsidR="00AF103E">
        <w:t>Isemne</w:t>
      </w:r>
      <w:proofErr w:type="spellEnd"/>
      <w:r w:rsidR="00AF103E">
        <w:t>,” ZPE 215: 147–158.</w:t>
      </w:r>
    </w:p>
    <w:p w14:paraId="47F210AD" w14:textId="77777777" w:rsidR="008A49EF" w:rsidRDefault="008A49EF"/>
    <w:p w14:paraId="5D74049D" w14:textId="278BA32F" w:rsidR="008A49EF" w:rsidRPr="008A49EF" w:rsidRDefault="00000000">
      <w:hyperlink r:id="rId13" w:history="1">
        <w:r w:rsidR="008A49EF" w:rsidRPr="008A49EF">
          <w:rPr>
            <w:rStyle w:val="Hyperlink"/>
          </w:rPr>
          <w:t>Barnes, T.D. (1976)</w:t>
        </w:r>
      </w:hyperlink>
      <w:r w:rsidR="008A49EF">
        <w:t xml:space="preserve"> “</w:t>
      </w:r>
      <w:r w:rsidR="008A49EF" w:rsidRPr="008A49EF">
        <w:t>Imperial Campaigns, A.D. 285</w:t>
      </w:r>
      <w:r w:rsidR="008A49EF">
        <w:t>–</w:t>
      </w:r>
      <w:r w:rsidR="008A49EF" w:rsidRPr="008A49EF">
        <w:t>311,</w:t>
      </w:r>
      <w:r w:rsidR="008A49EF">
        <w:t>”</w:t>
      </w:r>
      <w:r w:rsidR="008A49EF" w:rsidRPr="008A49EF">
        <w:t xml:space="preserve"> Phoenix 30</w:t>
      </w:r>
      <w:r w:rsidR="008A49EF">
        <w:t>:</w:t>
      </w:r>
      <w:r w:rsidR="008A49EF" w:rsidRPr="008A49EF">
        <w:t xml:space="preserve"> 174</w:t>
      </w:r>
      <w:r w:rsidR="008A49EF">
        <w:t>–</w:t>
      </w:r>
      <w:r w:rsidR="008A49EF" w:rsidRPr="008A49EF">
        <w:t>193.</w:t>
      </w:r>
    </w:p>
    <w:p w14:paraId="314B4A1B" w14:textId="77777777" w:rsidR="00AF103E" w:rsidRDefault="00AF103E"/>
    <w:p w14:paraId="1660E35D" w14:textId="6EDE52C8" w:rsidR="00F94A3A" w:rsidRDefault="00000000">
      <w:hyperlink r:id="rId14" w:history="1">
        <w:r w:rsidR="00F94A3A" w:rsidRPr="00F94A3A">
          <w:rPr>
            <w:rStyle w:val="Hyperlink"/>
          </w:rPr>
          <w:t>Bowman, A.K. (1978)</w:t>
        </w:r>
      </w:hyperlink>
      <w:r w:rsidR="00F94A3A">
        <w:t xml:space="preserve"> “</w:t>
      </w:r>
      <w:r w:rsidR="00F94A3A" w:rsidRPr="00F94A3A">
        <w:t>The Military Occupation of Upper Egypt in the Reign of Diocletian,</w:t>
      </w:r>
      <w:r w:rsidR="00F94A3A">
        <w:t>”</w:t>
      </w:r>
      <w:r w:rsidR="00F94A3A" w:rsidRPr="00F94A3A">
        <w:t xml:space="preserve"> BASP 15</w:t>
      </w:r>
      <w:r w:rsidR="00F94A3A">
        <w:t>:</w:t>
      </w:r>
      <w:r w:rsidR="00F94A3A" w:rsidRPr="00F94A3A">
        <w:t xml:space="preserve"> 25</w:t>
      </w:r>
      <w:r w:rsidR="00F94A3A">
        <w:t>–</w:t>
      </w:r>
      <w:r w:rsidR="00F94A3A" w:rsidRPr="00F94A3A">
        <w:t>38.</w:t>
      </w:r>
    </w:p>
    <w:p w14:paraId="646E2279" w14:textId="77777777" w:rsidR="00F94A3A" w:rsidRPr="00F94A3A" w:rsidRDefault="00F94A3A"/>
    <w:p w14:paraId="7B1DBCD4" w14:textId="2C3CBDD4" w:rsidR="00AF103E" w:rsidRDefault="00000000">
      <w:hyperlink r:id="rId15" w:tgtFrame="_blank" w:history="1">
        <w:r w:rsidR="00AF103E">
          <w:rPr>
            <w:rStyle w:val="Hyperlink"/>
          </w:rPr>
          <w:t>Brun, J.-P. (2018)</w:t>
        </w:r>
      </w:hyperlink>
      <w:r w:rsidR="00AF103E">
        <w:t xml:space="preserve"> “Chronology of the Forts of the Routes to </w:t>
      </w:r>
      <w:proofErr w:type="spellStart"/>
      <w:r w:rsidR="00AF103E">
        <w:t>Myos</w:t>
      </w:r>
      <w:proofErr w:type="spellEnd"/>
      <w:r w:rsidR="00AF103E">
        <w:t xml:space="preserve"> </w:t>
      </w:r>
      <w:proofErr w:type="spellStart"/>
      <w:r w:rsidR="00AF103E">
        <w:t>Hormos</w:t>
      </w:r>
      <w:proofErr w:type="spellEnd"/>
      <w:r w:rsidR="00AF103E">
        <w:t xml:space="preserve"> and </w:t>
      </w:r>
      <w:proofErr w:type="spellStart"/>
      <w:r w:rsidR="00AF103E">
        <w:t>Berenike</w:t>
      </w:r>
      <w:proofErr w:type="spellEnd"/>
      <w:r w:rsidR="00AF103E">
        <w:t xml:space="preserve"> during the Graeco-Roman Period,” in J.-P. Brun, T. </w:t>
      </w:r>
      <w:proofErr w:type="spellStart"/>
      <w:r w:rsidR="00AF103E">
        <w:t>Faucher</w:t>
      </w:r>
      <w:proofErr w:type="spellEnd"/>
      <w:r w:rsidR="00AF103E">
        <w:t xml:space="preserve">, B. Redon, S. </w:t>
      </w:r>
      <w:proofErr w:type="spellStart"/>
      <w:r w:rsidR="00AF103E">
        <w:t>Sidebotham</w:t>
      </w:r>
      <w:proofErr w:type="spellEnd"/>
      <w:r w:rsidR="00AF103E">
        <w:t xml:space="preserve"> (eds), The Eastern Desert of Egypt during the Greco-Roman Period: Archaeological Reports. Paris.</w:t>
      </w:r>
    </w:p>
    <w:p w14:paraId="6DA20F8A" w14:textId="77777777" w:rsidR="00AF103E" w:rsidRDefault="00AF103E">
      <w:pPr>
        <w:rPr>
          <w:rFonts w:ascii="IFAO-Grec Unicode" w:hAnsi="IFAO-Grec Unicode"/>
        </w:rPr>
      </w:pPr>
    </w:p>
    <w:p w14:paraId="605784FB" w14:textId="54A278CA" w:rsidR="003577B4" w:rsidRDefault="00000000">
      <w:hyperlink r:id="rId16" w:history="1">
        <w:proofErr w:type="spellStart"/>
        <w:r w:rsidR="00D3364C" w:rsidRPr="00AF103E">
          <w:rPr>
            <w:rStyle w:val="Hyperlink"/>
            <w:rFonts w:ascii="IFAO-Grec Unicode" w:hAnsi="IFAO-Grec Unicode"/>
          </w:rPr>
          <w:t>Bureth</w:t>
        </w:r>
        <w:proofErr w:type="spellEnd"/>
        <w:r w:rsidR="00D3364C" w:rsidRPr="00AF103E">
          <w:rPr>
            <w:rStyle w:val="Hyperlink"/>
            <w:rFonts w:ascii="IFAO-Grec Unicode" w:hAnsi="IFAO-Grec Unicode"/>
          </w:rPr>
          <w:t>, P. (1964)</w:t>
        </w:r>
      </w:hyperlink>
      <w:r w:rsidR="00D3364C">
        <w:rPr>
          <w:rFonts w:ascii="IFAO-Grec Unicode" w:hAnsi="IFAO-Grec Unicode"/>
        </w:rPr>
        <w:t xml:space="preserve"> </w:t>
      </w:r>
      <w:r w:rsidR="00D3364C">
        <w:t xml:space="preserve">Les </w:t>
      </w:r>
      <w:proofErr w:type="spellStart"/>
      <w:r w:rsidR="00D3364C">
        <w:t>Titulatures</w:t>
      </w:r>
      <w:proofErr w:type="spellEnd"/>
      <w:r w:rsidR="00D3364C">
        <w:t xml:space="preserve"> </w:t>
      </w:r>
      <w:proofErr w:type="spellStart"/>
      <w:r w:rsidR="00D3364C">
        <w:t>impériales</w:t>
      </w:r>
      <w:proofErr w:type="spellEnd"/>
      <w:r w:rsidR="00D3364C">
        <w:t xml:space="preserve"> dans les papyrus, les ostraca et les inscriptions </w:t>
      </w:r>
    </w:p>
    <w:p w14:paraId="2B3EC1A3" w14:textId="7800CAC6" w:rsidR="00D3364C" w:rsidRDefault="00D3364C" w:rsidP="003577B4">
      <w:pPr>
        <w:ind w:firstLine="720"/>
      </w:pPr>
      <w:proofErr w:type="spellStart"/>
      <w:r>
        <w:lastRenderedPageBreak/>
        <w:t>d'Égypte</w:t>
      </w:r>
      <w:proofErr w:type="spellEnd"/>
      <w:r>
        <w:t xml:space="preserve"> (30 </w:t>
      </w:r>
      <w:proofErr w:type="spellStart"/>
      <w:r>
        <w:t>a.C.</w:t>
      </w:r>
      <w:proofErr w:type="spellEnd"/>
      <w:r>
        <w:t xml:space="preserve"> - 284 </w:t>
      </w:r>
      <w:proofErr w:type="spellStart"/>
      <w:r>
        <w:t>p.C.</w:t>
      </w:r>
      <w:proofErr w:type="spellEnd"/>
      <w:r>
        <w:t xml:space="preserve">). Brussels. </w:t>
      </w:r>
    </w:p>
    <w:p w14:paraId="7EFFB82F" w14:textId="77777777" w:rsidR="003F6776" w:rsidRDefault="003F6776" w:rsidP="003F6776"/>
    <w:p w14:paraId="3558E444" w14:textId="38EFAF5D" w:rsidR="003F6776" w:rsidRDefault="003F6776" w:rsidP="003F6776">
      <w:r>
        <w:t>Cobb, M.A. (2023) “The Palmyrene Diaspora in Egypt: Dependency, Sustainability, and Reuse” in N. Andrade and Raja, R. (eds)</w:t>
      </w:r>
      <w:r w:rsidR="00BE2BD6">
        <w:t>,</w:t>
      </w:r>
      <w:r>
        <w:t xml:space="preserve"> Exchange and Reuse in Roman Palmyra: Examining Economy and Circularity. Turnhout.</w:t>
      </w:r>
    </w:p>
    <w:p w14:paraId="0453BEC3" w14:textId="77777777" w:rsidR="00BC77A1" w:rsidRDefault="00BC77A1" w:rsidP="00BC77A1"/>
    <w:bookmarkStart w:id="0" w:name="_Hlk163723075"/>
    <w:p w14:paraId="3AC8ED6F" w14:textId="0B83CA61" w:rsidR="00DE162E" w:rsidRDefault="00000000" w:rsidP="00BC77A1">
      <w:r>
        <w:fldChar w:fldCharType="begin"/>
      </w:r>
      <w:r>
        <w:instrText>HYPERLINK "https://papyri.info/biblio/95999"</w:instrText>
      </w:r>
      <w:r>
        <w:fldChar w:fldCharType="separate"/>
      </w:r>
      <w:proofErr w:type="spellStart"/>
      <w:r w:rsidR="00DE162E" w:rsidRPr="00DE162E">
        <w:rPr>
          <w:rStyle w:val="Hyperlink"/>
        </w:rPr>
        <w:t>Cuvigny</w:t>
      </w:r>
      <w:proofErr w:type="spellEnd"/>
      <w:r w:rsidR="00DE162E" w:rsidRPr="00DE162E">
        <w:rPr>
          <w:rStyle w:val="Hyperlink"/>
        </w:rPr>
        <w:t>, H. (2021)</w:t>
      </w:r>
      <w:r>
        <w:rPr>
          <w:rStyle w:val="Hyperlink"/>
        </w:rPr>
        <w:fldChar w:fldCharType="end"/>
      </w:r>
      <w:bookmarkEnd w:id="0"/>
      <w:r w:rsidR="00DE162E">
        <w:t xml:space="preserve"> Rome in Egypt’s Eastern Desert. Vol. 2. New York.</w:t>
      </w:r>
    </w:p>
    <w:p w14:paraId="6A331C07" w14:textId="77777777" w:rsidR="00DE162E" w:rsidRDefault="00DE162E" w:rsidP="00BC77A1"/>
    <w:p w14:paraId="0283B26F" w14:textId="38A2D739" w:rsidR="00BC77A1" w:rsidRDefault="00BC77A1" w:rsidP="00BC77A1">
      <w:pPr>
        <w:rPr>
          <w:rFonts w:ascii="IFAO-Grec Unicode" w:hAnsi="IFAO-Grec Unicode"/>
          <w:b/>
          <w:bCs/>
        </w:rPr>
      </w:pPr>
      <w:proofErr w:type="spellStart"/>
      <w:r>
        <w:t>Cuvigny</w:t>
      </w:r>
      <w:proofErr w:type="spellEnd"/>
      <w:r>
        <w:t>, H. (ed.) (2022) Blemmyes</w:t>
      </w:r>
      <w:r w:rsidR="00AE13A6">
        <w:t xml:space="preserve">. New Documents and New Perspectives, Including </w:t>
      </w:r>
      <w:proofErr w:type="spellStart"/>
      <w:proofErr w:type="gramStart"/>
      <w:r w:rsidR="00AE13A6">
        <w:t>O.Blem</w:t>
      </w:r>
      <w:proofErr w:type="spellEnd"/>
      <w:proofErr w:type="gramEnd"/>
      <w:r w:rsidR="00AE13A6">
        <w:t>. 1–107. Cairo.</w:t>
      </w:r>
    </w:p>
    <w:p w14:paraId="09D1EBAD" w14:textId="77777777" w:rsidR="00AF103E" w:rsidRDefault="00AF103E" w:rsidP="003577B4">
      <w:pPr>
        <w:ind w:firstLine="720"/>
        <w:rPr>
          <w:rFonts w:ascii="IFAO-Grec Unicode" w:hAnsi="IFAO-Grec Unicode"/>
          <w:b/>
          <w:bCs/>
        </w:rPr>
      </w:pPr>
    </w:p>
    <w:p w14:paraId="46A2DD27" w14:textId="1368C4D7" w:rsidR="003577B4" w:rsidRDefault="000541A0" w:rsidP="000541A0">
      <w:pPr>
        <w:rPr>
          <w:rFonts w:ascii="IFAO-Grec Unicode" w:hAnsi="IFAO-Grec Unicode"/>
        </w:rPr>
      </w:pPr>
      <w:proofErr w:type="spellStart"/>
      <w:r w:rsidRPr="000541A0">
        <w:rPr>
          <w:rFonts w:ascii="IFAO-Grec Unicode" w:hAnsi="IFAO-Grec Unicode"/>
        </w:rPr>
        <w:t>Cuvi</w:t>
      </w:r>
      <w:r>
        <w:rPr>
          <w:rFonts w:ascii="IFAO-Grec Unicode" w:hAnsi="IFAO-Grec Unicode"/>
        </w:rPr>
        <w:t>gny</w:t>
      </w:r>
      <w:proofErr w:type="spellEnd"/>
      <w:r>
        <w:rPr>
          <w:rFonts w:ascii="IFAO-Grec Unicode" w:hAnsi="IFAO-Grec Unicode"/>
        </w:rPr>
        <w:t xml:space="preserve">, H. and </w:t>
      </w:r>
      <w:proofErr w:type="spellStart"/>
      <w:r>
        <w:rPr>
          <w:rFonts w:ascii="IFAO-Grec Unicode" w:hAnsi="IFAO-Grec Unicode"/>
        </w:rPr>
        <w:t>Lach-Urgacz</w:t>
      </w:r>
      <w:proofErr w:type="spellEnd"/>
      <w:r w:rsidR="00AF103E">
        <w:rPr>
          <w:rFonts w:ascii="IFAO-Grec Unicode" w:hAnsi="IFAO-Grec Unicode"/>
        </w:rPr>
        <w:t>, K.</w:t>
      </w:r>
      <w:r w:rsidR="00D66450">
        <w:rPr>
          <w:rFonts w:ascii="IFAO-Grec Unicode" w:hAnsi="IFAO-Grec Unicode"/>
        </w:rPr>
        <w:t xml:space="preserve"> (2020)</w:t>
      </w:r>
      <w:r>
        <w:rPr>
          <w:rFonts w:ascii="IFAO-Grec Unicode" w:hAnsi="IFAO-Grec Unicode"/>
        </w:rPr>
        <w:t xml:space="preserve"> “</w:t>
      </w:r>
      <w:proofErr w:type="spellStart"/>
      <w:r w:rsidRPr="000541A0">
        <w:rPr>
          <w:rFonts w:ascii="IFAO-Grec Unicode" w:hAnsi="IFAO-Grec Unicode"/>
        </w:rPr>
        <w:t>Ὀρεινὸν</w:t>
      </w:r>
      <w:proofErr w:type="spellEnd"/>
      <w:r w:rsidRPr="000541A0">
        <w:rPr>
          <w:rFonts w:ascii="IFAO-Grec Unicode" w:hAnsi="IFAO-Grec Unicode"/>
        </w:rPr>
        <w:t xml:space="preserve"> </w:t>
      </w:r>
      <w:proofErr w:type="spellStart"/>
      <w:r w:rsidRPr="000541A0">
        <w:rPr>
          <w:rFonts w:ascii="IFAO-Grec Unicode" w:hAnsi="IFAO-Grec Unicode"/>
        </w:rPr>
        <w:t>κέρμ</w:t>
      </w:r>
      <w:proofErr w:type="spellEnd"/>
      <w:r w:rsidRPr="000541A0">
        <w:rPr>
          <w:rFonts w:ascii="IFAO-Grec Unicode" w:hAnsi="IFAO-Grec Unicode"/>
        </w:rPr>
        <w:t>α</w:t>
      </w:r>
      <w:r>
        <w:rPr>
          <w:rFonts w:ascii="IFAO-Grec Unicode" w:hAnsi="IFAO-Grec Unicode"/>
        </w:rPr>
        <w:t xml:space="preserve">. </w:t>
      </w:r>
      <w:r w:rsidRPr="000541A0">
        <w:rPr>
          <w:rFonts w:ascii="IFAO-Grec Unicode" w:hAnsi="IFAO-Grec Unicode"/>
        </w:rPr>
        <w:t xml:space="preserve">Monetary Circulation in the </w:t>
      </w:r>
    </w:p>
    <w:p w14:paraId="4EFB7A00" w14:textId="5E274731" w:rsidR="003577B4" w:rsidRPr="00BE2BD6" w:rsidRDefault="000541A0" w:rsidP="003577B4">
      <w:pPr>
        <w:ind w:firstLine="720"/>
        <w:rPr>
          <w:rFonts w:ascii="IFAO-Grec Unicode" w:hAnsi="IFAO-Grec Unicode"/>
        </w:rPr>
      </w:pPr>
      <w:r w:rsidRPr="000541A0">
        <w:rPr>
          <w:rFonts w:ascii="IFAO-Grec Unicode" w:hAnsi="IFAO-Grec Unicode"/>
        </w:rPr>
        <w:t>praesidia</w:t>
      </w:r>
      <w:r>
        <w:rPr>
          <w:rFonts w:ascii="IFAO-Grec Unicode" w:hAnsi="IFAO-Grec Unicode"/>
        </w:rPr>
        <w:t xml:space="preserve"> </w:t>
      </w:r>
      <w:r w:rsidRPr="000541A0">
        <w:rPr>
          <w:rFonts w:ascii="IFAO-Grec Unicode" w:hAnsi="IFAO-Grec Unicode"/>
        </w:rPr>
        <w:t>of the Eastern Desert During the Principate</w:t>
      </w:r>
      <w:r>
        <w:rPr>
          <w:rFonts w:ascii="IFAO-Grec Unicode" w:hAnsi="IFAO-Grec Unicode"/>
        </w:rPr>
        <w:t xml:space="preserve">,” in T. </w:t>
      </w:r>
      <w:proofErr w:type="spellStart"/>
      <w:r>
        <w:rPr>
          <w:rFonts w:ascii="IFAO-Grec Unicode" w:hAnsi="IFAO-Grec Unicode"/>
        </w:rPr>
        <w:t>Faucher</w:t>
      </w:r>
      <w:proofErr w:type="spellEnd"/>
      <w:r>
        <w:rPr>
          <w:rFonts w:ascii="IFAO-Grec Unicode" w:hAnsi="IFAO-Grec Unicode"/>
        </w:rPr>
        <w:t xml:space="preserve"> (ed.)</w:t>
      </w:r>
      <w:r w:rsidR="00BE2BD6">
        <w:rPr>
          <w:rFonts w:ascii="IFAO-Grec Unicode" w:hAnsi="IFAO-Grec Unicode"/>
        </w:rPr>
        <w:t>,</w:t>
      </w:r>
      <w:r>
        <w:rPr>
          <w:rFonts w:ascii="IFAO-Grec Unicode" w:hAnsi="IFAO-Grec Unicode"/>
        </w:rPr>
        <w:t xml:space="preserve"> </w:t>
      </w:r>
      <w:r w:rsidRPr="00BE2BD6">
        <w:rPr>
          <w:rFonts w:ascii="IFAO-Grec Unicode" w:hAnsi="IFAO-Grec Unicode"/>
        </w:rPr>
        <w:t xml:space="preserve">Money </w:t>
      </w:r>
    </w:p>
    <w:p w14:paraId="5E4A7AE5" w14:textId="710B063E" w:rsidR="000541A0" w:rsidRDefault="000541A0" w:rsidP="003577B4">
      <w:pPr>
        <w:ind w:left="720"/>
        <w:rPr>
          <w:rFonts w:ascii="IFAO-Grec Unicode" w:hAnsi="IFAO-Grec Unicode"/>
        </w:rPr>
      </w:pPr>
      <w:r w:rsidRPr="00BE2BD6">
        <w:rPr>
          <w:rFonts w:ascii="IFAO-Grec Unicode" w:hAnsi="IFAO-Grec Unicode"/>
        </w:rPr>
        <w:t>Rules! The Monetary Economy of Egypt, from the Persians until the Beginning of Islam.</w:t>
      </w:r>
      <w:r>
        <w:rPr>
          <w:rFonts w:ascii="IFAO-Grec Unicode" w:hAnsi="IFAO-Grec Unicode"/>
        </w:rPr>
        <w:t xml:space="preserve"> </w:t>
      </w:r>
      <w:r w:rsidR="00D66450">
        <w:rPr>
          <w:rFonts w:ascii="IFAO-Grec Unicode" w:hAnsi="IFAO-Grec Unicode"/>
        </w:rPr>
        <w:t xml:space="preserve">Cairo: </w:t>
      </w:r>
      <w:r>
        <w:rPr>
          <w:rFonts w:ascii="IFAO-Grec Unicode" w:hAnsi="IFAO-Grec Unicode"/>
        </w:rPr>
        <w:t>309–339</w:t>
      </w:r>
      <w:r w:rsidR="00D66450">
        <w:rPr>
          <w:rFonts w:ascii="IFAO-Grec Unicode" w:hAnsi="IFAO-Grec Unicode"/>
        </w:rPr>
        <w:t>.</w:t>
      </w:r>
    </w:p>
    <w:p w14:paraId="362FFF3D" w14:textId="77777777" w:rsidR="00AE13A6" w:rsidRDefault="00AE13A6" w:rsidP="003577B4">
      <w:pPr>
        <w:ind w:left="720"/>
        <w:rPr>
          <w:rFonts w:ascii="IFAO-Grec Unicode" w:hAnsi="IFAO-Grec Unicode"/>
        </w:rPr>
      </w:pPr>
    </w:p>
    <w:p w14:paraId="1DD6908F" w14:textId="7609AC8C" w:rsidR="005A2FB5" w:rsidRDefault="005A2FB5" w:rsidP="005A2FB5">
      <w:pPr>
        <w:rPr>
          <w:rFonts w:ascii="IFAO-Grec Unicode" w:hAnsi="IFAO-Grec Unicode"/>
        </w:rPr>
      </w:pPr>
      <w:r w:rsidRPr="00953FDC">
        <w:rPr>
          <w:rFonts w:ascii="IFAO-Grec Unicode" w:hAnsi="IFAO-Grec Unicode"/>
        </w:rPr>
        <w:t xml:space="preserve">Earl, G. </w:t>
      </w:r>
      <w:r w:rsidR="002C4345" w:rsidRPr="00953FDC">
        <w:rPr>
          <w:rFonts w:ascii="IFAO-Grec Unicode" w:hAnsi="IFAO-Grec Unicode"/>
        </w:rPr>
        <w:t xml:space="preserve">et al. (2010) </w:t>
      </w:r>
      <w:r w:rsidR="002C4345" w:rsidRPr="00953FDC">
        <w:t>https://eprints.soton.ac.uk/204531/1/ewic_ev11_s8paper3.pdf</w:t>
      </w:r>
    </w:p>
    <w:p w14:paraId="5BDD7E9D" w14:textId="77777777" w:rsidR="00AF103E" w:rsidRPr="005A2FB5" w:rsidRDefault="00AF103E" w:rsidP="005A2FB5">
      <w:pPr>
        <w:rPr>
          <w:rFonts w:ascii="IFAO-Grec Unicode" w:hAnsi="IFAO-Grec Unicode"/>
        </w:rPr>
      </w:pPr>
    </w:p>
    <w:p w14:paraId="015BCFBA" w14:textId="694B12BF" w:rsidR="00296B99" w:rsidRDefault="00296B99">
      <w:pPr>
        <w:rPr>
          <w:rFonts w:ascii="IFAO-Grec Unicode" w:hAnsi="IFAO-Grec Unicode"/>
        </w:rPr>
      </w:pPr>
      <w:proofErr w:type="spellStart"/>
      <w:r>
        <w:rPr>
          <w:rFonts w:ascii="IFAO-Grec Unicode" w:hAnsi="IFAO-Grec Unicode"/>
        </w:rPr>
        <w:t>Kerler</w:t>
      </w:r>
      <w:proofErr w:type="spellEnd"/>
      <w:r>
        <w:rPr>
          <w:rFonts w:ascii="IFAO-Grec Unicode" w:hAnsi="IFAO-Grec Unicode"/>
        </w:rPr>
        <w:t xml:space="preserve">, G. (1970) </w:t>
      </w:r>
      <w:r w:rsidRPr="00BE2BD6">
        <w:rPr>
          <w:rFonts w:ascii="IFAO-Grec Unicode" w:hAnsi="IFAO-Grec Unicode"/>
        </w:rPr>
        <w:t xml:space="preserve">Die </w:t>
      </w:r>
      <w:proofErr w:type="spellStart"/>
      <w:r w:rsidRPr="00BE2BD6">
        <w:rPr>
          <w:rFonts w:ascii="IFAO-Grec Unicode" w:hAnsi="IFAO-Grec Unicode"/>
        </w:rPr>
        <w:t>Aussenpolitik</w:t>
      </w:r>
      <w:proofErr w:type="spellEnd"/>
      <w:r w:rsidRPr="00BE2BD6">
        <w:rPr>
          <w:rFonts w:ascii="IFAO-Grec Unicode" w:hAnsi="IFAO-Grec Unicode"/>
        </w:rPr>
        <w:t xml:space="preserve"> in der</w:t>
      </w:r>
      <w:r>
        <w:rPr>
          <w:rFonts w:ascii="IFAO-Grec Unicode" w:hAnsi="IFAO-Grec Unicode"/>
          <w:i/>
          <w:iCs/>
        </w:rPr>
        <w:t xml:space="preserve"> </w:t>
      </w:r>
      <w:r>
        <w:rPr>
          <w:rFonts w:ascii="IFAO-Grec Unicode" w:hAnsi="IFAO-Grec Unicode"/>
        </w:rPr>
        <w:t xml:space="preserve">Historia Augusta. Bonn. </w:t>
      </w:r>
    </w:p>
    <w:p w14:paraId="1D451994" w14:textId="77777777" w:rsidR="00F94A3A" w:rsidRDefault="00F94A3A">
      <w:pPr>
        <w:rPr>
          <w:rFonts w:ascii="IFAO-Grec Unicode" w:hAnsi="IFAO-Grec Unicode"/>
        </w:rPr>
      </w:pPr>
    </w:p>
    <w:p w14:paraId="4E35E825" w14:textId="7702E5E3" w:rsidR="00F94A3A" w:rsidRDefault="00000000">
      <w:pPr>
        <w:rPr>
          <w:rFonts w:ascii="IFAO-Grec Unicode" w:hAnsi="IFAO-Grec Unicode"/>
        </w:rPr>
      </w:pPr>
      <w:hyperlink r:id="rId17" w:history="1">
        <w:r w:rsidR="00F94A3A" w:rsidRPr="00F94A3A">
          <w:rPr>
            <w:rStyle w:val="Hyperlink"/>
            <w:rFonts w:ascii="IFAO-Grec Unicode" w:hAnsi="IFAO-Grec Unicode"/>
          </w:rPr>
          <w:t>Pollard, N. (2013)</w:t>
        </w:r>
      </w:hyperlink>
      <w:r w:rsidR="00F94A3A">
        <w:rPr>
          <w:rFonts w:ascii="IFAO-Grec Unicode" w:hAnsi="IFAO-Grec Unicode"/>
        </w:rPr>
        <w:t xml:space="preserve"> “</w:t>
      </w:r>
      <w:proofErr w:type="spellStart"/>
      <w:r w:rsidR="00F94A3A" w:rsidRPr="00F94A3A">
        <w:rPr>
          <w:rFonts w:ascii="IFAO-Grec Unicode" w:hAnsi="IFAO-Grec Unicode"/>
        </w:rPr>
        <w:t>Imperatores</w:t>
      </w:r>
      <w:proofErr w:type="spellEnd"/>
      <w:r w:rsidR="00F94A3A" w:rsidRPr="00F94A3A">
        <w:rPr>
          <w:rFonts w:ascii="IFAO-Grec Unicode" w:hAnsi="IFAO-Grec Unicode"/>
        </w:rPr>
        <w:t xml:space="preserve"> castra </w:t>
      </w:r>
      <w:proofErr w:type="spellStart"/>
      <w:r w:rsidR="00F94A3A" w:rsidRPr="00F94A3A">
        <w:rPr>
          <w:rFonts w:ascii="IFAO-Grec Unicode" w:hAnsi="IFAO-Grec Unicode"/>
        </w:rPr>
        <w:t>dedicaverunt</w:t>
      </w:r>
      <w:proofErr w:type="spellEnd"/>
      <w:r w:rsidR="00F94A3A" w:rsidRPr="00F94A3A">
        <w:rPr>
          <w:rFonts w:ascii="IFAO-Grec Unicode" w:hAnsi="IFAO-Grec Unicode"/>
        </w:rPr>
        <w:t>: Security, Army Bases, and Military Dispositions in Later Roman Egypt (Late Third-Fourth Century),</w:t>
      </w:r>
      <w:r w:rsidR="00F94A3A">
        <w:rPr>
          <w:rFonts w:ascii="IFAO-Grec Unicode" w:hAnsi="IFAO-Grec Unicode"/>
        </w:rPr>
        <w:t>”</w:t>
      </w:r>
      <w:r w:rsidR="00F94A3A" w:rsidRPr="00F94A3A">
        <w:rPr>
          <w:rFonts w:ascii="IFAO-Grec Unicode" w:hAnsi="IFAO-Grec Unicode"/>
        </w:rPr>
        <w:t xml:space="preserve"> Journal of Late Antiquity 6</w:t>
      </w:r>
      <w:r w:rsidR="00F94A3A">
        <w:rPr>
          <w:rFonts w:ascii="IFAO-Grec Unicode" w:hAnsi="IFAO-Grec Unicode"/>
        </w:rPr>
        <w:t xml:space="preserve">: </w:t>
      </w:r>
      <w:r w:rsidR="00F94A3A" w:rsidRPr="00F94A3A">
        <w:rPr>
          <w:rFonts w:ascii="IFAO-Grec Unicode" w:hAnsi="IFAO-Grec Unicode"/>
        </w:rPr>
        <w:t>3</w:t>
      </w:r>
      <w:r w:rsidR="00F94A3A">
        <w:rPr>
          <w:rFonts w:ascii="IFAO-Grec Unicode" w:hAnsi="IFAO-Grec Unicode"/>
        </w:rPr>
        <w:t>–</w:t>
      </w:r>
      <w:r w:rsidR="00F94A3A" w:rsidRPr="00F94A3A">
        <w:rPr>
          <w:rFonts w:ascii="IFAO-Grec Unicode" w:hAnsi="IFAO-Grec Unicode"/>
        </w:rPr>
        <w:t>36.</w:t>
      </w:r>
    </w:p>
    <w:p w14:paraId="024E4C08" w14:textId="77777777" w:rsidR="0070454C" w:rsidRDefault="0070454C">
      <w:pPr>
        <w:rPr>
          <w:rFonts w:ascii="IFAO-Grec Unicode" w:hAnsi="IFAO-Grec Unicode"/>
        </w:rPr>
      </w:pPr>
    </w:p>
    <w:p w14:paraId="51CD70AC" w14:textId="2A253B3E" w:rsidR="0070454C" w:rsidRDefault="00000000">
      <w:pPr>
        <w:rPr>
          <w:rFonts w:ascii="IFAO-Grec Unicode" w:hAnsi="IFAO-Grec Unicode"/>
        </w:rPr>
      </w:pPr>
      <w:hyperlink r:id="rId18" w:history="1">
        <w:r w:rsidR="0070454C" w:rsidRPr="0070454C">
          <w:rPr>
            <w:rStyle w:val="Hyperlink"/>
            <w:rFonts w:ascii="IFAO-Grec Unicode" w:hAnsi="IFAO-Grec Unicode"/>
          </w:rPr>
          <w:t>Rathbone, D. (2002)</w:t>
        </w:r>
      </w:hyperlink>
      <w:r w:rsidR="0070454C">
        <w:rPr>
          <w:rFonts w:ascii="IFAO-Grec Unicode" w:hAnsi="IFAO-Grec Unicode"/>
        </w:rPr>
        <w:t xml:space="preserve"> “</w:t>
      </w:r>
      <w:proofErr w:type="spellStart"/>
      <w:r w:rsidR="0070454C">
        <w:rPr>
          <w:rFonts w:ascii="IFAO-Grec Unicode" w:hAnsi="IFAO-Grec Unicode"/>
        </w:rPr>
        <w:t>Koptos</w:t>
      </w:r>
      <w:proofErr w:type="spellEnd"/>
      <w:r w:rsidR="0070454C">
        <w:rPr>
          <w:rFonts w:ascii="IFAO-Grec Unicode" w:hAnsi="IFAO-Grec Unicode"/>
        </w:rPr>
        <w:t xml:space="preserve"> the </w:t>
      </w:r>
      <w:proofErr w:type="spellStart"/>
      <w:r w:rsidR="0070454C">
        <w:rPr>
          <w:rFonts w:ascii="IFAO-Grec Unicode" w:hAnsi="IFAO-Grec Unicode"/>
          <w:i/>
          <w:iCs/>
        </w:rPr>
        <w:t>Emporion</w:t>
      </w:r>
      <w:proofErr w:type="spellEnd"/>
      <w:r w:rsidR="0070454C">
        <w:rPr>
          <w:rFonts w:ascii="IFAO-Grec Unicode" w:hAnsi="IFAO-Grec Unicode"/>
        </w:rPr>
        <w:t xml:space="preserve">. Economy and Society, I-III AD,” </w:t>
      </w:r>
      <w:r w:rsidR="0070454C" w:rsidRPr="00BE2BD6">
        <w:rPr>
          <w:rFonts w:ascii="IFAO-Grec Unicode" w:hAnsi="IFAO-Grec Unicode"/>
        </w:rPr>
        <w:t>Topoi. Orient-Occident</w:t>
      </w:r>
      <w:r w:rsidR="0070454C" w:rsidRPr="0070454C">
        <w:rPr>
          <w:rFonts w:ascii="IFAO-Grec Unicode" w:hAnsi="IFAO-Grec Unicode"/>
          <w:i/>
          <w:iCs/>
        </w:rPr>
        <w:t>.</w:t>
      </w:r>
      <w:r w:rsidR="0070454C" w:rsidRPr="0070454C">
        <w:rPr>
          <w:rFonts w:ascii="IFAO-Grec Unicode" w:hAnsi="IFAO-Grec Unicode"/>
        </w:rPr>
        <w:t xml:space="preserve"> </w:t>
      </w:r>
      <w:proofErr w:type="spellStart"/>
      <w:r w:rsidR="0070454C" w:rsidRPr="0070454C">
        <w:rPr>
          <w:rFonts w:ascii="IFAO-Grec Unicode" w:hAnsi="IFAO-Grec Unicode"/>
        </w:rPr>
        <w:t>Supplément</w:t>
      </w:r>
      <w:proofErr w:type="spellEnd"/>
      <w:r w:rsidR="0070454C" w:rsidRPr="0070454C">
        <w:rPr>
          <w:rFonts w:ascii="IFAO-Grec Unicode" w:hAnsi="IFAO-Grec Unicode"/>
        </w:rPr>
        <w:t xml:space="preserve"> 3</w:t>
      </w:r>
      <w:r w:rsidR="0070454C">
        <w:rPr>
          <w:rFonts w:ascii="IFAO-Grec Unicode" w:hAnsi="IFAO-Grec Unicode"/>
        </w:rPr>
        <w:t>. Lyon.</w:t>
      </w:r>
    </w:p>
    <w:p w14:paraId="7FE10FAC" w14:textId="77777777" w:rsidR="00B158E0" w:rsidRDefault="00B158E0">
      <w:pPr>
        <w:rPr>
          <w:rFonts w:ascii="IFAO-Grec Unicode" w:hAnsi="IFAO-Grec Unicode"/>
        </w:rPr>
      </w:pPr>
    </w:p>
    <w:p w14:paraId="7AF000AD" w14:textId="4F351897" w:rsidR="00B158E0" w:rsidRDefault="00000000">
      <w:pPr>
        <w:rPr>
          <w:rFonts w:ascii="IFAO-Grec Unicode" w:hAnsi="IFAO-Grec Unicode"/>
        </w:rPr>
      </w:pPr>
      <w:hyperlink r:id="rId19" w:history="1">
        <w:proofErr w:type="spellStart"/>
        <w:r w:rsidR="00B158E0" w:rsidRPr="00F94A3A">
          <w:rPr>
            <w:rStyle w:val="Hyperlink"/>
            <w:rFonts w:ascii="IFAO-Grec Unicode" w:hAnsi="IFAO-Grec Unicode"/>
          </w:rPr>
          <w:t>Sidebotham</w:t>
        </w:r>
        <w:proofErr w:type="spellEnd"/>
        <w:r w:rsidR="00F94A3A" w:rsidRPr="00F94A3A">
          <w:rPr>
            <w:rStyle w:val="Hyperlink"/>
            <w:rFonts w:ascii="IFAO-Grec Unicode" w:hAnsi="IFAO-Grec Unicode"/>
          </w:rPr>
          <w:t>, S.E.</w:t>
        </w:r>
        <w:r w:rsidR="00B158E0" w:rsidRPr="00F94A3A">
          <w:rPr>
            <w:rStyle w:val="Hyperlink"/>
            <w:rFonts w:ascii="IFAO-Grec Unicode" w:hAnsi="IFAO-Grec Unicode"/>
          </w:rPr>
          <w:t xml:space="preserve"> </w:t>
        </w:r>
        <w:r w:rsidR="00F94A3A" w:rsidRPr="00F94A3A">
          <w:rPr>
            <w:rStyle w:val="Hyperlink"/>
            <w:rFonts w:ascii="IFAO-Grec Unicode" w:hAnsi="IFAO-Grec Unicode"/>
          </w:rPr>
          <w:t>(</w:t>
        </w:r>
        <w:r w:rsidR="00B158E0" w:rsidRPr="00F94A3A">
          <w:rPr>
            <w:rStyle w:val="Hyperlink"/>
            <w:rFonts w:ascii="IFAO-Grec Unicode" w:hAnsi="IFAO-Grec Unicode"/>
          </w:rPr>
          <w:t>2002</w:t>
        </w:r>
        <w:r w:rsidR="00F94A3A" w:rsidRPr="00F94A3A">
          <w:rPr>
            <w:rStyle w:val="Hyperlink"/>
            <w:rFonts w:ascii="IFAO-Grec Unicode" w:hAnsi="IFAO-Grec Unicode"/>
          </w:rPr>
          <w:t>)</w:t>
        </w:r>
      </w:hyperlink>
      <w:r w:rsidR="00F94A3A">
        <w:rPr>
          <w:rFonts w:ascii="IFAO-Grec Unicode" w:hAnsi="IFAO-Grec Unicode"/>
        </w:rPr>
        <w:t xml:space="preserve"> “</w:t>
      </w:r>
      <w:r w:rsidR="00F94A3A">
        <w:t xml:space="preserve">Late Roman </w:t>
      </w:r>
      <w:proofErr w:type="spellStart"/>
      <w:r w:rsidR="00F94A3A">
        <w:t>Berenike</w:t>
      </w:r>
      <w:proofErr w:type="spellEnd"/>
      <w:r w:rsidR="00F94A3A">
        <w:t xml:space="preserve">,” </w:t>
      </w:r>
      <w:r w:rsidR="00F94A3A" w:rsidRPr="00F94A3A">
        <w:t>JARCE</w:t>
      </w:r>
      <w:r w:rsidR="00F94A3A">
        <w:t xml:space="preserve"> 39: 217–240.</w:t>
      </w:r>
    </w:p>
    <w:p w14:paraId="67D79831" w14:textId="77777777" w:rsidR="00B158E0" w:rsidRDefault="00B158E0">
      <w:pPr>
        <w:rPr>
          <w:rFonts w:ascii="IFAO-Grec Unicode" w:hAnsi="IFAO-Grec Unicode"/>
        </w:rPr>
      </w:pPr>
    </w:p>
    <w:p w14:paraId="10C03665" w14:textId="6D4310CA" w:rsidR="00B158E0" w:rsidRPr="0070454C" w:rsidRDefault="00000000">
      <w:pPr>
        <w:rPr>
          <w:rFonts w:ascii="IFAO-Grec Unicode" w:hAnsi="IFAO-Grec Unicode"/>
        </w:rPr>
      </w:pPr>
      <w:hyperlink r:id="rId20" w:history="1">
        <w:proofErr w:type="spellStart"/>
        <w:r w:rsidR="00B158E0" w:rsidRPr="009347CD">
          <w:rPr>
            <w:rStyle w:val="Hyperlink"/>
            <w:rFonts w:ascii="IFAO-Grec Unicode" w:hAnsi="IFAO-Grec Unicode"/>
          </w:rPr>
          <w:t>Sidebotham</w:t>
        </w:r>
        <w:proofErr w:type="spellEnd"/>
        <w:r w:rsidR="009347CD" w:rsidRPr="009347CD">
          <w:rPr>
            <w:rStyle w:val="Hyperlink"/>
            <w:rFonts w:ascii="IFAO-Grec Unicode" w:hAnsi="IFAO-Grec Unicode"/>
          </w:rPr>
          <w:t>, S.E.</w:t>
        </w:r>
        <w:r w:rsidR="00B158E0" w:rsidRPr="009347CD">
          <w:rPr>
            <w:rStyle w:val="Hyperlink"/>
            <w:rFonts w:ascii="IFAO-Grec Unicode" w:hAnsi="IFAO-Grec Unicode"/>
          </w:rPr>
          <w:t xml:space="preserve"> </w:t>
        </w:r>
        <w:r w:rsidR="009347CD" w:rsidRPr="009347CD">
          <w:rPr>
            <w:rStyle w:val="Hyperlink"/>
            <w:rFonts w:ascii="IFAO-Grec Unicode" w:hAnsi="IFAO-Grec Unicode"/>
          </w:rPr>
          <w:t>(</w:t>
        </w:r>
        <w:r w:rsidR="00B158E0" w:rsidRPr="009347CD">
          <w:rPr>
            <w:rStyle w:val="Hyperlink"/>
            <w:rFonts w:ascii="IFAO-Grec Unicode" w:hAnsi="IFAO-Grec Unicode"/>
          </w:rPr>
          <w:t>2011</w:t>
        </w:r>
        <w:r w:rsidR="009347CD" w:rsidRPr="009347CD">
          <w:rPr>
            <w:rStyle w:val="Hyperlink"/>
            <w:rFonts w:ascii="IFAO-Grec Unicode" w:hAnsi="IFAO-Grec Unicode"/>
          </w:rPr>
          <w:t>)</w:t>
        </w:r>
      </w:hyperlink>
      <w:r w:rsidR="009347CD">
        <w:rPr>
          <w:rFonts w:ascii="IFAO-Grec Unicode" w:hAnsi="IFAO-Grec Unicode"/>
        </w:rPr>
        <w:t xml:space="preserve"> </w:t>
      </w:r>
      <w:proofErr w:type="spellStart"/>
      <w:r w:rsidR="009347CD" w:rsidRPr="009347CD">
        <w:rPr>
          <w:rFonts w:ascii="IFAO-Grec Unicode" w:hAnsi="IFAO-Grec Unicode"/>
        </w:rPr>
        <w:t>Berenike</w:t>
      </w:r>
      <w:proofErr w:type="spellEnd"/>
      <w:r w:rsidR="009347CD" w:rsidRPr="009347CD">
        <w:rPr>
          <w:rFonts w:ascii="IFAO-Grec Unicode" w:hAnsi="IFAO-Grec Unicode"/>
        </w:rPr>
        <w:t xml:space="preserve"> and the Ancient Maritime Spice Route.</w:t>
      </w:r>
      <w:r w:rsidR="009347CD">
        <w:rPr>
          <w:rFonts w:ascii="IFAO-Grec Unicode" w:hAnsi="IFAO-Grec Unicode"/>
        </w:rPr>
        <w:t xml:space="preserve"> </w:t>
      </w:r>
      <w:r w:rsidR="009347CD" w:rsidRPr="009347CD">
        <w:rPr>
          <w:rFonts w:ascii="IFAO-Grec Unicode" w:hAnsi="IFAO-Grec Unicode"/>
        </w:rPr>
        <w:t>Berkeley</w:t>
      </w:r>
      <w:r w:rsidR="009347CD">
        <w:rPr>
          <w:rFonts w:ascii="IFAO-Grec Unicode" w:hAnsi="IFAO-Grec Unicode"/>
        </w:rPr>
        <w:t>,</w:t>
      </w:r>
      <w:r w:rsidR="009347CD" w:rsidRPr="009347CD">
        <w:rPr>
          <w:rFonts w:ascii="IFAO-Grec Unicode" w:hAnsi="IFAO-Grec Unicode"/>
        </w:rPr>
        <w:t xml:space="preserve"> Los Angeles</w:t>
      </w:r>
      <w:r w:rsidR="009347CD">
        <w:rPr>
          <w:rFonts w:ascii="IFAO-Grec Unicode" w:hAnsi="IFAO-Grec Unicode"/>
        </w:rPr>
        <w:t>,</w:t>
      </w:r>
      <w:r w:rsidR="009347CD" w:rsidRPr="009347CD">
        <w:rPr>
          <w:rFonts w:ascii="IFAO-Grec Unicode" w:hAnsi="IFAO-Grec Unicode"/>
        </w:rPr>
        <w:t xml:space="preserve"> London</w:t>
      </w:r>
      <w:r w:rsidR="009347CD">
        <w:rPr>
          <w:rFonts w:ascii="IFAO-Grec Unicode" w:hAnsi="IFAO-Grec Unicode"/>
        </w:rPr>
        <w:t>.</w:t>
      </w:r>
    </w:p>
    <w:p w14:paraId="5DEFD765" w14:textId="77777777" w:rsidR="00AF103E" w:rsidRDefault="00AF103E">
      <w:pPr>
        <w:rPr>
          <w:rFonts w:ascii="IFAO-Grec Unicode" w:hAnsi="IFAO-Grec Unicode"/>
        </w:rPr>
      </w:pPr>
    </w:p>
    <w:p w14:paraId="2D1947F5" w14:textId="77777777" w:rsidR="00AF103E" w:rsidRDefault="00000000" w:rsidP="003577B4">
      <w:hyperlink r:id="rId21" w:tgtFrame="_blank" w:history="1">
        <w:proofErr w:type="spellStart"/>
        <w:r w:rsidR="00AF103E">
          <w:rPr>
            <w:rStyle w:val="Hyperlink"/>
          </w:rPr>
          <w:t>Sidebotham</w:t>
        </w:r>
        <w:proofErr w:type="spellEnd"/>
        <w:r w:rsidR="00AF103E">
          <w:rPr>
            <w:rStyle w:val="Hyperlink"/>
          </w:rPr>
          <w:t>, S.E. et al. (2021)</w:t>
        </w:r>
      </w:hyperlink>
      <w:r w:rsidR="00AF103E">
        <w:t xml:space="preserve"> “Results of the Winter 2020 Excavation Season at </w:t>
      </w:r>
      <w:proofErr w:type="spellStart"/>
      <w:r w:rsidR="00AF103E">
        <w:t>Berenike</w:t>
      </w:r>
      <w:proofErr w:type="spellEnd"/>
      <w:r w:rsidR="00AF103E">
        <w:t xml:space="preserve"> (Red Sea coast, Egypt),” </w:t>
      </w:r>
      <w:r w:rsidR="00AF103E" w:rsidRPr="00BE2BD6">
        <w:t>Thetis</w:t>
      </w:r>
      <w:r w:rsidR="00AF103E">
        <w:t xml:space="preserve"> 26: 13–23.</w:t>
      </w:r>
    </w:p>
    <w:p w14:paraId="53FA732A" w14:textId="77777777" w:rsidR="00AF103E" w:rsidRDefault="00AF103E" w:rsidP="003577B4"/>
    <w:p w14:paraId="00EBAFF4" w14:textId="5AAFBAC8" w:rsidR="003577B4" w:rsidRDefault="003577B4" w:rsidP="00AF103E">
      <w:pPr>
        <w:rPr>
          <w:rFonts w:ascii="IFAO-Grec Unicode" w:hAnsi="IFAO-Grec Unicode"/>
        </w:rPr>
      </w:pPr>
      <w:proofErr w:type="spellStart"/>
      <w:r>
        <w:rPr>
          <w:rFonts w:ascii="IFAO-Grec Unicode" w:hAnsi="IFAO-Grec Unicode"/>
        </w:rPr>
        <w:t>Sidebotham</w:t>
      </w:r>
      <w:proofErr w:type="spellEnd"/>
      <w:r>
        <w:rPr>
          <w:rFonts w:ascii="IFAO-Grec Unicode" w:hAnsi="IFAO-Grec Unicode"/>
        </w:rPr>
        <w:t>,</w:t>
      </w:r>
      <w:r w:rsidR="00AF103E">
        <w:rPr>
          <w:rFonts w:ascii="IFAO-Grec Unicode" w:hAnsi="IFAO-Grec Unicode"/>
        </w:rPr>
        <w:t xml:space="preserve"> S.E.</w:t>
      </w:r>
      <w:r>
        <w:rPr>
          <w:rFonts w:ascii="IFAO-Grec Unicode" w:hAnsi="IFAO-Grec Unicode"/>
        </w:rPr>
        <w:t xml:space="preserve"> </w:t>
      </w:r>
      <w:r w:rsidR="00AF103E">
        <w:rPr>
          <w:rFonts w:ascii="IFAO-Grec Unicode" w:hAnsi="IFAO-Grec Unicode"/>
        </w:rPr>
        <w:t>et al.</w:t>
      </w:r>
      <w:r>
        <w:rPr>
          <w:rFonts w:ascii="IFAO-Grec Unicode" w:hAnsi="IFAO-Grec Unicode"/>
        </w:rPr>
        <w:t xml:space="preserve"> (202</w:t>
      </w:r>
      <w:r w:rsidR="00B30965">
        <w:rPr>
          <w:rFonts w:ascii="IFAO-Grec Unicode" w:hAnsi="IFAO-Grec Unicode"/>
        </w:rPr>
        <w:t>3</w:t>
      </w:r>
      <w:r>
        <w:rPr>
          <w:rFonts w:ascii="IFAO-Grec Unicode" w:hAnsi="IFAO-Grec Unicode"/>
        </w:rPr>
        <w:t>) “</w:t>
      </w:r>
      <w:r w:rsidRPr="003577B4">
        <w:rPr>
          <w:rFonts w:ascii="IFAO-Grec Unicode" w:hAnsi="IFAO-Grec Unicode"/>
        </w:rPr>
        <w:t>Results of the Winter 2022 Excavation Season</w:t>
      </w:r>
      <w:r w:rsidR="000F6E73">
        <w:rPr>
          <w:rFonts w:ascii="IFAO-Grec Unicode" w:hAnsi="IFAO-Grec Unicode"/>
        </w:rPr>
        <w:t xml:space="preserve"> </w:t>
      </w:r>
      <w:r w:rsidRPr="003577B4">
        <w:rPr>
          <w:rFonts w:ascii="IFAO-Grec Unicode" w:hAnsi="IFAO-Grec Unicode"/>
        </w:rPr>
        <w:t xml:space="preserve">at </w:t>
      </w:r>
      <w:proofErr w:type="spellStart"/>
      <w:r w:rsidRPr="003577B4">
        <w:rPr>
          <w:rFonts w:ascii="IFAO-Grec Unicode" w:hAnsi="IFAO-Grec Unicode"/>
        </w:rPr>
        <w:t>Berenike</w:t>
      </w:r>
      <w:proofErr w:type="spellEnd"/>
      <w:r w:rsidRPr="003577B4">
        <w:rPr>
          <w:rFonts w:ascii="IFAO-Grec Unicode" w:hAnsi="IFAO-Grec Unicode"/>
        </w:rPr>
        <w:t xml:space="preserve"> (Red Sea Coast), Egypt</w:t>
      </w:r>
      <w:r w:rsidR="00F94A3A">
        <w:rPr>
          <w:rFonts w:ascii="IFAO-Grec Unicode" w:hAnsi="IFAO-Grec Unicode"/>
        </w:rPr>
        <w:t>,</w:t>
      </w:r>
      <w:r>
        <w:rPr>
          <w:rFonts w:ascii="IFAO-Grec Unicode" w:hAnsi="IFAO-Grec Unicode"/>
        </w:rPr>
        <w:t xml:space="preserve">” </w:t>
      </w:r>
      <w:r w:rsidRPr="00BE2BD6">
        <w:rPr>
          <w:rFonts w:ascii="IFAO-Grec Unicode" w:hAnsi="IFAO-Grec Unicode"/>
        </w:rPr>
        <w:t>Thetis</w:t>
      </w:r>
      <w:r>
        <w:rPr>
          <w:rFonts w:ascii="IFAO-Grec Unicode" w:hAnsi="IFAO-Grec Unicode"/>
          <w:i/>
          <w:iCs/>
        </w:rPr>
        <w:t xml:space="preserve"> </w:t>
      </w:r>
      <w:r>
        <w:rPr>
          <w:rFonts w:ascii="IFAO-Grec Unicode" w:hAnsi="IFAO-Grec Unicode"/>
        </w:rPr>
        <w:t>27: 13–28.</w:t>
      </w:r>
    </w:p>
    <w:p w14:paraId="520F4C60" w14:textId="77777777" w:rsidR="008638C1" w:rsidRDefault="008638C1" w:rsidP="00AF103E">
      <w:pPr>
        <w:rPr>
          <w:rFonts w:ascii="IFAO-Grec Unicode" w:hAnsi="IFAO-Grec Unicode"/>
        </w:rPr>
      </w:pPr>
    </w:p>
    <w:p w14:paraId="68BB4E7E" w14:textId="4BA715B0" w:rsidR="008638C1" w:rsidRPr="003577B4" w:rsidRDefault="00000000" w:rsidP="00AF103E">
      <w:pPr>
        <w:rPr>
          <w:rFonts w:ascii="IFAO-Grec Unicode" w:hAnsi="IFAO-Grec Unicode"/>
        </w:rPr>
      </w:pPr>
      <w:hyperlink r:id="rId22" w:history="1">
        <w:proofErr w:type="spellStart"/>
        <w:r w:rsidR="008638C1" w:rsidRPr="008638C1">
          <w:rPr>
            <w:rStyle w:val="Hyperlink"/>
          </w:rPr>
          <w:t>Sidebotham</w:t>
        </w:r>
        <w:proofErr w:type="spellEnd"/>
        <w:r w:rsidR="008638C1" w:rsidRPr="008638C1">
          <w:rPr>
            <w:rStyle w:val="Hyperlink"/>
          </w:rPr>
          <w:t xml:space="preserve">, S.E. and </w:t>
        </w:r>
        <w:proofErr w:type="spellStart"/>
        <w:r w:rsidR="008638C1" w:rsidRPr="008638C1">
          <w:rPr>
            <w:rStyle w:val="Hyperlink"/>
          </w:rPr>
          <w:t>Wendrich</w:t>
        </w:r>
        <w:proofErr w:type="spellEnd"/>
        <w:r w:rsidR="008638C1" w:rsidRPr="008638C1">
          <w:rPr>
            <w:rStyle w:val="Hyperlink"/>
          </w:rPr>
          <w:t>, W.Z. (199</w:t>
        </w:r>
        <w:r w:rsidR="008638C1">
          <w:rPr>
            <w:rStyle w:val="Hyperlink"/>
          </w:rPr>
          <w:t>8</w:t>
        </w:r>
        <w:r w:rsidR="008638C1" w:rsidRPr="008638C1">
          <w:rPr>
            <w:rStyle w:val="Hyperlink"/>
          </w:rPr>
          <w:t>)</w:t>
        </w:r>
      </w:hyperlink>
      <w:r w:rsidR="008638C1" w:rsidRPr="008638C1">
        <w:t xml:space="preserve"> </w:t>
      </w:r>
      <w:proofErr w:type="spellStart"/>
      <w:r w:rsidR="008638C1" w:rsidRPr="008638C1">
        <w:t>Berenike</w:t>
      </w:r>
      <w:proofErr w:type="spellEnd"/>
      <w:r w:rsidR="008638C1" w:rsidRPr="008638C1">
        <w:t xml:space="preserve"> 1996. Report of the 1996 excavations at </w:t>
      </w:r>
      <w:proofErr w:type="spellStart"/>
      <w:r w:rsidR="008638C1" w:rsidRPr="008638C1">
        <w:t>Berenike</w:t>
      </w:r>
      <w:proofErr w:type="spellEnd"/>
      <w:r w:rsidR="008638C1" w:rsidRPr="008638C1">
        <w:t xml:space="preserve"> (Egyptian Red Sea Coast) and the Survey of the Eastern Desert</w:t>
      </w:r>
      <w:r w:rsidR="008638C1">
        <w:t xml:space="preserve">. </w:t>
      </w:r>
      <w:r w:rsidR="008638C1" w:rsidRPr="008638C1">
        <w:t xml:space="preserve">Leiden </w:t>
      </w:r>
    </w:p>
    <w:p w14:paraId="61CF645F" w14:textId="77777777" w:rsidR="00EB62CB" w:rsidRDefault="00EB62CB">
      <w:pPr>
        <w:rPr>
          <w:rFonts w:ascii="IFAO-Grec Unicode" w:hAnsi="IFAO-Grec Unicode"/>
        </w:rPr>
      </w:pPr>
    </w:p>
    <w:p w14:paraId="6C7945C7" w14:textId="59A6760A" w:rsidR="007449BA" w:rsidRDefault="00000000">
      <w:pPr>
        <w:rPr>
          <w:rFonts w:ascii="IFAO-Grec Unicode" w:hAnsi="IFAO-Grec Unicode"/>
        </w:rPr>
      </w:pPr>
      <w:hyperlink r:id="rId23" w:history="1">
        <w:r w:rsidR="009804AD" w:rsidRPr="008A49EF">
          <w:rPr>
            <w:rStyle w:val="Hyperlink"/>
          </w:rPr>
          <w:t>Thomas</w:t>
        </w:r>
        <w:r w:rsidR="008A49EF" w:rsidRPr="008A49EF">
          <w:rPr>
            <w:rStyle w:val="Hyperlink"/>
          </w:rPr>
          <w:t>,</w:t>
        </w:r>
        <w:r w:rsidR="009804AD" w:rsidRPr="008A49EF">
          <w:rPr>
            <w:rStyle w:val="Hyperlink"/>
          </w:rPr>
          <w:t xml:space="preserve"> J. D</w:t>
        </w:r>
        <w:r w:rsidR="008A49EF" w:rsidRPr="008A49EF">
          <w:rPr>
            <w:rStyle w:val="Hyperlink"/>
          </w:rPr>
          <w:t>. (1976)</w:t>
        </w:r>
      </w:hyperlink>
      <w:r w:rsidR="009804AD">
        <w:t xml:space="preserve"> </w:t>
      </w:r>
      <w:r w:rsidR="008A49EF">
        <w:t>“</w:t>
      </w:r>
      <w:r w:rsidR="009804AD">
        <w:t xml:space="preserve">The Date of the Revolt of L. </w:t>
      </w:r>
      <w:proofErr w:type="spellStart"/>
      <w:r w:rsidR="009804AD">
        <w:t>Domitius</w:t>
      </w:r>
      <w:proofErr w:type="spellEnd"/>
      <w:r w:rsidR="009804AD">
        <w:t xml:space="preserve"> </w:t>
      </w:r>
      <w:proofErr w:type="spellStart"/>
      <w:r w:rsidR="009804AD">
        <w:t>Domitianus</w:t>
      </w:r>
      <w:proofErr w:type="spellEnd"/>
      <w:r w:rsidR="008A49EF">
        <w:t xml:space="preserve">,” </w:t>
      </w:r>
      <w:r w:rsidR="009804AD">
        <w:t>ZPE 22</w:t>
      </w:r>
      <w:r w:rsidR="008A49EF">
        <w:t xml:space="preserve">: </w:t>
      </w:r>
      <w:r w:rsidR="009804AD">
        <w:t>253</w:t>
      </w:r>
      <w:r w:rsidR="008A49EF">
        <w:t>–</w:t>
      </w:r>
      <w:r w:rsidR="009804AD">
        <w:t>279.</w:t>
      </w:r>
    </w:p>
    <w:p w14:paraId="0366EC49" w14:textId="77777777" w:rsidR="007449BA" w:rsidRDefault="007449BA">
      <w:pPr>
        <w:rPr>
          <w:rFonts w:ascii="IFAO-Grec Unicode" w:hAnsi="IFAO-Grec Unicode"/>
        </w:rPr>
      </w:pPr>
    </w:p>
    <w:p w14:paraId="3D9E57B5" w14:textId="77777777" w:rsidR="004552D7" w:rsidRPr="00296B99" w:rsidRDefault="004552D7">
      <w:pPr>
        <w:rPr>
          <w:rFonts w:ascii="IFAO-Grec Unicode" w:hAnsi="IFAO-Grec Unicode"/>
        </w:rPr>
      </w:pPr>
    </w:p>
    <w:sectPr w:rsidR="004552D7" w:rsidRPr="00296B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80961" w14:textId="77777777" w:rsidR="007627B1" w:rsidRDefault="007627B1" w:rsidP="00223DAF">
      <w:r>
        <w:separator/>
      </w:r>
    </w:p>
  </w:endnote>
  <w:endnote w:type="continuationSeparator" w:id="0">
    <w:p w14:paraId="15D127AF" w14:textId="77777777" w:rsidR="007627B1" w:rsidRDefault="007627B1" w:rsidP="0022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FAO-Grec Unicode">
    <w:panose1 w:val="020B0604020202020204"/>
    <w:charset w:val="4D"/>
    <w:family w:val="roman"/>
    <w:pitch w:val="variable"/>
    <w:sig w:usb0="E00002EF" w:usb1="5200387A" w:usb2="0000002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AthenaUnicode">
    <w:altName w:val="Calibri"/>
    <w:panose1 w:val="020B0604020202020204"/>
    <w:charset w:val="00"/>
    <w:family w:val="auto"/>
    <w:pitch w:val="default"/>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53D67" w14:textId="77777777" w:rsidR="007627B1" w:rsidRDefault="007627B1" w:rsidP="00223DAF">
      <w:r>
        <w:separator/>
      </w:r>
    </w:p>
  </w:footnote>
  <w:footnote w:type="continuationSeparator" w:id="0">
    <w:p w14:paraId="3034DF73" w14:textId="77777777" w:rsidR="007627B1" w:rsidRDefault="007627B1" w:rsidP="00223DAF">
      <w:r>
        <w:continuationSeparator/>
      </w:r>
    </w:p>
  </w:footnote>
  <w:footnote w:id="1">
    <w:p w14:paraId="31D2DFE4" w14:textId="47E3CE54" w:rsidR="00661F1B" w:rsidRPr="00223DAF" w:rsidRDefault="00661F1B" w:rsidP="00661F1B">
      <w:pPr>
        <w:pStyle w:val="FootnoteText"/>
      </w:pPr>
      <w:r>
        <w:rPr>
          <w:rStyle w:val="FootnoteReference"/>
        </w:rPr>
        <w:footnoteRef/>
      </w:r>
      <w:r>
        <w:t xml:space="preserve"> </w:t>
      </w:r>
      <w:r w:rsidR="007449BA">
        <w:t xml:space="preserve">This article is part of a larger project to document inscriptions from the port of </w:t>
      </w:r>
      <w:proofErr w:type="spellStart"/>
      <w:r w:rsidR="007449BA">
        <w:t>Berenike</w:t>
      </w:r>
      <w:proofErr w:type="spellEnd"/>
      <w:r w:rsidR="007449BA">
        <w:t xml:space="preserve">, most of which have been found in recent years in the central Isis temple. </w:t>
      </w:r>
      <w:r>
        <w:t>For information about the Isis Temple project</w:t>
      </w:r>
      <w:r w:rsidRPr="00953FDC">
        <w:t>, see ***.</w:t>
      </w:r>
      <w:r w:rsidR="00180EF8">
        <w:t xml:space="preserve"> </w:t>
      </w:r>
    </w:p>
  </w:footnote>
  <w:footnote w:id="2">
    <w:p w14:paraId="19CA4782" w14:textId="1A959685" w:rsidR="00180EF8" w:rsidRPr="00180EF8" w:rsidRDefault="00180EF8">
      <w:pPr>
        <w:pStyle w:val="FootnoteText"/>
      </w:pPr>
      <w:r>
        <w:rPr>
          <w:rStyle w:val="FootnoteReference"/>
        </w:rPr>
        <w:footnoteRef/>
      </w:r>
      <w:r>
        <w:t xml:space="preserve"> When dimensions are given in this article, the measurements are always in the order of width × height × thickness.</w:t>
      </w:r>
    </w:p>
  </w:footnote>
  <w:footnote w:id="3">
    <w:p w14:paraId="348B7FD9" w14:textId="4ADE6E30" w:rsidR="006D3D58" w:rsidRPr="006D3D58" w:rsidRDefault="006D3D58">
      <w:pPr>
        <w:pStyle w:val="FootnoteText"/>
      </w:pPr>
      <w:r w:rsidRPr="00847654">
        <w:rPr>
          <w:rStyle w:val="FootnoteReference"/>
        </w:rPr>
        <w:footnoteRef/>
      </w:r>
      <w:r w:rsidRPr="00847654">
        <w:t xml:space="preserve"> </w:t>
      </w:r>
      <w:r w:rsidR="00B30965">
        <w:t>J</w:t>
      </w:r>
      <w:r w:rsidR="00847654">
        <w:t>.A</w:t>
      </w:r>
      <w:r w:rsidR="00B30965">
        <w:t xml:space="preserve">. Harrell gives a detailed analysis of the local </w:t>
      </w:r>
      <w:r w:rsidR="00847654">
        <w:t xml:space="preserve">gypsum stone </w:t>
      </w:r>
      <w:r w:rsidR="00B30965" w:rsidRPr="00B158E0">
        <w:t xml:space="preserve">in </w:t>
      </w:r>
      <w:hyperlink r:id="rId1" w:history="1">
        <w:proofErr w:type="spellStart"/>
        <w:r w:rsidR="00B30965" w:rsidRPr="00B158E0">
          <w:rPr>
            <w:rStyle w:val="Hyperlink"/>
          </w:rPr>
          <w:t>Sidebotham</w:t>
        </w:r>
        <w:proofErr w:type="spellEnd"/>
        <w:r w:rsidR="00B30965" w:rsidRPr="00B158E0">
          <w:rPr>
            <w:rStyle w:val="Hyperlink"/>
          </w:rPr>
          <w:t xml:space="preserve"> et al. 2021</w:t>
        </w:r>
      </w:hyperlink>
      <w:r w:rsidR="00B30965" w:rsidRPr="00B158E0">
        <w:t>: 21–22.</w:t>
      </w:r>
    </w:p>
  </w:footnote>
  <w:footnote w:id="4">
    <w:p w14:paraId="67840D3E" w14:textId="78CB4AA8" w:rsidR="006D3D58" w:rsidRPr="006D3D58" w:rsidRDefault="006D3D58">
      <w:pPr>
        <w:pStyle w:val="FootnoteText"/>
      </w:pPr>
      <w:r w:rsidRPr="00A962F5">
        <w:rPr>
          <w:rStyle w:val="FootnoteReference"/>
        </w:rPr>
        <w:footnoteRef/>
      </w:r>
      <w:r w:rsidRPr="00A962F5">
        <w:t xml:space="preserve"> </w:t>
      </w:r>
      <w:r w:rsidR="00A962F5" w:rsidRPr="00A962F5">
        <w:t>Of the published inscriptions</w:t>
      </w:r>
      <w:r w:rsidR="00E2427E">
        <w:t xml:space="preserve"> that show guidelines</w:t>
      </w:r>
      <w:r w:rsidR="00A962F5" w:rsidRPr="00A962F5">
        <w:t xml:space="preserve"> I can point</w:t>
      </w:r>
      <w:r w:rsidR="00363A8E">
        <w:t xml:space="preserve"> to</w:t>
      </w:r>
      <w:r w:rsidR="00A962F5" w:rsidRPr="00A962F5">
        <w:t xml:space="preserve"> </w:t>
      </w:r>
      <w:r w:rsidR="00363A8E">
        <w:t>a dedication commissioned</w:t>
      </w:r>
      <w:r w:rsidR="00A962F5" w:rsidRPr="00A962F5">
        <w:t xml:space="preserve"> by Epaphroditus, </w:t>
      </w:r>
      <w:r w:rsidR="00A962F5" w:rsidRPr="00953FDC">
        <w:t xml:space="preserve">the freedman of the merchant </w:t>
      </w:r>
      <w:r w:rsidRPr="00953FDC">
        <w:t xml:space="preserve">Marcus </w:t>
      </w:r>
      <w:proofErr w:type="spellStart"/>
      <w:r w:rsidRPr="00953FDC">
        <w:t>Laelius</w:t>
      </w:r>
      <w:proofErr w:type="spellEnd"/>
      <w:r w:rsidRPr="00953FDC">
        <w:t xml:space="preserve"> </w:t>
      </w:r>
      <w:proofErr w:type="spellStart"/>
      <w:r w:rsidR="00A962F5" w:rsidRPr="00953FDC">
        <w:t>Cosmus</w:t>
      </w:r>
      <w:proofErr w:type="spellEnd"/>
      <w:r w:rsidR="00A962F5" w:rsidRPr="00953FDC">
        <w:t>, under the emperor Claudius (51</w:t>
      </w:r>
      <w:r w:rsidR="00AC7FB8" w:rsidRPr="00953FDC">
        <w:t xml:space="preserve"> CE</w:t>
      </w:r>
      <w:r w:rsidR="00A962F5" w:rsidRPr="00953FDC">
        <w:t>) (Ast 2021: 150–151</w:t>
      </w:r>
      <w:r w:rsidR="00A962F5" w:rsidRPr="00A962F5">
        <w:t xml:space="preserve"> with Fig. 6) as well</w:t>
      </w:r>
      <w:r w:rsidR="00A962F5">
        <w:t xml:space="preserve"> as </w:t>
      </w:r>
      <w:r w:rsidR="00363A8E">
        <w:t xml:space="preserve">to </w:t>
      </w:r>
      <w:r w:rsidR="00A962F5">
        <w:t xml:space="preserve">the Ptolemaic inscription </w:t>
      </w:r>
      <w:hyperlink r:id="rId2" w:history="1">
        <w:proofErr w:type="spellStart"/>
        <w:r w:rsidR="00A962F5" w:rsidRPr="008A49EF">
          <w:rPr>
            <w:rStyle w:val="Hyperlink"/>
          </w:rPr>
          <w:t>I.Pan</w:t>
        </w:r>
        <w:proofErr w:type="spellEnd"/>
      </w:hyperlink>
      <w:r w:rsidR="00A962F5">
        <w:t xml:space="preserve"> 70 from 133 BCE (</w:t>
      </w:r>
      <w:hyperlink r:id="rId3" w:history="1">
        <w:r w:rsidR="00A962F5" w:rsidRPr="00BE2BD6">
          <w:rPr>
            <w:rStyle w:val="Hyperlink"/>
          </w:rPr>
          <w:t>Ast 2020</w:t>
        </w:r>
      </w:hyperlink>
      <w:r w:rsidR="00A962F5">
        <w:t>).</w:t>
      </w:r>
    </w:p>
  </w:footnote>
  <w:footnote w:id="5">
    <w:p w14:paraId="068E34CE" w14:textId="613EBC52" w:rsidR="00C022CD" w:rsidRPr="008D53A7" w:rsidRDefault="00C022CD">
      <w:pPr>
        <w:pStyle w:val="FootnoteText"/>
      </w:pPr>
      <w:r>
        <w:rPr>
          <w:rStyle w:val="FootnoteReference"/>
        </w:rPr>
        <w:footnoteRef/>
      </w:r>
      <w:r w:rsidR="007D1CE2">
        <w:t xml:space="preserve"> RTI has been employed on </w:t>
      </w:r>
      <w:proofErr w:type="gramStart"/>
      <w:r w:rsidR="007D1CE2">
        <w:t>a number of</w:t>
      </w:r>
      <w:proofErr w:type="gramEnd"/>
      <w:r w:rsidR="007D1CE2">
        <w:t xml:space="preserve"> inscriptions in order to enhance legibility and visualization. Information about the technology is available on the website of </w:t>
      </w:r>
      <w:hyperlink r:id="rId4" w:history="1">
        <w:r w:rsidR="007D1CE2" w:rsidRPr="002C4345">
          <w:rPr>
            <w:rStyle w:val="Hyperlink"/>
          </w:rPr>
          <w:t>Cultural Heritage Imaging (CHI)</w:t>
        </w:r>
      </w:hyperlink>
      <w:r w:rsidR="007D1CE2">
        <w:t xml:space="preserve"> and in Earl et al. 2010. </w:t>
      </w:r>
      <w:r w:rsidR="005A2FB5">
        <w:t>In addition to it, the project uses infrared photography for inked documents and photogrammetry for architectural and artistic elements.</w:t>
      </w:r>
    </w:p>
  </w:footnote>
  <w:footnote w:id="6">
    <w:p w14:paraId="4E6F2864" w14:textId="31836796" w:rsidR="007449BA" w:rsidRPr="006F3680" w:rsidRDefault="007449BA" w:rsidP="007449BA">
      <w:pPr>
        <w:pStyle w:val="FootnoteText"/>
      </w:pPr>
      <w:r w:rsidRPr="00AF103E">
        <w:rPr>
          <w:rStyle w:val="FootnoteReference"/>
        </w:rPr>
        <w:footnoteRef/>
      </w:r>
      <w:r w:rsidRPr="00AF103E">
        <w:t xml:space="preserve"> </w:t>
      </w:r>
      <w:r w:rsidR="008D53A7" w:rsidRPr="00AF103E">
        <w:t>Good examples of</w:t>
      </w:r>
      <w:r w:rsidR="00AF103E">
        <w:t xml:space="preserve"> </w:t>
      </w:r>
      <w:r w:rsidR="00E679EC">
        <w:t>fir</w:t>
      </w:r>
      <w:r w:rsidR="002C4345">
        <w:t>st-</w:t>
      </w:r>
      <w:r w:rsidR="00AF103E">
        <w:t xml:space="preserve"> and early </w:t>
      </w:r>
      <w:r w:rsidR="00E679EC">
        <w:t>seco</w:t>
      </w:r>
      <w:r w:rsidR="002C4345">
        <w:t>nd-</w:t>
      </w:r>
      <w:r w:rsidR="00AF103E">
        <w:t>century</w:t>
      </w:r>
      <w:r w:rsidR="008D53A7" w:rsidRPr="00AF103E">
        <w:t xml:space="preserve"> large dedication bases from </w:t>
      </w:r>
      <w:proofErr w:type="spellStart"/>
      <w:r w:rsidR="008D53A7" w:rsidRPr="00AF103E">
        <w:t>Berenike</w:t>
      </w:r>
      <w:proofErr w:type="spellEnd"/>
      <w:r w:rsidR="008D53A7" w:rsidRPr="00AF103E">
        <w:t xml:space="preserve"> are in </w:t>
      </w:r>
      <w:hyperlink r:id="rId5" w:history="1">
        <w:proofErr w:type="spellStart"/>
        <w:r w:rsidR="008D53A7" w:rsidRPr="006F3680">
          <w:rPr>
            <w:rStyle w:val="Hyperlink"/>
          </w:rPr>
          <w:t>Ast</w:t>
        </w:r>
        <w:proofErr w:type="spellEnd"/>
        <w:r w:rsidR="008D53A7" w:rsidRPr="006F3680">
          <w:rPr>
            <w:rStyle w:val="Hyperlink"/>
          </w:rPr>
          <w:t xml:space="preserve"> and Bagnall 201</w:t>
        </w:r>
        <w:r w:rsidR="00BE2BD6" w:rsidRPr="006F3680">
          <w:rPr>
            <w:rStyle w:val="Hyperlink"/>
          </w:rPr>
          <w:t>5</w:t>
        </w:r>
      </w:hyperlink>
      <w:r w:rsidR="008D53A7" w:rsidRPr="006F3680">
        <w:t xml:space="preserve"> and Ast 2021.</w:t>
      </w:r>
      <w:r w:rsidR="00362901" w:rsidRPr="006F3680">
        <w:t xml:space="preserve"> A small format dedication base is seen in BE-15/18 111.040 (Inv. 111007) from AD 209, which measures 48 </w:t>
      </w:r>
      <w:r w:rsidR="007F3C43" w:rsidRPr="006F3680">
        <w:t>×</w:t>
      </w:r>
      <w:r w:rsidR="00362901" w:rsidRPr="006F3680">
        <w:t xml:space="preserve"> 60 </w:t>
      </w:r>
      <w:r w:rsidR="007F3C43" w:rsidRPr="006F3680">
        <w:t>×</w:t>
      </w:r>
      <w:r w:rsidR="00362901" w:rsidRPr="006F3680">
        <w:t xml:space="preserve"> 49 cm.</w:t>
      </w:r>
      <w:r w:rsidR="00180EF8" w:rsidRPr="006F3680">
        <w:t xml:space="preserve"> </w:t>
      </w:r>
    </w:p>
  </w:footnote>
  <w:footnote w:id="7">
    <w:p w14:paraId="196D6E0E" w14:textId="63F94677" w:rsidR="007449BA" w:rsidRPr="006F3680" w:rsidRDefault="007449BA" w:rsidP="007449BA">
      <w:pPr>
        <w:pStyle w:val="FootnoteText"/>
      </w:pPr>
      <w:r w:rsidRPr="006F3680">
        <w:rPr>
          <w:rStyle w:val="FootnoteReference"/>
        </w:rPr>
        <w:footnoteRef/>
      </w:r>
      <w:r w:rsidRPr="006F3680">
        <w:t xml:space="preserve"> Both are still unpublished. The same general format is also observed in </w:t>
      </w:r>
      <w:proofErr w:type="spellStart"/>
      <w:proofErr w:type="gramStart"/>
      <w:r w:rsidRPr="006F3680">
        <w:t>I.Portes</w:t>
      </w:r>
      <w:proofErr w:type="spellEnd"/>
      <w:proofErr w:type="gramEnd"/>
      <w:r w:rsidRPr="006F3680">
        <w:t xml:space="preserve"> 86 (</w:t>
      </w:r>
      <w:r w:rsidR="00BE2BD6" w:rsidRPr="006F3680">
        <w:t xml:space="preserve">August 13, </w:t>
      </w:r>
      <w:r w:rsidRPr="006F3680">
        <w:t xml:space="preserve">2019) from </w:t>
      </w:r>
      <w:proofErr w:type="spellStart"/>
      <w:r w:rsidRPr="006F3680">
        <w:t>Coptos</w:t>
      </w:r>
      <w:proofErr w:type="spellEnd"/>
      <w:r w:rsidRPr="006F3680">
        <w:t xml:space="preserve">, although that stele </w:t>
      </w:r>
      <w:r w:rsidR="00923712" w:rsidRPr="006F3680">
        <w:t>is</w:t>
      </w:r>
      <w:r w:rsidR="00E2427E" w:rsidRPr="006F3680">
        <w:t>,</w:t>
      </w:r>
      <w:r w:rsidR="00923712" w:rsidRPr="006F3680">
        <w:t xml:space="preserve"> overall</w:t>
      </w:r>
      <w:r w:rsidR="00E2427E" w:rsidRPr="006F3680">
        <w:t>,</w:t>
      </w:r>
      <w:r w:rsidR="00923712" w:rsidRPr="006F3680">
        <w:t xml:space="preserve"> smaller in size, measuring</w:t>
      </w:r>
      <w:r w:rsidRPr="006F3680">
        <w:t xml:space="preserve"> </w:t>
      </w:r>
      <w:r w:rsidR="00E2427E" w:rsidRPr="006F3680">
        <w:t>47 x 58</w:t>
      </w:r>
      <w:r w:rsidR="009909AB" w:rsidRPr="006F3680">
        <w:t xml:space="preserve"> (the thickness is not recorded)</w:t>
      </w:r>
      <w:r w:rsidRPr="006F3680">
        <w:t>.</w:t>
      </w:r>
    </w:p>
  </w:footnote>
  <w:footnote w:id="8">
    <w:p w14:paraId="1623CDE1" w14:textId="0912C18F" w:rsidR="007449BA" w:rsidRPr="00C012EA" w:rsidRDefault="007449BA" w:rsidP="007449BA">
      <w:pPr>
        <w:pStyle w:val="FootnoteText"/>
      </w:pPr>
      <w:r w:rsidRPr="006F3680">
        <w:rPr>
          <w:rStyle w:val="FootnoteReference"/>
        </w:rPr>
        <w:footnoteRef/>
      </w:r>
      <w:r w:rsidRPr="006F3680">
        <w:t xml:space="preserve"> </w:t>
      </w:r>
      <w:proofErr w:type="spellStart"/>
      <w:r w:rsidR="003577B4" w:rsidRPr="006F3680">
        <w:t>Sidebotham</w:t>
      </w:r>
      <w:proofErr w:type="spellEnd"/>
      <w:r w:rsidR="003577B4" w:rsidRPr="006F3680">
        <w:t xml:space="preserve"> et al. 2023: </w:t>
      </w:r>
      <w:r w:rsidRPr="006F3680">
        <w:t>2</w:t>
      </w:r>
      <w:r w:rsidR="003577B4" w:rsidRPr="006F3680">
        <w:t>0–21 with Pl. XXIII.2</w:t>
      </w:r>
      <w:r w:rsidRPr="006F3680">
        <w:t>;</w:t>
      </w:r>
      <w:r w:rsidR="003577B4" w:rsidRPr="006F3680">
        <w:t xml:space="preserve"> full publication of the stele and other Indian artifacts from the port</w:t>
      </w:r>
      <w:r w:rsidRPr="006F3680">
        <w:t xml:space="preserve"> </w:t>
      </w:r>
      <w:r w:rsidR="003577B4" w:rsidRPr="006F3680">
        <w:t>will appear</w:t>
      </w:r>
      <w:r w:rsidRPr="006F3680">
        <w:t xml:space="preserve"> in </w:t>
      </w:r>
      <w:proofErr w:type="spellStart"/>
      <w:r w:rsidR="003577B4" w:rsidRPr="006F3680">
        <w:t>Sidebotham</w:t>
      </w:r>
      <w:proofErr w:type="spellEnd"/>
      <w:r w:rsidR="003577B4" w:rsidRPr="006F3680">
        <w:t xml:space="preserve">, </w:t>
      </w:r>
      <w:proofErr w:type="spellStart"/>
      <w:r w:rsidR="003577B4" w:rsidRPr="006F3680">
        <w:t>Ast</w:t>
      </w:r>
      <w:proofErr w:type="spellEnd"/>
      <w:r w:rsidR="003577B4" w:rsidRPr="006F3680">
        <w:t xml:space="preserve"> et al. (forthcoming)</w:t>
      </w:r>
      <w:r w:rsidRPr="006F3680">
        <w:t>.</w:t>
      </w:r>
      <w:r>
        <w:t xml:space="preserve"> </w:t>
      </w:r>
    </w:p>
  </w:footnote>
  <w:footnote w:id="9">
    <w:p w14:paraId="070D75A6" w14:textId="71832B29" w:rsidR="001C398D" w:rsidRPr="00BC5F57" w:rsidRDefault="001C398D" w:rsidP="001C398D">
      <w:pPr>
        <w:pStyle w:val="FootnoteText"/>
      </w:pPr>
      <w:r>
        <w:rPr>
          <w:rStyle w:val="FootnoteReference"/>
        </w:rPr>
        <w:footnoteRef/>
      </w:r>
      <w:r>
        <w:t xml:space="preserve"> Respectively, these are BE-15/18 111.040 </w:t>
      </w:r>
      <w:r w:rsidR="00036F65">
        <w:t>(</w:t>
      </w:r>
      <w:r>
        <w:t>inv. 111007</w:t>
      </w:r>
      <w:r w:rsidR="00036F65">
        <w:t>)</w:t>
      </w:r>
      <w:r>
        <w:t xml:space="preserve"> and </w:t>
      </w:r>
      <w:r w:rsidRPr="00803C75">
        <w:t>BE-22 150b.011.001</w:t>
      </w:r>
      <w:r w:rsidR="00482C44">
        <w:t xml:space="preserve"> </w:t>
      </w:r>
      <w:r w:rsidR="00036F65">
        <w:t>(</w:t>
      </w:r>
      <w:r w:rsidR="007D5768" w:rsidRPr="00482C44">
        <w:t>inv. 150(b)</w:t>
      </w:r>
      <w:r w:rsidR="007D5768">
        <w:t>001</w:t>
      </w:r>
      <w:r w:rsidR="00036F65">
        <w:t>)</w:t>
      </w:r>
      <w:r w:rsidR="007D5768">
        <w:t xml:space="preserve">, </w:t>
      </w:r>
      <w:r>
        <w:rPr>
          <w:rFonts w:ascii="IFAO-Grec Unicode" w:hAnsi="IFAO-Grec Unicode"/>
          <w:lang w:val="x-none"/>
        </w:rPr>
        <w:t>both unpublished.</w:t>
      </w:r>
    </w:p>
  </w:footnote>
  <w:footnote w:id="10">
    <w:p w14:paraId="674C31BC" w14:textId="77777777" w:rsidR="00E355A7" w:rsidRPr="008452DA" w:rsidRDefault="00E355A7" w:rsidP="00E355A7">
      <w:pPr>
        <w:pStyle w:val="FootnoteText"/>
      </w:pPr>
      <w:r>
        <w:rPr>
          <w:rStyle w:val="FootnoteReference"/>
        </w:rPr>
        <w:footnoteRef/>
      </w:r>
      <w:r>
        <w:t xml:space="preserve"> </w:t>
      </w:r>
      <w:hyperlink r:id="rId6" w:history="1">
        <w:proofErr w:type="spellStart"/>
        <w:r w:rsidRPr="00D3364C">
          <w:rPr>
            <w:rStyle w:val="Hyperlink"/>
          </w:rPr>
          <w:t>Bureth</w:t>
        </w:r>
        <w:proofErr w:type="spellEnd"/>
        <w:r w:rsidRPr="00D3364C">
          <w:rPr>
            <w:rStyle w:val="Hyperlink"/>
          </w:rPr>
          <w:t xml:space="preserve"> 1964</w:t>
        </w:r>
      </w:hyperlink>
      <w:r>
        <w:t>: 124–125.</w:t>
      </w:r>
    </w:p>
  </w:footnote>
  <w:footnote w:id="11">
    <w:p w14:paraId="1CB262D9" w14:textId="1745779C" w:rsidR="00273E41" w:rsidRPr="00273E41" w:rsidRDefault="00273E41">
      <w:pPr>
        <w:pStyle w:val="FootnoteText"/>
      </w:pPr>
      <w:r w:rsidRPr="002C4345">
        <w:rPr>
          <w:rStyle w:val="FootnoteReference"/>
        </w:rPr>
        <w:footnoteRef/>
      </w:r>
      <w:r w:rsidRPr="002C4345">
        <w:t xml:space="preserve"> </w:t>
      </w:r>
      <w:r w:rsidR="00F56351" w:rsidRPr="00F94A3A">
        <w:t xml:space="preserve">See </w:t>
      </w:r>
      <w:hyperlink r:id="rId7" w:history="1">
        <w:proofErr w:type="spellStart"/>
        <w:r w:rsidR="002C4345" w:rsidRPr="00F94A3A">
          <w:rPr>
            <w:rStyle w:val="Hyperlink"/>
          </w:rPr>
          <w:t>Sidebotham</w:t>
        </w:r>
        <w:proofErr w:type="spellEnd"/>
        <w:r w:rsidR="002C4345" w:rsidRPr="00F94A3A">
          <w:rPr>
            <w:rStyle w:val="Hyperlink"/>
          </w:rPr>
          <w:t xml:space="preserve"> 2002</w:t>
        </w:r>
      </w:hyperlink>
      <w:r w:rsidR="002C4345" w:rsidRPr="00F94A3A">
        <w:t>: 219–220</w:t>
      </w:r>
      <w:r w:rsidR="00F56351" w:rsidRPr="00F94A3A">
        <w:t>, which</w:t>
      </w:r>
      <w:r w:rsidR="00F56351">
        <w:t xml:space="preserve"> is based</w:t>
      </w:r>
      <w:r w:rsidR="008638C1">
        <w:t xml:space="preserve"> </w:t>
      </w:r>
      <w:r w:rsidR="002C4345" w:rsidRPr="002C4345">
        <w:t>on the</w:t>
      </w:r>
      <w:r w:rsidR="002C4345">
        <w:t xml:space="preserve"> evidence that was available at the time.</w:t>
      </w:r>
      <w:r w:rsidR="00F56351">
        <w:t xml:space="preserve"> The inscription in question, which is dated 215, was excavated in the so-called Palmyrene shrine; </w:t>
      </w:r>
      <w:r w:rsidR="00F56351" w:rsidRPr="0022616C">
        <w:t xml:space="preserve">see A.M.F.W. </w:t>
      </w:r>
      <w:proofErr w:type="spellStart"/>
      <w:r w:rsidR="00F56351" w:rsidRPr="0022616C">
        <w:t>Verhoogt</w:t>
      </w:r>
      <w:proofErr w:type="spellEnd"/>
      <w:r w:rsidR="00F56351" w:rsidRPr="0022616C">
        <w:t xml:space="preserve"> in </w:t>
      </w:r>
      <w:hyperlink r:id="rId8" w:history="1">
        <w:proofErr w:type="spellStart"/>
        <w:r w:rsidR="00F56351" w:rsidRPr="009347CD">
          <w:rPr>
            <w:rStyle w:val="Hyperlink"/>
          </w:rPr>
          <w:t>Sidebotham</w:t>
        </w:r>
        <w:proofErr w:type="spellEnd"/>
        <w:r w:rsidR="00F56351" w:rsidRPr="009347CD">
          <w:rPr>
            <w:rStyle w:val="Hyperlink"/>
          </w:rPr>
          <w:t xml:space="preserve"> and </w:t>
        </w:r>
        <w:proofErr w:type="spellStart"/>
        <w:r w:rsidR="00F56351" w:rsidRPr="009347CD">
          <w:rPr>
            <w:rStyle w:val="Hyperlink"/>
          </w:rPr>
          <w:t>Wendrich</w:t>
        </w:r>
        <w:proofErr w:type="spellEnd"/>
        <w:r w:rsidR="00F56351" w:rsidRPr="009347CD">
          <w:rPr>
            <w:rStyle w:val="Hyperlink"/>
          </w:rPr>
          <w:t xml:space="preserve"> 1998</w:t>
        </w:r>
      </w:hyperlink>
      <w:r w:rsidR="00F56351" w:rsidRPr="009347CD">
        <w:t>: 193–196</w:t>
      </w:r>
      <w:r w:rsidR="00F56351">
        <w:t xml:space="preserve"> (cf</w:t>
      </w:r>
      <w:r w:rsidR="00F56351" w:rsidRPr="009804AD">
        <w:t xml:space="preserve">. </w:t>
      </w:r>
      <w:hyperlink r:id="rId9" w:history="1">
        <w:r w:rsidR="00F56351" w:rsidRPr="009804AD">
          <w:rPr>
            <w:rStyle w:val="Hyperlink"/>
            <w:bCs/>
          </w:rPr>
          <w:t>SEG 48</w:t>
        </w:r>
      </w:hyperlink>
      <w:r w:rsidR="00F56351" w:rsidRPr="009804AD">
        <w:rPr>
          <w:bCs/>
        </w:rPr>
        <w:t xml:space="preserve"> 1977 </w:t>
      </w:r>
      <w:r w:rsidR="00F56351" w:rsidRPr="0022616C">
        <w:rPr>
          <w:bCs/>
        </w:rPr>
        <w:t xml:space="preserve">and SB </w:t>
      </w:r>
      <w:r w:rsidR="0022616C" w:rsidRPr="0022616C">
        <w:rPr>
          <w:bCs/>
        </w:rPr>
        <w:t>28</w:t>
      </w:r>
      <w:r w:rsidR="00F56351" w:rsidRPr="0022616C">
        <w:rPr>
          <w:bCs/>
        </w:rPr>
        <w:t xml:space="preserve"> 16916)</w:t>
      </w:r>
      <w:r w:rsidR="00F56351" w:rsidRPr="0022616C">
        <w:t>.</w:t>
      </w:r>
    </w:p>
  </w:footnote>
  <w:footnote w:id="12">
    <w:p w14:paraId="5630CE25" w14:textId="5AEBAADD" w:rsidR="00590270" w:rsidRPr="00590270" w:rsidRDefault="00590270">
      <w:pPr>
        <w:pStyle w:val="FootnoteText"/>
      </w:pPr>
      <w:r>
        <w:rPr>
          <w:rStyle w:val="FootnoteReference"/>
        </w:rPr>
        <w:footnoteRef/>
      </w:r>
      <w:r>
        <w:t xml:space="preserve"> </w:t>
      </w:r>
      <w:r w:rsidR="00E33ACB">
        <w:t xml:space="preserve">Cf. </w:t>
      </w:r>
      <w:r w:rsidR="00CA6BD5">
        <w:t>preceding note</w:t>
      </w:r>
      <w:r w:rsidR="00E33ACB">
        <w:t xml:space="preserve"> for the inscription from 215; the others are </w:t>
      </w:r>
      <w:r w:rsidR="00E33ACB" w:rsidRPr="00953FDC">
        <w:t>***.</w:t>
      </w:r>
    </w:p>
  </w:footnote>
  <w:footnote w:id="13">
    <w:p w14:paraId="170419E5" w14:textId="40812FAC" w:rsidR="007D02BF" w:rsidRPr="007D02BF" w:rsidRDefault="007D02BF">
      <w:pPr>
        <w:pStyle w:val="FootnoteText"/>
      </w:pPr>
      <w:r w:rsidRPr="007D02BF">
        <w:rPr>
          <w:rStyle w:val="FootnoteReference"/>
        </w:rPr>
        <w:footnoteRef/>
      </w:r>
      <w:r w:rsidRPr="007D02BF">
        <w:t xml:space="preserve"> </w:t>
      </w:r>
      <w:r w:rsidRPr="009347CD">
        <w:t xml:space="preserve">See </w:t>
      </w:r>
      <w:hyperlink r:id="rId10" w:history="1">
        <w:proofErr w:type="spellStart"/>
        <w:r w:rsidRPr="009347CD">
          <w:rPr>
            <w:rStyle w:val="Hyperlink"/>
          </w:rPr>
          <w:t>Sidebotham</w:t>
        </w:r>
        <w:proofErr w:type="spellEnd"/>
        <w:r w:rsidRPr="009347CD">
          <w:rPr>
            <w:rStyle w:val="Hyperlink"/>
          </w:rPr>
          <w:t xml:space="preserve"> 2011</w:t>
        </w:r>
      </w:hyperlink>
      <w:r w:rsidRPr="009347CD">
        <w:t>: 63, where</w:t>
      </w:r>
      <w:r w:rsidRPr="007D02BF">
        <w:t xml:space="preserve"> it is also noted that </w:t>
      </w:r>
      <w:r>
        <w:t>“</w:t>
      </w:r>
      <w:r w:rsidRPr="007D02BF">
        <w:t>nothing</w:t>
      </w:r>
      <w:r w:rsidR="0064149D">
        <w:t xml:space="preserve"> </w:t>
      </w:r>
      <w:r w:rsidRPr="007D02BF">
        <w:t>…</w:t>
      </w:r>
      <w:r w:rsidR="0064149D">
        <w:t xml:space="preserve"> </w:t>
      </w:r>
      <w:r>
        <w:t xml:space="preserve">would indicate the physical appearance of ships or harbor facilities or their location” between the late second and early fourth centuries. </w:t>
      </w:r>
      <w:proofErr w:type="spellStart"/>
      <w:r>
        <w:t>Sidebotham</w:t>
      </w:r>
      <w:proofErr w:type="spellEnd"/>
      <w:r>
        <w:t xml:space="preserve"> </w:t>
      </w:r>
      <w:r w:rsidRPr="009347CD">
        <w:t>(</w:t>
      </w:r>
      <w:hyperlink r:id="rId11" w:history="1">
        <w:r w:rsidR="0064149D" w:rsidRPr="009347CD">
          <w:rPr>
            <w:rStyle w:val="Hyperlink"/>
          </w:rPr>
          <w:t>2011</w:t>
        </w:r>
      </w:hyperlink>
      <w:r w:rsidR="0064149D" w:rsidRPr="009347CD">
        <w:t>:</w:t>
      </w:r>
      <w:r w:rsidRPr="009347CD">
        <w:t xml:space="preserve"> 63–64) </w:t>
      </w:r>
      <w:r w:rsidR="00CA6BD5" w:rsidRPr="009347CD">
        <w:t>acknowledges</w:t>
      </w:r>
      <w:r w:rsidRPr="009347CD">
        <w:t>, however, th</w:t>
      </w:r>
      <w:r w:rsidR="00CA6BD5" w:rsidRPr="009347CD">
        <w:t>at there was</w:t>
      </w:r>
      <w:r w:rsidRPr="009347CD">
        <w:t xml:space="preserve"> some evidence of activity in the late second and first part</w:t>
      </w:r>
      <w:r>
        <w:t xml:space="preserve"> of the third centuries.</w:t>
      </w:r>
    </w:p>
  </w:footnote>
  <w:footnote w:id="14">
    <w:p w14:paraId="25464B33" w14:textId="64D441EE" w:rsidR="000541A0" w:rsidRPr="000541A0" w:rsidRDefault="000541A0">
      <w:pPr>
        <w:pStyle w:val="FootnoteText"/>
      </w:pPr>
      <w:r w:rsidRPr="006F3680">
        <w:rPr>
          <w:rStyle w:val="FootnoteReference"/>
        </w:rPr>
        <w:footnoteRef/>
      </w:r>
      <w:r w:rsidRPr="006F3680">
        <w:t xml:space="preserve"> </w:t>
      </w:r>
      <w:proofErr w:type="spellStart"/>
      <w:r w:rsidRPr="006F3680">
        <w:t>Cuvigny</w:t>
      </w:r>
      <w:proofErr w:type="spellEnd"/>
      <w:r w:rsidRPr="006F3680">
        <w:t xml:space="preserve"> and </w:t>
      </w:r>
      <w:proofErr w:type="spellStart"/>
      <w:r w:rsidRPr="006F3680">
        <w:t>Lach-Urgacz</w:t>
      </w:r>
      <w:proofErr w:type="spellEnd"/>
      <w:r w:rsidR="0064149D" w:rsidRPr="006F3680">
        <w:t xml:space="preserve"> 2020</w:t>
      </w:r>
      <w:r w:rsidRPr="006F3680">
        <w:t>: 331.</w:t>
      </w:r>
    </w:p>
  </w:footnote>
  <w:footnote w:id="15">
    <w:p w14:paraId="62C91279" w14:textId="5E91AC05" w:rsidR="006A02CE" w:rsidRPr="006A02CE" w:rsidRDefault="006A02CE">
      <w:pPr>
        <w:pStyle w:val="FootnoteText"/>
      </w:pPr>
      <w:r>
        <w:rPr>
          <w:rStyle w:val="FootnoteReference"/>
        </w:rPr>
        <w:footnoteRef/>
      </w:r>
      <w:r>
        <w:t xml:space="preserve"> See </w:t>
      </w:r>
      <w:hyperlink r:id="rId12" w:anchor="ch_112" w:history="1">
        <w:proofErr w:type="spellStart"/>
        <w:r w:rsidRPr="006A02CE">
          <w:rPr>
            <w:rStyle w:val="Hyperlink"/>
          </w:rPr>
          <w:t>O.Berenike</w:t>
        </w:r>
        <w:proofErr w:type="spellEnd"/>
        <w:r w:rsidRPr="006A02CE">
          <w:rPr>
            <w:rStyle w:val="Hyperlink"/>
          </w:rPr>
          <w:t xml:space="preserve"> 4.535</w:t>
        </w:r>
      </w:hyperlink>
      <w:r>
        <w:t xml:space="preserve"> with references</w:t>
      </w:r>
      <w:r w:rsidR="00FD6501">
        <w:t xml:space="preserve">; the ostracon is </w:t>
      </w:r>
      <w:hyperlink r:id="rId13" w:anchor="ch_107" w:history="1">
        <w:proofErr w:type="spellStart"/>
        <w:r w:rsidR="00FD6501" w:rsidRPr="006A02CE">
          <w:rPr>
            <w:rStyle w:val="Hyperlink"/>
          </w:rPr>
          <w:t>O.Berenike</w:t>
        </w:r>
        <w:proofErr w:type="spellEnd"/>
        <w:r w:rsidR="00FD6501" w:rsidRPr="006A02CE">
          <w:rPr>
            <w:rStyle w:val="Hyperlink"/>
          </w:rPr>
          <w:t xml:space="preserve"> 4.534</w:t>
        </w:r>
      </w:hyperlink>
      <w:r w:rsidR="00FD6501">
        <w:t>.</w:t>
      </w:r>
    </w:p>
  </w:footnote>
  <w:footnote w:id="16">
    <w:p w14:paraId="4503F8B6" w14:textId="52BD92B9" w:rsidR="009A615F" w:rsidRPr="009A615F" w:rsidRDefault="009A615F">
      <w:pPr>
        <w:pStyle w:val="FootnoteText"/>
      </w:pPr>
      <w:r>
        <w:rPr>
          <w:rStyle w:val="FootnoteReference"/>
        </w:rPr>
        <w:footnoteRef/>
      </w:r>
      <w:r>
        <w:t xml:space="preserve"> Nick </w:t>
      </w:r>
      <w:proofErr w:type="spellStart"/>
      <w:r>
        <w:t>Bartos</w:t>
      </w:r>
      <w:proofErr w:type="spellEnd"/>
      <w:r>
        <w:t xml:space="preserve"> and Roderick </w:t>
      </w:r>
      <w:proofErr w:type="spellStart"/>
      <w:r>
        <w:t>Geerts</w:t>
      </w:r>
      <w:proofErr w:type="spellEnd"/>
      <w:r>
        <w:t>, personal comm. 28.02.2024.</w:t>
      </w:r>
    </w:p>
  </w:footnote>
  <w:footnote w:id="17">
    <w:p w14:paraId="7E57DB50" w14:textId="2B496A61" w:rsidR="006A438A" w:rsidRPr="006F3680" w:rsidRDefault="006A438A">
      <w:pPr>
        <w:pStyle w:val="FootnoteText"/>
      </w:pPr>
      <w:r w:rsidRPr="006F3680">
        <w:rPr>
          <w:rStyle w:val="FootnoteReference"/>
        </w:rPr>
        <w:footnoteRef/>
      </w:r>
      <w:r w:rsidRPr="006F3680">
        <w:t xml:space="preserve"> </w:t>
      </w:r>
      <w:hyperlink r:id="rId14" w:history="1">
        <w:r w:rsidRPr="006F3680">
          <w:rPr>
            <w:rStyle w:val="Hyperlink"/>
          </w:rPr>
          <w:t>Brun 2018</w:t>
        </w:r>
      </w:hyperlink>
      <w:r w:rsidRPr="006F3680">
        <w:t xml:space="preserve"> §31</w:t>
      </w:r>
      <w:r w:rsidR="0008546E" w:rsidRPr="006F3680">
        <w:t xml:space="preserve">; cf. </w:t>
      </w:r>
      <w:proofErr w:type="spellStart"/>
      <w:r w:rsidR="00BC77A1" w:rsidRPr="006F3680">
        <w:rPr>
          <w:lang w:val="fr-FR"/>
        </w:rPr>
        <w:t>Cuvigny</w:t>
      </w:r>
      <w:proofErr w:type="spellEnd"/>
      <w:r w:rsidR="00BC77A1" w:rsidRPr="006F3680">
        <w:rPr>
          <w:lang w:val="fr-FR"/>
        </w:rPr>
        <w:t xml:space="preserve"> 2022</w:t>
      </w:r>
      <w:r w:rsidR="00BC77A1" w:rsidRPr="006F3680">
        <w:t>: 113–114.</w:t>
      </w:r>
    </w:p>
  </w:footnote>
  <w:footnote w:id="18">
    <w:p w14:paraId="6B3CEC11" w14:textId="67730D88" w:rsidR="003F6776" w:rsidRPr="003F6776" w:rsidRDefault="003F6776">
      <w:pPr>
        <w:pStyle w:val="FootnoteText"/>
      </w:pPr>
      <w:r w:rsidRPr="006F3680">
        <w:rPr>
          <w:rStyle w:val="FootnoteReference"/>
        </w:rPr>
        <w:footnoteRef/>
      </w:r>
      <w:r w:rsidRPr="006F3680">
        <w:t xml:space="preserve"> Concern about the impact of conflicts on trade traffic</w:t>
      </w:r>
      <w:r w:rsidR="00137980" w:rsidRPr="006F3680">
        <w:t xml:space="preserve"> in the desert</w:t>
      </w:r>
      <w:r w:rsidRPr="006F3680">
        <w:t xml:space="preserve"> is voiced also elsewhere; cf. Cobb 2023: 125.</w:t>
      </w:r>
    </w:p>
  </w:footnote>
  <w:footnote w:id="19">
    <w:p w14:paraId="2AC38367" w14:textId="03DDEEA5" w:rsidR="000F4F81" w:rsidRPr="00053732" w:rsidRDefault="000F4F81">
      <w:pPr>
        <w:pStyle w:val="FootnoteText"/>
      </w:pPr>
      <w:r w:rsidRPr="0008546E">
        <w:rPr>
          <w:rStyle w:val="FootnoteReference"/>
        </w:rPr>
        <w:footnoteRef/>
      </w:r>
      <w:r w:rsidRPr="0008546E">
        <w:t xml:space="preserve"> </w:t>
      </w:r>
      <w:r w:rsidR="00AB00CC">
        <w:t>A</w:t>
      </w:r>
      <w:r w:rsidR="00053732">
        <w:t xml:space="preserve">ccounts </w:t>
      </w:r>
      <w:r w:rsidR="00AB00CC">
        <w:t xml:space="preserve">in the </w:t>
      </w:r>
      <w:r w:rsidR="00AB00CC">
        <w:rPr>
          <w:i/>
          <w:iCs/>
        </w:rPr>
        <w:t xml:space="preserve">Historia Augusta </w:t>
      </w:r>
      <w:r w:rsidR="00AB00CC">
        <w:t>(</w:t>
      </w:r>
      <w:r w:rsidR="00AB00CC" w:rsidRPr="007050F3">
        <w:t>Probus</w:t>
      </w:r>
      <w:r w:rsidR="00AB00CC">
        <w:rPr>
          <w:i/>
          <w:iCs/>
        </w:rPr>
        <w:t xml:space="preserve"> </w:t>
      </w:r>
      <w:r w:rsidR="00AB00CC">
        <w:t>17.2</w:t>
      </w:r>
      <w:r w:rsidR="00AB00CC" w:rsidRPr="00DC553D">
        <w:t>–</w:t>
      </w:r>
      <w:r w:rsidR="00AB00CC">
        <w:t xml:space="preserve">3 [ed. </w:t>
      </w:r>
      <w:proofErr w:type="spellStart"/>
      <w:r w:rsidR="00AB00CC">
        <w:t>Hohl</w:t>
      </w:r>
      <w:proofErr w:type="spellEnd"/>
      <w:r w:rsidR="00AB00CC">
        <w:t xml:space="preserve">] = </w:t>
      </w:r>
      <w:r w:rsidR="00AB00CC">
        <w:rPr>
          <w:i/>
          <w:iCs/>
        </w:rPr>
        <w:t xml:space="preserve">FHN </w:t>
      </w:r>
      <w:r w:rsidR="00AB00CC">
        <w:t xml:space="preserve">3.284) and Zosimus </w:t>
      </w:r>
      <w:r w:rsidR="00AB00CC" w:rsidRPr="00BC6CE5">
        <w:rPr>
          <w:lang w:val="x-none"/>
        </w:rPr>
        <w:t>(</w:t>
      </w:r>
      <w:r w:rsidR="0008546E">
        <w:rPr>
          <w:lang w:val="x-none"/>
        </w:rPr>
        <w:t xml:space="preserve">1.71.1 </w:t>
      </w:r>
      <w:r w:rsidR="00AB00CC" w:rsidRPr="00BC6CE5">
        <w:rPr>
          <w:lang w:val="x-none"/>
        </w:rPr>
        <w:t>=</w:t>
      </w:r>
      <w:r w:rsidR="0008546E">
        <w:rPr>
          <w:lang w:val="x-none"/>
        </w:rPr>
        <w:t xml:space="preserve"> </w:t>
      </w:r>
      <w:r w:rsidR="00AB00CC" w:rsidRPr="00BC6CE5">
        <w:rPr>
          <w:i/>
          <w:iCs/>
        </w:rPr>
        <w:t xml:space="preserve">FHN </w:t>
      </w:r>
      <w:r w:rsidR="00AB00CC" w:rsidRPr="00BC6CE5">
        <w:t>3.323)</w:t>
      </w:r>
      <w:r w:rsidR="00AB00CC">
        <w:t xml:space="preserve"> </w:t>
      </w:r>
      <w:r w:rsidR="00053732">
        <w:t xml:space="preserve">of </w:t>
      </w:r>
      <w:r w:rsidR="00CB445E">
        <w:t>Probus’s suppression of the Blemmyes</w:t>
      </w:r>
      <w:r w:rsidR="000E67A8">
        <w:t>,</w:t>
      </w:r>
      <w:r w:rsidR="00CB445E">
        <w:t xml:space="preserve"> which led to the liberation of </w:t>
      </w:r>
      <w:proofErr w:type="spellStart"/>
      <w:r w:rsidR="00CB445E">
        <w:t>Coptos</w:t>
      </w:r>
      <w:proofErr w:type="spellEnd"/>
      <w:r w:rsidR="00CB445E">
        <w:t xml:space="preserve"> and Ptolemais</w:t>
      </w:r>
      <w:r w:rsidR="00AB00CC">
        <w:t>, are well known</w:t>
      </w:r>
      <w:r w:rsidR="00CB445E">
        <w:t xml:space="preserve">. </w:t>
      </w:r>
      <w:r w:rsidR="002B343D">
        <w:t>They</w:t>
      </w:r>
      <w:r w:rsidR="00CB445E">
        <w:t xml:space="preserve"> differ </w:t>
      </w:r>
      <w:r w:rsidR="001F46D3">
        <w:t xml:space="preserve">with each other </w:t>
      </w:r>
      <w:r w:rsidR="00CB445E">
        <w:t>in detail and attempts have been made to reconcile them</w:t>
      </w:r>
      <w:r w:rsidR="00AB00CC">
        <w:t>, but, o</w:t>
      </w:r>
      <w:r w:rsidR="002B343D">
        <w:t xml:space="preserve">verall, </w:t>
      </w:r>
      <w:r w:rsidR="00CB445E">
        <w:t xml:space="preserve">Zosimus is regarded as the more reliable source; </w:t>
      </w:r>
      <w:r w:rsidR="00CB445E" w:rsidRPr="006F3680">
        <w:t xml:space="preserve">see </w:t>
      </w:r>
      <w:proofErr w:type="spellStart"/>
      <w:r w:rsidR="00CB445E" w:rsidRPr="006F3680">
        <w:t>Kerler</w:t>
      </w:r>
      <w:proofErr w:type="spellEnd"/>
      <w:r w:rsidR="00CB445E" w:rsidRPr="006F3680">
        <w:t xml:space="preserve"> 1970: 253–254; so, too, </w:t>
      </w:r>
      <w:proofErr w:type="spellStart"/>
      <w:r w:rsidR="00CB445E" w:rsidRPr="006F3680">
        <w:t>Desanges</w:t>
      </w:r>
      <w:proofErr w:type="spellEnd"/>
      <w:r w:rsidR="00CB445E" w:rsidRPr="006F3680">
        <w:t xml:space="preserve"> 1978: 343–344 w</w:t>
      </w:r>
      <w:r w:rsidR="009909AB" w:rsidRPr="006F3680">
        <w:t>.</w:t>
      </w:r>
      <w:r w:rsidR="00CB445E" w:rsidRPr="006F3680">
        <w:t xml:space="preserve"> n. 227.</w:t>
      </w:r>
      <w:r w:rsidR="000E67A8" w:rsidRPr="006F3680">
        <w:t xml:space="preserve"> For </w:t>
      </w:r>
      <w:r w:rsidR="001F46D3" w:rsidRPr="006F3680">
        <w:t xml:space="preserve">the </w:t>
      </w:r>
      <w:r w:rsidR="002B343D" w:rsidRPr="006F3680">
        <w:t>revolts confronted by</w:t>
      </w:r>
      <w:r w:rsidR="000E67A8" w:rsidRPr="006F3680">
        <w:t xml:space="preserve"> Galerius and Diocletian, see</w:t>
      </w:r>
      <w:r w:rsidR="002B343D" w:rsidRPr="006F3680">
        <w:t xml:space="preserve"> </w:t>
      </w:r>
      <w:hyperlink r:id="rId15" w:history="1">
        <w:r w:rsidR="002B343D" w:rsidRPr="006F3680">
          <w:rPr>
            <w:rStyle w:val="Hyperlink"/>
          </w:rPr>
          <w:t>Barnes</w:t>
        </w:r>
        <w:r w:rsidR="00E54089" w:rsidRPr="006F3680">
          <w:rPr>
            <w:rStyle w:val="Hyperlink"/>
          </w:rPr>
          <w:t xml:space="preserve"> 1976</w:t>
        </w:r>
      </w:hyperlink>
      <w:r w:rsidR="00E54089" w:rsidRPr="006F3680">
        <w:t>: 180–182</w:t>
      </w:r>
      <w:r w:rsidR="00AB00CC" w:rsidRPr="006F3680">
        <w:t xml:space="preserve">; </w:t>
      </w:r>
      <w:hyperlink r:id="rId16" w:history="1">
        <w:r w:rsidR="008A49EF" w:rsidRPr="006F3680">
          <w:rPr>
            <w:rStyle w:val="Hyperlink"/>
          </w:rPr>
          <w:t>Thomas 1976</w:t>
        </w:r>
      </w:hyperlink>
      <w:r w:rsidR="008A49EF" w:rsidRPr="006F3680">
        <w:t xml:space="preserve"> </w:t>
      </w:r>
      <w:r w:rsidR="003C54F4" w:rsidRPr="006F3680">
        <w:t xml:space="preserve">(on the date of the revolt of L. </w:t>
      </w:r>
      <w:proofErr w:type="spellStart"/>
      <w:r w:rsidR="003C54F4" w:rsidRPr="006F3680">
        <w:t>Domitius</w:t>
      </w:r>
      <w:proofErr w:type="spellEnd"/>
      <w:r w:rsidR="003C54F4" w:rsidRPr="006F3680">
        <w:t xml:space="preserve"> </w:t>
      </w:r>
      <w:proofErr w:type="spellStart"/>
      <w:r w:rsidR="003C54F4" w:rsidRPr="006F3680">
        <w:t>Domitianus</w:t>
      </w:r>
      <w:proofErr w:type="spellEnd"/>
      <w:r w:rsidR="003C54F4" w:rsidRPr="006F3680">
        <w:t xml:space="preserve">); </w:t>
      </w:r>
      <w:hyperlink r:id="rId17" w:history="1">
        <w:r w:rsidR="003C54F4" w:rsidRPr="006F3680">
          <w:rPr>
            <w:rStyle w:val="Hyperlink"/>
          </w:rPr>
          <w:t>Bowman 1978</w:t>
        </w:r>
      </w:hyperlink>
      <w:r w:rsidR="003C54F4" w:rsidRPr="006F3680">
        <w:t xml:space="preserve">: </w:t>
      </w:r>
      <w:r w:rsidR="00153E16" w:rsidRPr="006F3680">
        <w:t>26–28;</w:t>
      </w:r>
      <w:r w:rsidR="000E67A8" w:rsidRPr="006F3680">
        <w:t xml:space="preserve"> </w:t>
      </w:r>
      <w:hyperlink r:id="rId18" w:history="1">
        <w:r w:rsidR="000E67A8" w:rsidRPr="006F3680">
          <w:rPr>
            <w:rStyle w:val="Hyperlink"/>
          </w:rPr>
          <w:t>Rathbone 2002</w:t>
        </w:r>
      </w:hyperlink>
      <w:r w:rsidR="000E67A8" w:rsidRPr="006F3680">
        <w:t>:</w:t>
      </w:r>
      <w:r w:rsidR="00873A7C" w:rsidRPr="006F3680">
        <w:t xml:space="preserve"> </w:t>
      </w:r>
      <w:r w:rsidR="000E67A8" w:rsidRPr="006F3680">
        <w:t>194.</w:t>
      </w:r>
      <w:r w:rsidR="00873A7C" w:rsidRPr="006F3680">
        <w:t xml:space="preserve"> For extensive treatment of material evidence for the presence of Blemmyes in the Eastern Desert of Egypt in the </w:t>
      </w:r>
      <w:r w:rsidR="00E74548" w:rsidRPr="006F3680">
        <w:t>third</w:t>
      </w:r>
      <w:r w:rsidR="009909AB" w:rsidRPr="006F3680">
        <w:t xml:space="preserve"> </w:t>
      </w:r>
      <w:r w:rsidR="00873A7C" w:rsidRPr="006F3680">
        <w:t>century, see</w:t>
      </w:r>
      <w:r w:rsidR="00AE13A6" w:rsidRPr="006F3680">
        <w:t xml:space="preserve"> the contributions by </w:t>
      </w:r>
      <w:proofErr w:type="spellStart"/>
      <w:r w:rsidR="00AE13A6" w:rsidRPr="006F3680">
        <w:t>Cuvigny</w:t>
      </w:r>
      <w:proofErr w:type="spellEnd"/>
      <w:r w:rsidR="00AE13A6" w:rsidRPr="006F3680">
        <w:t xml:space="preserve">, </w:t>
      </w:r>
      <w:proofErr w:type="spellStart"/>
      <w:r w:rsidR="00AE13A6" w:rsidRPr="006F3680">
        <w:t>Chaufray</w:t>
      </w:r>
      <w:proofErr w:type="spellEnd"/>
      <w:r w:rsidR="00AE13A6" w:rsidRPr="006F3680">
        <w:t>, Cooper and Gates-Foster in</w:t>
      </w:r>
      <w:r w:rsidR="00873A7C" w:rsidRPr="006F3680">
        <w:t xml:space="preserve"> </w:t>
      </w:r>
      <w:proofErr w:type="spellStart"/>
      <w:r w:rsidR="00873A7C" w:rsidRPr="006F3680">
        <w:t>Cuvigny</w:t>
      </w:r>
      <w:proofErr w:type="spellEnd"/>
      <w:r w:rsidR="00873A7C" w:rsidRPr="006F3680">
        <w:t xml:space="preserve"> </w:t>
      </w:r>
      <w:r w:rsidR="00BC77A1" w:rsidRPr="006F3680">
        <w:t>2022</w:t>
      </w:r>
      <w:r w:rsidR="00DE162E" w:rsidRPr="006F3680">
        <w:t>;</w:t>
      </w:r>
      <w:r w:rsidR="00DE162E">
        <w:t xml:space="preserve"> for discussion of papyrological evidence related to Blemmyes, see </w:t>
      </w:r>
      <w:hyperlink r:id="rId19" w:history="1">
        <w:proofErr w:type="spellStart"/>
        <w:r w:rsidR="00DE162E" w:rsidRPr="00B158E0">
          <w:rPr>
            <w:rStyle w:val="Hyperlink"/>
          </w:rPr>
          <w:t>Cuvigny</w:t>
        </w:r>
        <w:proofErr w:type="spellEnd"/>
        <w:r w:rsidR="00DE162E" w:rsidRPr="00B158E0">
          <w:rPr>
            <w:rStyle w:val="Hyperlink"/>
          </w:rPr>
          <w:t xml:space="preserve"> 2021</w:t>
        </w:r>
      </w:hyperlink>
      <w:r w:rsidR="00DE162E" w:rsidRPr="00B158E0">
        <w:t>: 415–437.</w:t>
      </w:r>
      <w:r w:rsidR="00137980">
        <w:t xml:space="preserve"> </w:t>
      </w:r>
      <w:hyperlink r:id="rId20" w:history="1">
        <w:r w:rsidR="00137980" w:rsidRPr="00F94A3A">
          <w:rPr>
            <w:rStyle w:val="Hyperlink"/>
          </w:rPr>
          <w:t>N. Pollard 2013</w:t>
        </w:r>
      </w:hyperlink>
      <w:r w:rsidR="00137980" w:rsidRPr="00F94A3A">
        <w:t>: 3–9, 33–35 looks</w:t>
      </w:r>
      <w:r w:rsidR="00137980">
        <w:t xml:space="preserve"> at the security situation of the late third and fourth century, and imperial (mainly Diocletian’s) measures to strengthen it.</w:t>
      </w:r>
    </w:p>
  </w:footnote>
  <w:footnote w:id="20">
    <w:p w14:paraId="1FF27E8B" w14:textId="04D38EDE" w:rsidR="00287D07" w:rsidRPr="00287D07" w:rsidRDefault="00287D07">
      <w:pPr>
        <w:pStyle w:val="FootnoteText"/>
      </w:pPr>
      <w:r>
        <w:rPr>
          <w:rStyle w:val="FootnoteReference"/>
        </w:rPr>
        <w:footnoteRef/>
      </w:r>
      <w:r>
        <w:t xml:space="preserve"> </w:t>
      </w:r>
      <w:r w:rsidR="005F7B03">
        <w:t xml:space="preserve">The latest references to </w:t>
      </w:r>
      <w:r>
        <w:t>the prefect of the desert</w:t>
      </w:r>
      <w:r w:rsidR="005F7B03">
        <w:t xml:space="preserve"> are confined to the first quarter of the third century. At </w:t>
      </w:r>
      <w:proofErr w:type="spellStart"/>
      <w:r w:rsidR="005F7B03">
        <w:t>Berenike</w:t>
      </w:r>
      <w:proofErr w:type="spellEnd"/>
      <w:r w:rsidR="005F7B03">
        <w:t xml:space="preserve">, the latest is sometime after the transfer of the </w:t>
      </w:r>
      <w:r w:rsidR="005F7B03">
        <w:rPr>
          <w:i/>
          <w:iCs/>
        </w:rPr>
        <w:t xml:space="preserve">ala </w:t>
      </w:r>
      <w:proofErr w:type="spellStart"/>
      <w:r w:rsidR="005F7B03" w:rsidRPr="005F7B03">
        <w:rPr>
          <w:i/>
          <w:iCs/>
        </w:rPr>
        <w:t>Herculiana</w:t>
      </w:r>
      <w:proofErr w:type="spellEnd"/>
      <w:r w:rsidR="005F7B03">
        <w:t xml:space="preserve"> to Egypt in </w:t>
      </w:r>
      <w:r w:rsidR="005F7B03" w:rsidRPr="005F7B03">
        <w:t>183</w:t>
      </w:r>
      <w:r w:rsidR="005F7B03">
        <w:t xml:space="preserve"> </w:t>
      </w:r>
      <w:r w:rsidR="005F7B03" w:rsidRPr="009804AD">
        <w:t>(</w:t>
      </w:r>
      <w:hyperlink r:id="rId21" w:history="1">
        <w:r w:rsidR="005F7B03" w:rsidRPr="009804AD">
          <w:rPr>
            <w:rStyle w:val="Hyperlink"/>
          </w:rPr>
          <w:t xml:space="preserve">SEG </w:t>
        </w:r>
        <w:r w:rsidR="00040E7E" w:rsidRPr="009804AD">
          <w:rPr>
            <w:rStyle w:val="Hyperlink"/>
          </w:rPr>
          <w:t>48</w:t>
        </w:r>
      </w:hyperlink>
      <w:r w:rsidR="005F7B03" w:rsidRPr="009804AD">
        <w:t xml:space="preserve"> 1977)</w:t>
      </w:r>
      <w:r w:rsidRPr="009804AD">
        <w:t>.</w:t>
      </w:r>
      <w:r>
        <w:t xml:space="preserve"> Outside </w:t>
      </w:r>
      <w:proofErr w:type="spellStart"/>
      <w:r>
        <w:t>Berenike</w:t>
      </w:r>
      <w:proofErr w:type="spellEnd"/>
      <w:r w:rsidR="00364B8D">
        <w:t xml:space="preserve">, on the road leading to </w:t>
      </w:r>
      <w:proofErr w:type="spellStart"/>
      <w:r w:rsidR="00364B8D">
        <w:t>Coptos</w:t>
      </w:r>
      <w:proofErr w:type="spellEnd"/>
      <w:r>
        <w:t>, the la</w:t>
      </w:r>
      <w:r w:rsidR="005F7B03">
        <w:t>st</w:t>
      </w:r>
      <w:r>
        <w:t xml:space="preserve"> securely dated reference</w:t>
      </w:r>
      <w:r w:rsidR="005F7B03">
        <w:t xml:space="preserve"> to the office</w:t>
      </w:r>
      <w:r w:rsidR="0031413D">
        <w:t xml:space="preserve"> </w:t>
      </w:r>
      <w:r>
        <w:t xml:space="preserve">is in 219. </w:t>
      </w:r>
      <w:r w:rsidRPr="00B158E0">
        <w:t xml:space="preserve">See </w:t>
      </w:r>
      <w:hyperlink r:id="rId22" w:history="1">
        <w:proofErr w:type="spellStart"/>
        <w:r w:rsidRPr="00B158E0">
          <w:rPr>
            <w:rStyle w:val="Hyperlink"/>
          </w:rPr>
          <w:t>Cuvigny</w:t>
        </w:r>
        <w:proofErr w:type="spellEnd"/>
        <w:r w:rsidRPr="00B158E0">
          <w:rPr>
            <w:rStyle w:val="Hyperlink"/>
          </w:rPr>
          <w:t xml:space="preserve"> 2021</w:t>
        </w:r>
      </w:hyperlink>
      <w:r w:rsidRPr="00B158E0">
        <w:t xml:space="preserve">: 104 and 109; </w:t>
      </w:r>
      <w:hyperlink r:id="rId23" w:history="1">
        <w:proofErr w:type="spellStart"/>
        <w:r w:rsidRPr="00B158E0">
          <w:rPr>
            <w:rStyle w:val="Hyperlink"/>
          </w:rPr>
          <w:t>Cuvigny</w:t>
        </w:r>
        <w:proofErr w:type="spellEnd"/>
        <w:r w:rsidRPr="00B158E0">
          <w:rPr>
            <w:rStyle w:val="Hyperlink"/>
          </w:rPr>
          <w:t xml:space="preserve"> 2021</w:t>
        </w:r>
      </w:hyperlink>
      <w:r w:rsidRPr="00B158E0">
        <w:t>: 127–132.</w:t>
      </w:r>
      <w:r w:rsidR="00364B8D" w:rsidRPr="00B158E0">
        <w:t xml:space="preserve"> </w:t>
      </w:r>
      <w:r w:rsidR="005F7B03" w:rsidRPr="00B158E0">
        <w:t>We cannot say if it persisted as late as the third quarter o</w:t>
      </w:r>
      <w:r w:rsidR="005F7B03">
        <w:t>f the third century and existed at the time this dedication was made.</w:t>
      </w:r>
    </w:p>
  </w:footnote>
  <w:footnote w:id="21">
    <w:p w14:paraId="5C480B87" w14:textId="0D68A0FD" w:rsidR="00CC2EB7" w:rsidRPr="00CC2EB7" w:rsidRDefault="00CC2EB7">
      <w:pPr>
        <w:pStyle w:val="FootnoteText"/>
      </w:pPr>
      <w:r>
        <w:rPr>
          <w:rStyle w:val="FootnoteReference"/>
        </w:rPr>
        <w:footnoteRef/>
      </w:r>
      <w:r>
        <w:t xml:space="preserve"> </w:t>
      </w:r>
      <w:r w:rsidR="00BC77A1">
        <w:t>We do know that a</w:t>
      </w:r>
      <w:r w:rsidR="0008546E">
        <w:t xml:space="preserve"> century and a half later</w:t>
      </w:r>
      <w:r w:rsidR="00BC77A1">
        <w:t xml:space="preserve"> the Blemmyes were using their own regnal system to date writings, </w:t>
      </w:r>
      <w:r w:rsidR="00AE13A6">
        <w:t>which</w:t>
      </w:r>
      <w:r w:rsidR="00BC77A1">
        <w:t xml:space="preserve"> appears to have been ‘keyed’ to </w:t>
      </w:r>
      <w:proofErr w:type="spellStart"/>
      <w:r w:rsidR="00BC77A1">
        <w:t>Diocletianic</w:t>
      </w:r>
      <w:proofErr w:type="spellEnd"/>
      <w:r w:rsidR="00BC77A1">
        <w:t xml:space="preserve"> eras. This is evidenced by a</w:t>
      </w:r>
      <w:r w:rsidR="0008546E">
        <w:t>n</w:t>
      </w:r>
      <w:r>
        <w:t xml:space="preserve"> inscription from </w:t>
      </w:r>
      <w:proofErr w:type="spellStart"/>
      <w:r>
        <w:t>Berenike</w:t>
      </w:r>
      <w:proofErr w:type="spellEnd"/>
      <w:r>
        <w:t xml:space="preserve"> dated to the 10</w:t>
      </w:r>
      <w:r w:rsidRPr="00CC2EB7">
        <w:rPr>
          <w:vertAlign w:val="superscript"/>
        </w:rPr>
        <w:t>th</w:t>
      </w:r>
      <w:r>
        <w:t xml:space="preserve"> year of </w:t>
      </w:r>
      <w:r w:rsidR="00BC77A1">
        <w:t xml:space="preserve">the </w:t>
      </w:r>
      <w:proofErr w:type="spellStart"/>
      <w:r w:rsidR="00BC77A1">
        <w:t>Blemmye</w:t>
      </w:r>
      <w:proofErr w:type="spellEnd"/>
      <w:r w:rsidR="00BC77A1">
        <w:t xml:space="preserve"> </w:t>
      </w:r>
      <w:r>
        <w:t xml:space="preserve">King </w:t>
      </w:r>
      <w:proofErr w:type="spellStart"/>
      <w:r>
        <w:t>Isemne</w:t>
      </w:r>
      <w:proofErr w:type="spellEnd"/>
      <w:r>
        <w:t xml:space="preserve">; see </w:t>
      </w:r>
      <w:hyperlink r:id="rId24" w:history="1">
        <w:proofErr w:type="spellStart"/>
        <w:r w:rsidRPr="00BE2BD6">
          <w:rPr>
            <w:rStyle w:val="Hyperlink"/>
          </w:rPr>
          <w:t>Ast</w:t>
        </w:r>
        <w:proofErr w:type="spellEnd"/>
        <w:r w:rsidRPr="00BE2BD6">
          <w:rPr>
            <w:rStyle w:val="Hyperlink"/>
          </w:rPr>
          <w:t xml:space="preserve"> and R</w:t>
        </w:r>
        <w:r w:rsidR="00590270" w:rsidRPr="00BE2BD6">
          <w:rPr>
            <w:rStyle w:val="Hyperlink"/>
            <w:lang w:val="pl-PL"/>
          </w:rPr>
          <w:t>ą</w:t>
        </w:r>
        <w:proofErr w:type="spellStart"/>
        <w:r w:rsidRPr="00BE2BD6">
          <w:rPr>
            <w:rStyle w:val="Hyperlink"/>
          </w:rPr>
          <w:t>dkowska</w:t>
        </w:r>
        <w:proofErr w:type="spellEnd"/>
        <w:r w:rsidRPr="00BE2BD6">
          <w:rPr>
            <w:rStyle w:val="Hyperlink"/>
          </w:rPr>
          <w:t xml:space="preserve"> </w:t>
        </w:r>
        <w:r w:rsidR="00590270" w:rsidRPr="00BE2BD6">
          <w:rPr>
            <w:rStyle w:val="Hyperlink"/>
          </w:rPr>
          <w:t>2020</w:t>
        </w:r>
      </w:hyperlink>
      <w:r w:rsidR="00590270" w:rsidRPr="00BE2BD6">
        <w:t>.</w:t>
      </w:r>
    </w:p>
  </w:footnote>
  <w:footnote w:id="22">
    <w:p w14:paraId="43294BAC" w14:textId="7D8A234E" w:rsidR="00252324" w:rsidRPr="00EF2C80" w:rsidRDefault="00252324" w:rsidP="00252324">
      <w:pPr>
        <w:pStyle w:val="FootnoteText"/>
      </w:pPr>
      <w:r w:rsidRPr="00B158E0">
        <w:rPr>
          <w:rStyle w:val="FootnoteReference"/>
        </w:rPr>
        <w:footnoteRef/>
      </w:r>
      <w:r w:rsidRPr="00B158E0">
        <w:t xml:space="preserve"> </w:t>
      </w:r>
      <w:hyperlink r:id="rId25" w:history="1">
        <w:r w:rsidRPr="00B158E0">
          <w:rPr>
            <w:rStyle w:val="Hyperlink"/>
          </w:rPr>
          <w:t>Rathbone 2002</w:t>
        </w:r>
      </w:hyperlink>
      <w:r w:rsidRPr="00B158E0">
        <w:t>: 195–</w:t>
      </w:r>
      <w:r>
        <w:t>196</w:t>
      </w:r>
      <w:r w:rsidR="0067533A">
        <w:t>.</w:t>
      </w:r>
    </w:p>
  </w:footnote>
  <w:footnote w:id="23">
    <w:p w14:paraId="305E3026" w14:textId="33BF0C47" w:rsidR="009909AB" w:rsidRPr="00364B8D" w:rsidRDefault="009909AB">
      <w:pPr>
        <w:pStyle w:val="FootnoteText"/>
      </w:pPr>
      <w:r w:rsidRPr="00953FDC">
        <w:rPr>
          <w:rStyle w:val="FootnoteReference"/>
        </w:rPr>
        <w:footnoteRef/>
      </w:r>
      <w:r w:rsidRPr="00953FDC">
        <w:t xml:space="preserve"> </w:t>
      </w:r>
      <w:proofErr w:type="spellStart"/>
      <w:r w:rsidRPr="00953FDC">
        <w:t>Biblio</w:t>
      </w:r>
      <w:proofErr w:type="spellEnd"/>
      <w:r w:rsidRPr="00953FDC">
        <w:t xml:space="preserve"> on </w:t>
      </w:r>
      <w:r w:rsidR="00364B8D" w:rsidRPr="00953FDC">
        <w:t>so-called “</w:t>
      </w:r>
      <w:r w:rsidRPr="00953FDC">
        <w:t xml:space="preserve">enigmatic </w:t>
      </w:r>
      <w:proofErr w:type="gramStart"/>
      <w:r w:rsidRPr="00953FDC">
        <w:t>settlements</w:t>
      </w:r>
      <w:r w:rsidR="00364B8D" w:rsidRPr="00953FDC">
        <w:t>”</w:t>
      </w:r>
      <w:r w:rsidRPr="00953FDC">
        <w:t>*</w:t>
      </w:r>
      <w:proofErr w:type="gramEnd"/>
      <w:r w:rsidRPr="00953FDC">
        <w:t>***</w:t>
      </w:r>
    </w:p>
  </w:footnote>
  <w:footnote w:id="24">
    <w:p w14:paraId="7A9E28DC" w14:textId="68F13B12" w:rsidR="008B48BC" w:rsidRPr="00365567" w:rsidRDefault="008B48BC">
      <w:pPr>
        <w:pStyle w:val="FootnoteText"/>
        <w:rPr>
          <w:lang w:val="pl-PL"/>
        </w:rPr>
      </w:pPr>
      <w:r>
        <w:rPr>
          <w:rStyle w:val="FootnoteReference"/>
        </w:rPr>
        <w:footnoteRef/>
      </w:r>
      <w:r>
        <w:t xml:space="preserve"> </w:t>
      </w:r>
      <w:hyperlink r:id="rId26" w:history="1">
        <w:proofErr w:type="spellStart"/>
        <w:r w:rsidR="00B158E0" w:rsidRPr="00BE2BD6">
          <w:rPr>
            <w:rStyle w:val="Hyperlink"/>
          </w:rPr>
          <w:t>Ast</w:t>
        </w:r>
        <w:proofErr w:type="spellEnd"/>
        <w:r w:rsidR="00B158E0" w:rsidRPr="00BE2BD6">
          <w:rPr>
            <w:rStyle w:val="Hyperlink"/>
          </w:rPr>
          <w:t xml:space="preserve"> and R</w:t>
        </w:r>
        <w:r w:rsidR="00B158E0" w:rsidRPr="00BE2BD6">
          <w:rPr>
            <w:rStyle w:val="Hyperlink"/>
            <w:lang w:val="pl-PL"/>
          </w:rPr>
          <w:t>ą</w:t>
        </w:r>
        <w:proofErr w:type="spellStart"/>
        <w:r w:rsidR="00B158E0" w:rsidRPr="00BE2BD6">
          <w:rPr>
            <w:rStyle w:val="Hyperlink"/>
          </w:rPr>
          <w:t>dkowska</w:t>
        </w:r>
        <w:proofErr w:type="spellEnd"/>
        <w:r w:rsidR="00B158E0" w:rsidRPr="00BE2BD6">
          <w:rPr>
            <w:rStyle w:val="Hyperlink"/>
          </w:rPr>
          <w:t xml:space="preserve"> 2020</w:t>
        </w:r>
      </w:hyperlink>
      <w:r w:rsidR="00365567">
        <w:t xml:space="preserve">; </w:t>
      </w:r>
      <w:proofErr w:type="spellStart"/>
      <w:r w:rsidR="00365567" w:rsidRPr="00516147">
        <w:t>Ast</w:t>
      </w:r>
      <w:proofErr w:type="spellEnd"/>
      <w:r w:rsidR="00365567" w:rsidRPr="00516147">
        <w:t>, Pop</w:t>
      </w:r>
      <w:proofErr w:type="spellStart"/>
      <w:r w:rsidR="00365567" w:rsidRPr="00516147">
        <w:rPr>
          <w:lang w:val="pl-PL"/>
        </w:rPr>
        <w:t>ławski</w:t>
      </w:r>
      <w:proofErr w:type="spellEnd"/>
      <w:r w:rsidR="00365567" w:rsidRPr="00516147">
        <w:rPr>
          <w:lang w:val="pl-PL"/>
        </w:rPr>
        <w:t xml:space="preserve"> and </w:t>
      </w:r>
      <w:r w:rsidR="00365567" w:rsidRPr="00516147">
        <w:t>R</w:t>
      </w:r>
      <w:r w:rsidR="00365567" w:rsidRPr="00516147">
        <w:rPr>
          <w:lang w:val="pl-PL"/>
        </w:rPr>
        <w:t>ą</w:t>
      </w:r>
      <w:proofErr w:type="spellStart"/>
      <w:r w:rsidR="00365567" w:rsidRPr="00516147">
        <w:t>dkowska</w:t>
      </w:r>
      <w:proofErr w:type="spellEnd"/>
      <w:r w:rsidR="00365567" w:rsidRPr="00516147">
        <w:t xml:space="preserve"> 2022</w:t>
      </w:r>
      <w:r w:rsidR="00816784">
        <w:t>.</w:t>
      </w:r>
    </w:p>
  </w:footnote>
  <w:footnote w:id="25">
    <w:p w14:paraId="25E77AED" w14:textId="424C8D66" w:rsidR="004166F0" w:rsidRPr="008B48BC" w:rsidRDefault="004166F0" w:rsidP="008B48BC">
      <w:pPr>
        <w:pStyle w:val="FootnoteText"/>
      </w:pPr>
      <w:r>
        <w:rPr>
          <w:rStyle w:val="FootnoteReference"/>
        </w:rPr>
        <w:footnoteRef/>
      </w:r>
      <w:r>
        <w:t xml:space="preserve"> </w:t>
      </w:r>
      <w:r w:rsidR="008B48BC">
        <w:t>“From the mid-fourth through the fifth centuries A.D., there was a renaissance</w:t>
      </w:r>
      <w:r w:rsidR="008B48BC" w:rsidRPr="00F94A3A">
        <w:t xml:space="preserve">,” </w:t>
      </w:r>
      <w:hyperlink r:id="rId27" w:history="1">
        <w:proofErr w:type="spellStart"/>
        <w:r w:rsidR="008B48BC" w:rsidRPr="00F94A3A">
          <w:rPr>
            <w:rStyle w:val="Hyperlink"/>
          </w:rPr>
          <w:t>Sidebotham</w:t>
        </w:r>
        <w:proofErr w:type="spellEnd"/>
        <w:r w:rsidR="008B48BC" w:rsidRPr="00F94A3A">
          <w:rPr>
            <w:rStyle w:val="Hyperlink"/>
          </w:rPr>
          <w:t xml:space="preserve"> 2002</w:t>
        </w:r>
      </w:hyperlink>
      <w:r w:rsidR="008B48BC" w:rsidRPr="00F94A3A">
        <w:t>: 220.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D62"/>
    <w:multiLevelType w:val="hybridMultilevel"/>
    <w:tmpl w:val="D07A6302"/>
    <w:lvl w:ilvl="0" w:tplc="DCCAF154">
      <w:start w:val="1"/>
      <w:numFmt w:val="bullet"/>
      <w:lvlText w:val="-"/>
      <w:lvlJc w:val="left"/>
      <w:pPr>
        <w:ind w:left="1080" w:hanging="360"/>
      </w:pPr>
      <w:rPr>
        <w:rFonts w:ascii="IFAO-Grec Unicode" w:eastAsia="Times New Roman" w:hAnsi="IFAO-Grec Unicod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427AB8"/>
    <w:multiLevelType w:val="hybridMultilevel"/>
    <w:tmpl w:val="6A3878B6"/>
    <w:lvl w:ilvl="0" w:tplc="C8B69212">
      <w:start w:val="1"/>
      <w:numFmt w:val="bullet"/>
      <w:lvlText w:val="-"/>
      <w:lvlJc w:val="left"/>
      <w:pPr>
        <w:ind w:left="1080" w:hanging="360"/>
      </w:pPr>
      <w:rPr>
        <w:rFonts w:ascii="IFAO-Grec Unicode" w:eastAsia="Times New Roman" w:hAnsi="IFAO-Grec Unicod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5148DA"/>
    <w:multiLevelType w:val="hybridMultilevel"/>
    <w:tmpl w:val="643601E6"/>
    <w:lvl w:ilvl="0" w:tplc="27F2F13E">
      <w:start w:val="1"/>
      <w:numFmt w:val="bullet"/>
      <w:lvlText w:val="-"/>
      <w:lvlJc w:val="left"/>
      <w:pPr>
        <w:ind w:left="720" w:hanging="360"/>
      </w:pPr>
      <w:rPr>
        <w:rFonts w:ascii="IFAO-Grec Unicode" w:eastAsia="Times New Roman" w:hAnsi="IFAO-Grec Unicod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55CF3"/>
    <w:multiLevelType w:val="hybridMultilevel"/>
    <w:tmpl w:val="B3DC7FE4"/>
    <w:lvl w:ilvl="0" w:tplc="0472D20C">
      <w:start w:val="1"/>
      <w:numFmt w:val="bullet"/>
      <w:lvlText w:val="-"/>
      <w:lvlJc w:val="left"/>
      <w:pPr>
        <w:ind w:left="720" w:hanging="360"/>
      </w:pPr>
      <w:rPr>
        <w:rFonts w:ascii="IFAO-Grec Unicode" w:eastAsia="Times New Roman" w:hAnsi="IFAO-Grec Unicod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426231">
    <w:abstractNumId w:val="1"/>
  </w:num>
  <w:num w:numId="2" w16cid:durableId="839929903">
    <w:abstractNumId w:val="0"/>
  </w:num>
  <w:num w:numId="3" w16cid:durableId="1238588461">
    <w:abstractNumId w:val="3"/>
  </w:num>
  <w:num w:numId="4" w16cid:durableId="1545482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A6"/>
    <w:rsid w:val="00003EE6"/>
    <w:rsid w:val="0000683A"/>
    <w:rsid w:val="000134CB"/>
    <w:rsid w:val="00016784"/>
    <w:rsid w:val="00036F65"/>
    <w:rsid w:val="00040E7E"/>
    <w:rsid w:val="000410BC"/>
    <w:rsid w:val="00044001"/>
    <w:rsid w:val="00044A62"/>
    <w:rsid w:val="00047053"/>
    <w:rsid w:val="00053732"/>
    <w:rsid w:val="000541A0"/>
    <w:rsid w:val="00077CFA"/>
    <w:rsid w:val="00081A30"/>
    <w:rsid w:val="0008546E"/>
    <w:rsid w:val="000A651A"/>
    <w:rsid w:val="000A752C"/>
    <w:rsid w:val="000B1DE6"/>
    <w:rsid w:val="000C0015"/>
    <w:rsid w:val="000C05E0"/>
    <w:rsid w:val="000C20CD"/>
    <w:rsid w:val="000C77B3"/>
    <w:rsid w:val="000E67A8"/>
    <w:rsid w:val="000F0E2C"/>
    <w:rsid w:val="000F4F81"/>
    <w:rsid w:val="000F6E73"/>
    <w:rsid w:val="0011625A"/>
    <w:rsid w:val="00122A96"/>
    <w:rsid w:val="00130D0D"/>
    <w:rsid w:val="00137980"/>
    <w:rsid w:val="00151012"/>
    <w:rsid w:val="00153E16"/>
    <w:rsid w:val="00156F88"/>
    <w:rsid w:val="00161A92"/>
    <w:rsid w:val="00174E96"/>
    <w:rsid w:val="00180EF8"/>
    <w:rsid w:val="001C398D"/>
    <w:rsid w:val="001C3F7E"/>
    <w:rsid w:val="001E08BB"/>
    <w:rsid w:val="001F46D3"/>
    <w:rsid w:val="0021664F"/>
    <w:rsid w:val="00223DAF"/>
    <w:rsid w:val="0022616C"/>
    <w:rsid w:val="00252324"/>
    <w:rsid w:val="002732B7"/>
    <w:rsid w:val="00273E41"/>
    <w:rsid w:val="00274332"/>
    <w:rsid w:val="0027528F"/>
    <w:rsid w:val="00283008"/>
    <w:rsid w:val="002844CB"/>
    <w:rsid w:val="00287D07"/>
    <w:rsid w:val="00296B99"/>
    <w:rsid w:val="002B343D"/>
    <w:rsid w:val="002B4CDA"/>
    <w:rsid w:val="002C4345"/>
    <w:rsid w:val="002D1046"/>
    <w:rsid w:val="0031413D"/>
    <w:rsid w:val="003243F0"/>
    <w:rsid w:val="003269BD"/>
    <w:rsid w:val="0033269C"/>
    <w:rsid w:val="003530E4"/>
    <w:rsid w:val="003577B4"/>
    <w:rsid w:val="00362901"/>
    <w:rsid w:val="00363A8E"/>
    <w:rsid w:val="00364B8D"/>
    <w:rsid w:val="00365567"/>
    <w:rsid w:val="00372561"/>
    <w:rsid w:val="00392903"/>
    <w:rsid w:val="003B5439"/>
    <w:rsid w:val="003B6C4B"/>
    <w:rsid w:val="003C54F4"/>
    <w:rsid w:val="003C796F"/>
    <w:rsid w:val="003D6C8D"/>
    <w:rsid w:val="003F6776"/>
    <w:rsid w:val="00405C0F"/>
    <w:rsid w:val="004166F0"/>
    <w:rsid w:val="00447B3D"/>
    <w:rsid w:val="00450077"/>
    <w:rsid w:val="004552D7"/>
    <w:rsid w:val="00473897"/>
    <w:rsid w:val="004766C8"/>
    <w:rsid w:val="00480967"/>
    <w:rsid w:val="004814A0"/>
    <w:rsid w:val="00482C44"/>
    <w:rsid w:val="004919BB"/>
    <w:rsid w:val="004A473D"/>
    <w:rsid w:val="004B0A2A"/>
    <w:rsid w:val="004B1640"/>
    <w:rsid w:val="00501D80"/>
    <w:rsid w:val="00516147"/>
    <w:rsid w:val="0053683D"/>
    <w:rsid w:val="005541E8"/>
    <w:rsid w:val="00573AEA"/>
    <w:rsid w:val="00582B7D"/>
    <w:rsid w:val="00583D3F"/>
    <w:rsid w:val="00590270"/>
    <w:rsid w:val="00597423"/>
    <w:rsid w:val="005A2FB5"/>
    <w:rsid w:val="005C0AC4"/>
    <w:rsid w:val="005D1FD2"/>
    <w:rsid w:val="005F7B03"/>
    <w:rsid w:val="00607AEF"/>
    <w:rsid w:val="0063301A"/>
    <w:rsid w:val="0064149D"/>
    <w:rsid w:val="0064251A"/>
    <w:rsid w:val="006527EA"/>
    <w:rsid w:val="00661F1B"/>
    <w:rsid w:val="0067533A"/>
    <w:rsid w:val="00677884"/>
    <w:rsid w:val="0068326A"/>
    <w:rsid w:val="00697A1C"/>
    <w:rsid w:val="006A02CE"/>
    <w:rsid w:val="006A438A"/>
    <w:rsid w:val="006D3D58"/>
    <w:rsid w:val="006E1061"/>
    <w:rsid w:val="006E5676"/>
    <w:rsid w:val="006F3680"/>
    <w:rsid w:val="006F58E2"/>
    <w:rsid w:val="0070454C"/>
    <w:rsid w:val="007050F3"/>
    <w:rsid w:val="0071336E"/>
    <w:rsid w:val="00730375"/>
    <w:rsid w:val="00743290"/>
    <w:rsid w:val="007449BA"/>
    <w:rsid w:val="007519AA"/>
    <w:rsid w:val="00752B31"/>
    <w:rsid w:val="007627B1"/>
    <w:rsid w:val="00796687"/>
    <w:rsid w:val="007C4870"/>
    <w:rsid w:val="007D02BF"/>
    <w:rsid w:val="007D1CE2"/>
    <w:rsid w:val="007D5768"/>
    <w:rsid w:val="007E2E5B"/>
    <w:rsid w:val="007F3172"/>
    <w:rsid w:val="007F3C43"/>
    <w:rsid w:val="00816784"/>
    <w:rsid w:val="00823A30"/>
    <w:rsid w:val="008452DA"/>
    <w:rsid w:val="00847654"/>
    <w:rsid w:val="00855E4D"/>
    <w:rsid w:val="00860914"/>
    <w:rsid w:val="008638C1"/>
    <w:rsid w:val="00873A7C"/>
    <w:rsid w:val="00887575"/>
    <w:rsid w:val="008A4878"/>
    <w:rsid w:val="008A49EF"/>
    <w:rsid w:val="008B48BC"/>
    <w:rsid w:val="008B592A"/>
    <w:rsid w:val="008D53A7"/>
    <w:rsid w:val="008E0BC7"/>
    <w:rsid w:val="008E2E40"/>
    <w:rsid w:val="008E5C1E"/>
    <w:rsid w:val="00910E42"/>
    <w:rsid w:val="00920830"/>
    <w:rsid w:val="00923712"/>
    <w:rsid w:val="009347CD"/>
    <w:rsid w:val="00953FDC"/>
    <w:rsid w:val="009545F8"/>
    <w:rsid w:val="00971357"/>
    <w:rsid w:val="009804AD"/>
    <w:rsid w:val="00984F30"/>
    <w:rsid w:val="009909AB"/>
    <w:rsid w:val="00993FA6"/>
    <w:rsid w:val="009A615F"/>
    <w:rsid w:val="009D5F50"/>
    <w:rsid w:val="009E2DE4"/>
    <w:rsid w:val="009E385F"/>
    <w:rsid w:val="009F5851"/>
    <w:rsid w:val="00A01AB0"/>
    <w:rsid w:val="00A17697"/>
    <w:rsid w:val="00A56A50"/>
    <w:rsid w:val="00A668F4"/>
    <w:rsid w:val="00A962F5"/>
    <w:rsid w:val="00A9643C"/>
    <w:rsid w:val="00AB00CC"/>
    <w:rsid w:val="00AB3D07"/>
    <w:rsid w:val="00AC7FB8"/>
    <w:rsid w:val="00AE13A6"/>
    <w:rsid w:val="00AE407B"/>
    <w:rsid w:val="00AF103E"/>
    <w:rsid w:val="00AF236C"/>
    <w:rsid w:val="00AF46D3"/>
    <w:rsid w:val="00B158E0"/>
    <w:rsid w:val="00B22CFF"/>
    <w:rsid w:val="00B30965"/>
    <w:rsid w:val="00B335B0"/>
    <w:rsid w:val="00B51815"/>
    <w:rsid w:val="00B53F36"/>
    <w:rsid w:val="00B8168D"/>
    <w:rsid w:val="00B95909"/>
    <w:rsid w:val="00B97195"/>
    <w:rsid w:val="00BA2944"/>
    <w:rsid w:val="00BA7F05"/>
    <w:rsid w:val="00BA7F79"/>
    <w:rsid w:val="00BB6D88"/>
    <w:rsid w:val="00BB6E44"/>
    <w:rsid w:val="00BC3F5E"/>
    <w:rsid w:val="00BC5F57"/>
    <w:rsid w:val="00BC6CE5"/>
    <w:rsid w:val="00BC77A1"/>
    <w:rsid w:val="00BD2745"/>
    <w:rsid w:val="00BD2D5B"/>
    <w:rsid w:val="00BD6E2C"/>
    <w:rsid w:val="00BE2BD6"/>
    <w:rsid w:val="00BF4AED"/>
    <w:rsid w:val="00BF4C4A"/>
    <w:rsid w:val="00C012EA"/>
    <w:rsid w:val="00C022CD"/>
    <w:rsid w:val="00C07CC7"/>
    <w:rsid w:val="00C103FD"/>
    <w:rsid w:val="00C416E9"/>
    <w:rsid w:val="00C43575"/>
    <w:rsid w:val="00C57F5F"/>
    <w:rsid w:val="00C70BB4"/>
    <w:rsid w:val="00C754A0"/>
    <w:rsid w:val="00CA6BD5"/>
    <w:rsid w:val="00CB445E"/>
    <w:rsid w:val="00CC1445"/>
    <w:rsid w:val="00CC2EB7"/>
    <w:rsid w:val="00CC5EAA"/>
    <w:rsid w:val="00CD49AA"/>
    <w:rsid w:val="00CD5C8A"/>
    <w:rsid w:val="00CE7070"/>
    <w:rsid w:val="00CF67F4"/>
    <w:rsid w:val="00D2381B"/>
    <w:rsid w:val="00D3364C"/>
    <w:rsid w:val="00D46C7C"/>
    <w:rsid w:val="00D52BBB"/>
    <w:rsid w:val="00D66450"/>
    <w:rsid w:val="00DC553D"/>
    <w:rsid w:val="00DC76F5"/>
    <w:rsid w:val="00DE162E"/>
    <w:rsid w:val="00DE17C7"/>
    <w:rsid w:val="00DE5282"/>
    <w:rsid w:val="00DF1B19"/>
    <w:rsid w:val="00E00B68"/>
    <w:rsid w:val="00E2427E"/>
    <w:rsid w:val="00E31B33"/>
    <w:rsid w:val="00E33ACB"/>
    <w:rsid w:val="00E355A7"/>
    <w:rsid w:val="00E36497"/>
    <w:rsid w:val="00E54089"/>
    <w:rsid w:val="00E60191"/>
    <w:rsid w:val="00E6362F"/>
    <w:rsid w:val="00E679EC"/>
    <w:rsid w:val="00E67AC6"/>
    <w:rsid w:val="00E74548"/>
    <w:rsid w:val="00E91A45"/>
    <w:rsid w:val="00EB62CB"/>
    <w:rsid w:val="00EC15AA"/>
    <w:rsid w:val="00EC3087"/>
    <w:rsid w:val="00EC7EB1"/>
    <w:rsid w:val="00ED3063"/>
    <w:rsid w:val="00EF2C80"/>
    <w:rsid w:val="00EF67C6"/>
    <w:rsid w:val="00F02CE9"/>
    <w:rsid w:val="00F030D9"/>
    <w:rsid w:val="00F26350"/>
    <w:rsid w:val="00F34593"/>
    <w:rsid w:val="00F4003A"/>
    <w:rsid w:val="00F407FC"/>
    <w:rsid w:val="00F46948"/>
    <w:rsid w:val="00F51361"/>
    <w:rsid w:val="00F56351"/>
    <w:rsid w:val="00F66592"/>
    <w:rsid w:val="00F70B04"/>
    <w:rsid w:val="00F72EBE"/>
    <w:rsid w:val="00F86A4A"/>
    <w:rsid w:val="00F9415C"/>
    <w:rsid w:val="00F94A3A"/>
    <w:rsid w:val="00FB47D5"/>
    <w:rsid w:val="00FD6501"/>
    <w:rsid w:val="00FE628F"/>
    <w:rsid w:val="00FE751A"/>
    <w:rsid w:val="00FF5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01B6"/>
  <w15:chartTrackingRefBased/>
  <w15:docId w15:val="{C3F44F77-7D63-DC49-B29C-4DD6B41C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FA6"/>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AF103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A30"/>
    <w:pPr>
      <w:ind w:left="720"/>
      <w:contextualSpacing/>
    </w:pPr>
  </w:style>
  <w:style w:type="paragraph" w:styleId="FootnoteText">
    <w:name w:val="footnote text"/>
    <w:basedOn w:val="Normal"/>
    <w:link w:val="FootnoteTextChar"/>
    <w:uiPriority w:val="99"/>
    <w:semiHidden/>
    <w:unhideWhenUsed/>
    <w:rsid w:val="00223DAF"/>
    <w:rPr>
      <w:sz w:val="20"/>
      <w:szCs w:val="20"/>
    </w:rPr>
  </w:style>
  <w:style w:type="character" w:customStyle="1" w:styleId="FootnoteTextChar">
    <w:name w:val="Footnote Text Char"/>
    <w:basedOn w:val="DefaultParagraphFont"/>
    <w:link w:val="FootnoteText"/>
    <w:uiPriority w:val="99"/>
    <w:semiHidden/>
    <w:rsid w:val="00223DAF"/>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223DAF"/>
    <w:rPr>
      <w:vertAlign w:val="superscript"/>
    </w:rPr>
  </w:style>
  <w:style w:type="character" w:styleId="Hyperlink">
    <w:name w:val="Hyperlink"/>
    <w:basedOn w:val="DefaultParagraphFont"/>
    <w:uiPriority w:val="99"/>
    <w:unhideWhenUsed/>
    <w:rsid w:val="00D3364C"/>
    <w:rPr>
      <w:color w:val="0563C1" w:themeColor="hyperlink"/>
      <w:u w:val="single"/>
    </w:rPr>
  </w:style>
  <w:style w:type="character" w:styleId="UnresolvedMention">
    <w:name w:val="Unresolved Mention"/>
    <w:basedOn w:val="DefaultParagraphFont"/>
    <w:uiPriority w:val="99"/>
    <w:semiHidden/>
    <w:unhideWhenUsed/>
    <w:rsid w:val="00D3364C"/>
    <w:rPr>
      <w:color w:val="605E5C"/>
      <w:shd w:val="clear" w:color="auto" w:fill="E1DFDD"/>
    </w:rPr>
  </w:style>
  <w:style w:type="character" w:customStyle="1" w:styleId="Heading1Char">
    <w:name w:val="Heading 1 Char"/>
    <w:basedOn w:val="DefaultParagraphFont"/>
    <w:link w:val="Heading1"/>
    <w:uiPriority w:val="9"/>
    <w:rsid w:val="00AF103E"/>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8638C1"/>
    <w:rPr>
      <w:color w:val="954F72" w:themeColor="followedHyperlink"/>
      <w:u w:val="single"/>
    </w:rPr>
  </w:style>
  <w:style w:type="character" w:styleId="CommentReference">
    <w:name w:val="annotation reference"/>
    <w:basedOn w:val="DefaultParagraphFont"/>
    <w:uiPriority w:val="99"/>
    <w:semiHidden/>
    <w:unhideWhenUsed/>
    <w:rsid w:val="009F5851"/>
    <w:rPr>
      <w:sz w:val="16"/>
      <w:szCs w:val="16"/>
    </w:rPr>
  </w:style>
  <w:style w:type="paragraph" w:styleId="CommentText">
    <w:name w:val="annotation text"/>
    <w:basedOn w:val="Normal"/>
    <w:link w:val="CommentTextChar"/>
    <w:uiPriority w:val="99"/>
    <w:unhideWhenUsed/>
    <w:rsid w:val="009F5851"/>
    <w:rPr>
      <w:sz w:val="20"/>
      <w:szCs w:val="20"/>
    </w:rPr>
  </w:style>
  <w:style w:type="character" w:customStyle="1" w:styleId="CommentTextChar">
    <w:name w:val="Comment Text Char"/>
    <w:basedOn w:val="DefaultParagraphFont"/>
    <w:link w:val="CommentText"/>
    <w:uiPriority w:val="99"/>
    <w:rsid w:val="009F5851"/>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F5851"/>
    <w:rPr>
      <w:b/>
      <w:bCs/>
    </w:rPr>
  </w:style>
  <w:style w:type="character" w:customStyle="1" w:styleId="CommentSubjectChar">
    <w:name w:val="Comment Subject Char"/>
    <w:basedOn w:val="CommentTextChar"/>
    <w:link w:val="CommentSubject"/>
    <w:uiPriority w:val="99"/>
    <w:semiHidden/>
    <w:rsid w:val="009F5851"/>
    <w:rPr>
      <w:rFonts w:ascii="Times New Roman" w:eastAsia="Times New Roman" w:hAnsi="Times New Roman" w:cs="Times New Roman"/>
      <w:b/>
      <w:bCs/>
      <w:kern w:val="0"/>
      <w:sz w:val="20"/>
      <w:szCs w:val="20"/>
      <w14:ligatures w14:val="none"/>
    </w:rPr>
  </w:style>
  <w:style w:type="paragraph" w:styleId="Revision">
    <w:name w:val="Revision"/>
    <w:hidden/>
    <w:uiPriority w:val="99"/>
    <w:semiHidden/>
    <w:rsid w:val="009F5851"/>
    <w:rPr>
      <w:rFonts w:ascii="Times New Roman" w:eastAsia="Times New Roman" w:hAnsi="Times New Roman" w:cs="Times New Roman"/>
      <w:kern w:val="0"/>
      <w14:ligatures w14:val="none"/>
    </w:rPr>
  </w:style>
  <w:style w:type="character" w:styleId="PageNumber">
    <w:name w:val="page number"/>
    <w:rsid w:val="00F86A4A"/>
  </w:style>
  <w:style w:type="paragraph" w:customStyle="1" w:styleId="Text">
    <w:name w:val="Text"/>
    <w:rsid w:val="00F86A4A"/>
    <w:pPr>
      <w:pBdr>
        <w:top w:val="nil"/>
        <w:left w:val="nil"/>
        <w:bottom w:val="nil"/>
        <w:right w:val="nil"/>
        <w:between w:val="nil"/>
        <w:bar w:val="nil"/>
      </w:pBdr>
    </w:pPr>
    <w:rPr>
      <w:rFonts w:ascii="Calibri" w:eastAsia="Calibri" w:hAnsi="Calibri" w:cs="Calibri"/>
      <w:color w:val="000000"/>
      <w:kern w:val="0"/>
      <w:u w:color="000000"/>
      <w:bdr w:val="nil"/>
      <w14:ligatures w14:val="none"/>
    </w:rPr>
  </w:style>
  <w:style w:type="paragraph" w:customStyle="1" w:styleId="Standard">
    <w:name w:val="Standard"/>
    <w:rsid w:val="00F86A4A"/>
    <w:pPr>
      <w:suppressAutoHyphens/>
      <w:autoSpaceDN w:val="0"/>
      <w:spacing w:after="160" w:line="254" w:lineRule="auto"/>
      <w:textAlignment w:val="baseline"/>
    </w:pPr>
    <w:rPr>
      <w:rFonts w:ascii="Calibri" w:eastAsia="Calibri" w:hAnsi="Calibri" w:cs="Times New Roman"/>
      <w:kern w:val="0"/>
      <w:sz w:val="22"/>
      <w:szCs w:val="22"/>
      <w14:ligatures w14:val="none"/>
    </w:rPr>
  </w:style>
  <w:style w:type="character" w:customStyle="1" w:styleId="metadataelement-value">
    <w:name w:val="metadata__element-value"/>
    <w:basedOn w:val="DefaultParagraphFont"/>
    <w:rsid w:val="00F86A4A"/>
  </w:style>
  <w:style w:type="table" w:styleId="TableGrid">
    <w:name w:val="Table Grid"/>
    <w:basedOn w:val="TableNormal"/>
    <w:uiPriority w:val="39"/>
    <w:rsid w:val="00F86A4A"/>
    <w:pPr>
      <w:autoSpaceDN w:val="0"/>
      <w:textAlignment w:val="baseline"/>
    </w:pPr>
    <w:rPr>
      <w:rFonts w:ascii="Calibri" w:eastAsia="Calibri" w:hAnsi="Calibri"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4878"/>
    <w:rPr>
      <w:color w:val="666666"/>
    </w:rPr>
  </w:style>
  <w:style w:type="character" w:customStyle="1" w:styleId="Absatz-Standardschriftart">
    <w:name w:val="Absatz-Standardschriftart"/>
    <w:rsid w:val="00816784"/>
  </w:style>
  <w:style w:type="paragraph" w:customStyle="1" w:styleId="Codex">
    <w:name w:val="Codex"/>
    <w:basedOn w:val="Normal"/>
    <w:qFormat/>
    <w:rsid w:val="00BE2BD6"/>
    <w:pPr>
      <w:tabs>
        <w:tab w:val="left" w:pos="720"/>
      </w:tabs>
      <w:spacing w:line="360" w:lineRule="atLeast"/>
    </w:pPr>
    <w:rPr>
      <w:rFonts w:ascii="IFAO-Grec Unicode" w:eastAsia="Cambria" w:hAnsi="IFAO-Grec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11789">
      <w:bodyDiv w:val="1"/>
      <w:marLeft w:val="0"/>
      <w:marRight w:val="0"/>
      <w:marTop w:val="0"/>
      <w:marBottom w:val="0"/>
      <w:divBdr>
        <w:top w:val="none" w:sz="0" w:space="0" w:color="auto"/>
        <w:left w:val="none" w:sz="0" w:space="0" w:color="auto"/>
        <w:bottom w:val="none" w:sz="0" w:space="0" w:color="auto"/>
        <w:right w:val="none" w:sz="0" w:space="0" w:color="auto"/>
      </w:divBdr>
      <w:divsChild>
        <w:div w:id="1121340769">
          <w:marLeft w:val="0"/>
          <w:marRight w:val="0"/>
          <w:marTop w:val="0"/>
          <w:marBottom w:val="0"/>
          <w:divBdr>
            <w:top w:val="none" w:sz="0" w:space="0" w:color="auto"/>
            <w:left w:val="none" w:sz="0" w:space="0" w:color="auto"/>
            <w:bottom w:val="none" w:sz="0" w:space="0" w:color="auto"/>
            <w:right w:val="none" w:sz="0" w:space="0" w:color="auto"/>
          </w:divBdr>
        </w:div>
      </w:divsChild>
    </w:div>
    <w:div w:id="13356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t@uni-heidelberg.de" TargetMode="External"/><Relationship Id="rId13" Type="http://schemas.openxmlformats.org/officeDocument/2006/relationships/hyperlink" Target="https://papyri.info/biblio/51199" TargetMode="External"/><Relationship Id="rId18" Type="http://schemas.openxmlformats.org/officeDocument/2006/relationships/hyperlink" Target="https://papyri.info/biblio/71386" TargetMode="External"/><Relationship Id="rId3" Type="http://schemas.openxmlformats.org/officeDocument/2006/relationships/styles" Target="styles.xml"/><Relationship Id="rId21" Type="http://schemas.openxmlformats.org/officeDocument/2006/relationships/hyperlink" Target="https://papyri.info/biblio/95969" TargetMode="External"/><Relationship Id="rId7" Type="http://schemas.openxmlformats.org/officeDocument/2006/relationships/endnotes" Target="endnotes.xml"/><Relationship Id="rId12" Type="http://schemas.openxmlformats.org/officeDocument/2006/relationships/hyperlink" Target="https://papyri.info/biblio/95924" TargetMode="External"/><Relationship Id="rId17" Type="http://schemas.openxmlformats.org/officeDocument/2006/relationships/hyperlink" Target="https://papyri.info/biblio/8859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apyri.info/biblio/6514" TargetMode="External"/><Relationship Id="rId20" Type="http://schemas.openxmlformats.org/officeDocument/2006/relationships/hyperlink" Target="https://papyri.info/biblio/793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yri.info/biblio/8916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4000/books.cdf.5239" TargetMode="External"/><Relationship Id="rId23" Type="http://schemas.openxmlformats.org/officeDocument/2006/relationships/hyperlink" Target="https://papyri.info/biblio/51720" TargetMode="External"/><Relationship Id="rId10" Type="http://schemas.openxmlformats.org/officeDocument/2006/relationships/hyperlink" Target="https://papyri.info/biblio/95932" TargetMode="External"/><Relationship Id="rId19" Type="http://schemas.openxmlformats.org/officeDocument/2006/relationships/hyperlink" Target="https://papyri.info/biblio/71692" TargetMode="External"/><Relationship Id="rId4" Type="http://schemas.openxmlformats.org/officeDocument/2006/relationships/settings" Target="settings.xml"/><Relationship Id="rId9" Type="http://schemas.openxmlformats.org/officeDocument/2006/relationships/hyperlink" Target="https://papyri.info/biblio/13310" TargetMode="External"/><Relationship Id="rId14" Type="http://schemas.openxmlformats.org/officeDocument/2006/relationships/hyperlink" Target="https://papyri.info/biblio/52377" TargetMode="External"/><Relationship Id="rId22" Type="http://schemas.openxmlformats.org/officeDocument/2006/relationships/hyperlink" Target="https://papyri.info/biblio/1553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papyri.info/biblio/15536" TargetMode="External"/><Relationship Id="rId13" Type="http://schemas.openxmlformats.org/officeDocument/2006/relationships/hyperlink" Target="https://journals.ub.uni-heidelberg.de/index.php/pylon/article/view/89358/83988" TargetMode="External"/><Relationship Id="rId18" Type="http://schemas.openxmlformats.org/officeDocument/2006/relationships/hyperlink" Target="https://papyri.info/biblio/71386" TargetMode="External"/><Relationship Id="rId26" Type="http://schemas.openxmlformats.org/officeDocument/2006/relationships/hyperlink" Target="https://papyri.info/biblio/95924" TargetMode="External"/><Relationship Id="rId3" Type="http://schemas.openxmlformats.org/officeDocument/2006/relationships/hyperlink" Target="https://papyri.info/biblio/95932" TargetMode="External"/><Relationship Id="rId21" Type="http://schemas.openxmlformats.org/officeDocument/2006/relationships/hyperlink" Target="https://papyri.info/biblio/16616" TargetMode="External"/><Relationship Id="rId7" Type="http://schemas.openxmlformats.org/officeDocument/2006/relationships/hyperlink" Target="https://papyri.info/biblio/71692" TargetMode="External"/><Relationship Id="rId12" Type="http://schemas.openxmlformats.org/officeDocument/2006/relationships/hyperlink" Target="https://journals.ub.uni-heidelberg.de/index.php/pylon/article/view/89358/83988" TargetMode="External"/><Relationship Id="rId17" Type="http://schemas.openxmlformats.org/officeDocument/2006/relationships/hyperlink" Target="https://papyri.info/biblio/52377" TargetMode="External"/><Relationship Id="rId25" Type="http://schemas.openxmlformats.org/officeDocument/2006/relationships/hyperlink" Target="https://papyri.info/biblio/71386" TargetMode="External"/><Relationship Id="rId2" Type="http://schemas.openxmlformats.org/officeDocument/2006/relationships/hyperlink" Target="https://papyri.info/biblio/8962" TargetMode="External"/><Relationship Id="rId16" Type="http://schemas.openxmlformats.org/officeDocument/2006/relationships/hyperlink" Target="https://papyri.info/biblio/51720" TargetMode="External"/><Relationship Id="rId20" Type="http://schemas.openxmlformats.org/officeDocument/2006/relationships/hyperlink" Target="https://papyri.info/biblio/88598" TargetMode="External"/><Relationship Id="rId1" Type="http://schemas.openxmlformats.org/officeDocument/2006/relationships/hyperlink" Target="https://papyri.info/biblio/95969" TargetMode="External"/><Relationship Id="rId6" Type="http://schemas.openxmlformats.org/officeDocument/2006/relationships/hyperlink" Target="https://papyri.info/biblio/6514" TargetMode="External"/><Relationship Id="rId11" Type="http://schemas.openxmlformats.org/officeDocument/2006/relationships/hyperlink" Target="https://papyri.info/biblio/79310" TargetMode="External"/><Relationship Id="rId24" Type="http://schemas.openxmlformats.org/officeDocument/2006/relationships/hyperlink" Target="https://papyri.info/biblio/95924" TargetMode="External"/><Relationship Id="rId5" Type="http://schemas.openxmlformats.org/officeDocument/2006/relationships/hyperlink" Target="https://papyri.info/biblio/89162" TargetMode="External"/><Relationship Id="rId15" Type="http://schemas.openxmlformats.org/officeDocument/2006/relationships/hyperlink" Target="https://papyri.info/biblio/51199" TargetMode="External"/><Relationship Id="rId23" Type="http://schemas.openxmlformats.org/officeDocument/2006/relationships/hyperlink" Target="https://papyri.info/biblio/95999" TargetMode="External"/><Relationship Id="rId10" Type="http://schemas.openxmlformats.org/officeDocument/2006/relationships/hyperlink" Target="https://papyri.info/biblio/79310" TargetMode="External"/><Relationship Id="rId19" Type="http://schemas.openxmlformats.org/officeDocument/2006/relationships/hyperlink" Target="https://papyri.info/biblio/95999" TargetMode="External"/><Relationship Id="rId4" Type="http://schemas.openxmlformats.org/officeDocument/2006/relationships/hyperlink" Target="https://culturalheritageimaging.org/Technologies/RTI/" TargetMode="External"/><Relationship Id="rId9" Type="http://schemas.openxmlformats.org/officeDocument/2006/relationships/hyperlink" Target="https://papyri.info/biblio/16616" TargetMode="External"/><Relationship Id="rId14" Type="http://schemas.openxmlformats.org/officeDocument/2006/relationships/hyperlink" Target="https://doi.org/10.4000/books.cdf.5239" TargetMode="External"/><Relationship Id="rId22" Type="http://schemas.openxmlformats.org/officeDocument/2006/relationships/hyperlink" Target="https://papyri.info/biblio/95999" TargetMode="External"/><Relationship Id="rId27" Type="http://schemas.openxmlformats.org/officeDocument/2006/relationships/hyperlink" Target="https://papyri.info/biblio/71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12ABB-547E-4817-B2CE-437D51872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Ast</dc:creator>
  <cp:keywords/>
  <dc:description/>
  <cp:lastModifiedBy>Hugh Cayless</cp:lastModifiedBy>
  <cp:revision>10</cp:revision>
  <cp:lastPrinted>2024-02-29T13:45:00Z</cp:lastPrinted>
  <dcterms:created xsi:type="dcterms:W3CDTF">2024-04-11T10:08:00Z</dcterms:created>
  <dcterms:modified xsi:type="dcterms:W3CDTF">2024-04-30T10:02:00Z</dcterms:modified>
</cp:coreProperties>
</file>