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2"/>
          <w:szCs w:val="22"/>
        </w:rPr>
      </w:pPr>
      <w:r>
        <w:rPr>
          <w:sz w:val="22"/>
          <w:szCs w:val="22"/>
          <w:rtl w:val="0"/>
          <w:lang w:val="en-US"/>
        </w:rPr>
        <w:t>#articleTitle</w:t>
      </w:r>
    </w:p>
    <w:p>
      <w:pPr>
        <w:pStyle w:val="Body"/>
        <w:rPr>
          <w:b w:val="1"/>
          <w:bCs w:val="1"/>
        </w:rPr>
      </w:pPr>
      <w:r>
        <w:rPr>
          <w:b w:val="1"/>
          <w:bCs w:val="1"/>
          <w:rtl w:val="0"/>
          <w:lang w:val="en-US"/>
        </w:rPr>
        <w:t>An Inscription from the Reign of Probus in the Isis Temple at Berenike</w:t>
      </w:r>
    </w:p>
    <w:p>
      <w:pPr>
        <w:pStyle w:val="Text"/>
        <w:rPr>
          <w:rStyle w:val="Absatz-Standardschriftart"/>
          <w:sz w:val="22"/>
          <w:szCs w:val="22"/>
        </w:rPr>
      </w:pPr>
    </w:p>
    <w:p>
      <w:pPr>
        <w:pStyle w:val="Text"/>
        <w:rPr>
          <w:sz w:val="22"/>
          <w:szCs w:val="22"/>
        </w:rPr>
      </w:pPr>
      <w:r>
        <w:rPr>
          <w:sz w:val="22"/>
          <w:szCs w:val="22"/>
          <w:rtl w:val="0"/>
          <w:lang w:val="en-US"/>
        </w:rPr>
        <w:t>#author</w:t>
      </w:r>
    </w:p>
    <w:p>
      <w:pPr>
        <w:pStyle w:val="Body"/>
      </w:pPr>
      <w:r>
        <w:rPr>
          <w:rStyle w:val="Absatz-Standardschriftart"/>
          <w:rtl w:val="0"/>
          <w:lang w:val="de-DE"/>
        </w:rPr>
        <w:t>Ast</w:t>
      </w:r>
      <w:r>
        <w:rPr>
          <w:rStyle w:val="Absatz-Standardschriftart"/>
          <w:rtl w:val="0"/>
          <w:lang w:val="de-DE"/>
        </w:rPr>
        <w:t>, Rodney</w:t>
      </w:r>
    </w:p>
    <w:p>
      <w:pPr>
        <w:pStyle w:val="Text"/>
        <w:rPr>
          <w:rStyle w:val="Absatz-Standardschriftart"/>
          <w:sz w:val="22"/>
          <w:szCs w:val="22"/>
          <w:lang w:val="fr-FR"/>
        </w:rPr>
      </w:pPr>
    </w:p>
    <w:p>
      <w:pPr>
        <w:pStyle w:val="Text"/>
        <w:rPr>
          <w:sz w:val="22"/>
          <w:szCs w:val="22"/>
          <w:lang w:val="fr-FR"/>
        </w:rPr>
      </w:pPr>
      <w:r>
        <w:rPr>
          <w:sz w:val="22"/>
          <w:szCs w:val="22"/>
          <w:rtl w:val="0"/>
          <w:lang w:val="fr-FR"/>
        </w:rPr>
        <w:t>#affiliation</w:t>
      </w:r>
    </w:p>
    <w:p>
      <w:pPr>
        <w:pStyle w:val="Text"/>
        <w:rPr>
          <w:rFonts w:ascii="IFAO-Grec Unicode" w:cs="IFAO-Grec Unicode" w:hAnsi="IFAO-Grec Unicode" w:eastAsia="IFAO-Grec Unicode"/>
          <w:sz w:val="22"/>
          <w:szCs w:val="22"/>
        </w:rPr>
      </w:pPr>
      <w:r>
        <w:rPr>
          <w:rFonts w:ascii="Times New Roman" w:hAnsi="Times New Roman"/>
          <w:sz w:val="22"/>
          <w:szCs w:val="22"/>
          <w:rtl w:val="0"/>
          <w:lang w:val="en-US"/>
        </w:rPr>
        <w:t>Heidelberg University</w:t>
      </w:r>
      <w:r>
        <w:rPr>
          <w:rFonts w:ascii="IFAO-Grec Unicode" w:hAnsi="IFAO-Grec Unicode"/>
          <w:sz w:val="22"/>
          <w:szCs w:val="22"/>
          <w:rtl w:val="0"/>
          <w:lang w:val="fr-FR"/>
        </w:rPr>
        <w:t xml:space="preserve"> </w:t>
      </w:r>
    </w:p>
    <w:p>
      <w:pPr>
        <w:pStyle w:val="Text"/>
        <w:rPr>
          <w:rStyle w:val="Absatz-Standardschriftart"/>
          <w:sz w:val="22"/>
          <w:szCs w:val="22"/>
        </w:rPr>
      </w:pPr>
    </w:p>
    <w:p>
      <w:pPr>
        <w:pStyle w:val="Text"/>
        <w:rPr>
          <w:sz w:val="22"/>
          <w:szCs w:val="22"/>
        </w:rPr>
      </w:pPr>
      <w:r>
        <w:rPr>
          <w:sz w:val="22"/>
          <w:szCs w:val="22"/>
          <w:rtl w:val="0"/>
          <w:lang w:val="en-US"/>
        </w:rPr>
        <w:t>#email</w:t>
      </w:r>
    </w:p>
    <w:p>
      <w:pPr>
        <w:pStyle w:val="Body"/>
      </w:pPr>
      <w:r>
        <w:rPr>
          <w:rtl w:val="0"/>
          <w:lang w:val="de-DE"/>
        </w:rPr>
        <w:t>ast@uni-heidelberg.de</w:t>
      </w:r>
    </w:p>
    <w:p>
      <w:pPr>
        <w:pStyle w:val="Body"/>
      </w:pPr>
    </w:p>
    <w:p>
      <w:pPr>
        <w:pStyle w:val="Body"/>
        <w:suppressAutoHyphens w:val="1"/>
      </w:pPr>
      <w:r>
        <w:rPr>
          <w:rStyle w:val="Absatz-Standardschriftart"/>
          <w:rtl w:val="0"/>
          <w:lang w:val="en-US"/>
        </w:rPr>
        <w:t>#editionDDB</w:t>
      </w:r>
    </w:p>
    <w:p>
      <w:pPr>
        <w:pStyle w:val="Body"/>
        <w:suppressAutoHyphens w:val="1"/>
      </w:pPr>
      <w:r>
        <w:rPr>
          <w:rStyle w:val="Absatz-Standardschriftart"/>
          <w:rtl w:val="0"/>
          <w:lang w:val="pt-PT"/>
        </w:rPr>
        <w:t>#metadata</w:t>
      </w:r>
    </w:p>
    <w:p>
      <w:pPr>
        <w:pStyle w:val="Body"/>
        <w:suppressAutoHyphens w:val="1"/>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Find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BE-15/18/22 111.999.001 </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 111016</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height</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72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width</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83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thickness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9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Material</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anhydritic gypsum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Number</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CBL 142.2</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Date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AD 276</w:t>
            </w:r>
            <w:r>
              <w:rPr>
                <w:sz w:val="22"/>
                <w:szCs w:val="22"/>
                <w:shd w:val="nil" w:color="auto" w:fill="auto"/>
                <w:rtl w:val="0"/>
                <w:lang w:val="en-US"/>
              </w:rPr>
              <w:t>–</w:t>
            </w:r>
            <w:r>
              <w:rPr>
                <w:sz w:val="22"/>
                <w:szCs w:val="22"/>
                <w:shd w:val="nil" w:color="auto" w:fill="auto"/>
                <w:rtl w:val="0"/>
                <w:lang w:val="en-US"/>
              </w:rPr>
              <w:t>281, November 17/18</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Inscription identified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26.01.2022</w:t>
            </w:r>
          </w:p>
        </w:tc>
      </w:tr>
    </w:tbl>
    <w:p>
      <w:pPr>
        <w:pStyle w:val="Body"/>
        <w:widowControl w:val="0"/>
        <w:suppressAutoHyphens w:val="1"/>
      </w:pPr>
    </w:p>
    <w:p>
      <w:pPr>
        <w:pStyle w:val="Standard"/>
        <w:spacing w:after="0" w:line="240" w:lineRule="auto"/>
        <w:rPr>
          <w:rStyle w:val="Absatz-Standardschriftart"/>
        </w:rPr>
      </w:pPr>
    </w:p>
    <w:p>
      <w:pPr>
        <w:pStyle w:val="Body"/>
      </w:pPr>
    </w:p>
    <w:p>
      <w:pPr>
        <w:pStyle w:val="Body"/>
      </w:pPr>
      <w:r>
        <w:rPr>
          <w:rStyle w:val="Absatz-Standardschriftart"/>
          <w:rtl w:val="0"/>
          <w:lang w:val="fr-FR"/>
        </w:rPr>
        <w:t>#introduction</w:t>
      </w:r>
    </w:p>
    <w:p>
      <w:pPr>
        <w:pStyle w:val="Body"/>
      </w:pPr>
      <w:r>
        <w:rPr>
          <w:rStyle w:val="Absatz-Standardschriftart"/>
          <w:rtl w:val="0"/>
          <w:lang w:val="en-US"/>
        </w:rPr>
        <w:t>The stele published here was first excavated, albeit partially, in 2015 in the forecourt of the Isis temple at the port of Berenike on Egypt</w:t>
      </w:r>
      <w:r>
        <w:rPr>
          <w:rStyle w:val="Absatz-Standardschriftart"/>
          <w:rtl w:val="1"/>
        </w:rPr>
        <w:t>’</w:t>
      </w:r>
      <w:r>
        <w:rPr>
          <w:rStyle w:val="Absatz-Standardschriftart"/>
          <w:rtl w:val="0"/>
          <w:lang w:val="en-US"/>
        </w:rPr>
        <w:t>s Red Sea coast.</w:t>
      </w:r>
      <w:r>
        <w:rPr>
          <w:rStyle w:val="footnote reference"/>
          <w:rFonts w:ascii="Times New Roman" w:cs="Times New Roman" w:hAnsi="Times New Roman" w:eastAsia="Times New Roman"/>
          <w:b w:val="0"/>
          <w:bCs w:val="0"/>
          <w:i w:val="0"/>
          <w:iCs w:val="0"/>
        </w:rPr>
        <w:footnoteReference w:id="1"/>
      </w:r>
      <w:r>
        <w:rPr>
          <w:rStyle w:val="Absatz-Standardschriftart"/>
          <w:rtl w:val="0"/>
          <w:lang w:val="en-US"/>
        </w:rPr>
        <w:t xml:space="preserve"> It lay under a pile of large stones heaped near the northwest corner of the temple courtyard. The inscribed side was not exposed until January 2022 after a large roof block had been removed. </w:t>
      </w:r>
    </w:p>
    <w:p>
      <w:pPr>
        <w:pStyle w:val="Body"/>
        <w:tabs>
          <w:tab w:val="left" w:pos="1405"/>
        </w:tabs>
      </w:pPr>
    </w:p>
    <w:p>
      <w:pPr>
        <w:pStyle w:val="Body"/>
        <w:tabs>
          <w:tab w:val="left" w:pos="1405"/>
        </w:tabs>
      </w:pPr>
      <w:r>
        <w:rPr>
          <w:rStyle w:val="Absatz-Standardschriftart"/>
          <w:rtl w:val="0"/>
        </w:rPr>
        <w:t>#text</w:t>
      </w:r>
    </w:p>
    <w:p>
      <w:pPr>
        <w:pStyle w:val="Body"/>
        <w:tabs>
          <w:tab w:val="left" w:pos="1405"/>
        </w:tabs>
      </w:pPr>
    </w:p>
    <w:p>
      <w:pPr>
        <w:pStyle w:val="Body"/>
        <w:rPr>
          <w:rFonts w:ascii="IFAO-Grec Unicode" w:cs="IFAO-Grec Unicode" w:hAnsi="IFAO-Grec Unicode" w:eastAsia="IFAO-Grec Unicode"/>
        </w:rPr>
      </w:pPr>
      <w:r>
        <w:rPr>
          <w:rFonts w:ascii="IFAO-Grec Unicode" w:hAnsi="IFAO-Grec Unicode"/>
          <w:rtl w:val="0"/>
        </w:rPr>
        <w:t>&lt;S=.grc</w:t>
      </w:r>
    </w:p>
    <w:p>
      <w:pPr>
        <w:pStyle w:val="Body"/>
        <w:rPr>
          <w:rFonts w:ascii="IFAO-Grec Unicode" w:cs="IFAO-Grec Unicode" w:hAnsi="IFAO-Grec Unicode" w:eastAsia="IFAO-Grec Unicode"/>
        </w:rPr>
      </w:pPr>
      <w:r>
        <w:rPr>
          <w:rFonts w:ascii="IFAO-Grec Unicode" w:hAnsi="IFAO-Grec Unicode"/>
          <w:rtl w:val="0"/>
        </w:rPr>
        <w:t>&lt;=</w:t>
      </w:r>
    </w:p>
    <w:p>
      <w:pPr>
        <w:pStyle w:val="Body"/>
        <w:rPr>
          <w:rFonts w:ascii="IFAO-Grec Unicode" w:cs="IFAO-Grec Unicode" w:hAnsi="IFAO-Grec Unicode" w:eastAsia="IFAO-Grec Unicode"/>
        </w:rPr>
      </w:pPr>
      <w:r>
        <w:rPr>
          <w:rFonts w:ascii="IFAO-Grec Unicode" w:hAnsi="IFAO-Grec Unicode"/>
          <w:rtl w:val="0"/>
          <w:lang w:val="en-US"/>
        </w:rPr>
        <w:t>1. lost.?lin</w:t>
      </w:r>
    </w:p>
    <w:p>
      <w:pPr>
        <w:pStyle w:val="Body"/>
        <w:rPr>
          <w:rFonts w:ascii="IFAO-Grec Unicode" w:cs="IFAO-Grec Unicode" w:hAnsi="IFAO-Grec Unicode" w:eastAsia="IFAO-Grec Unicode"/>
        </w:rPr>
      </w:pPr>
      <w:r>
        <w:rPr>
          <w:rFonts w:ascii="IFAO-Grec Unicode" w:hAnsi="IFAO-Grec Unicode"/>
          <w:rtl w:val="0"/>
          <w:lang w:val="zh-TW" w:eastAsia="zh-TW"/>
        </w:rPr>
        <w:t xml:space="preserve">1. [.?].4[.?] </w:t>
      </w:r>
    </w:p>
    <w:p>
      <w:pPr>
        <w:pStyle w:val="Body"/>
        <w:rPr>
          <w:rFonts w:ascii="IFAO-Grec Unicode" w:cs="IFAO-Grec Unicode" w:hAnsi="IFAO-Grec Unicode" w:eastAsia="IFAO-Grec Unicode"/>
        </w:rPr>
      </w:pPr>
      <w:r>
        <w:rPr>
          <w:rFonts w:ascii="IFAO-Grec Unicode" w:hAnsi="IFAO-Grec Unicode"/>
          <w:rtl w:val="0"/>
          <w:lang w:val="pt-PT"/>
        </w:rPr>
        <w:t>2. [ca.3].2</w:t>
      </w:r>
      <w:r>
        <w:rPr>
          <w:rFonts w:ascii="IFAO-Grec Unicode" w:hAnsi="IFAO-Grec Unicode" w:hint="default"/>
          <w:rtl w:val="0"/>
          <w:lang w:val="en-US"/>
        </w:rPr>
        <w:t>ων̣ ἀνέθηκεν</w:t>
      </w:r>
      <w:r>
        <w:rPr>
          <w:rFonts w:ascii="IFAO-Grec Unicode" w:hAnsi="IFAO-Grec Unicode"/>
          <w:rtl w:val="0"/>
        </w:rPr>
        <w:t xml:space="preserve"> </w:t>
      </w:r>
      <w:r>
        <w:rPr>
          <w:rFonts w:ascii="IFAO-Grec Unicode" w:hAnsi="IFAO-Grec Unicode" w:hint="default"/>
          <w:rtl w:val="0"/>
          <w:lang w:val="en-US"/>
        </w:rPr>
        <w:t>εὐσ̣</w:t>
      </w:r>
      <w:r>
        <w:rPr>
          <w:rFonts w:ascii="IFAO-Grec Unicode" w:hAnsi="IFAO-Grec Unicode"/>
          <w:rtl w:val="0"/>
          <w:lang w:val="pt-PT"/>
        </w:rPr>
        <w:t>[</w:t>
      </w:r>
      <w:r>
        <w:rPr>
          <w:rFonts w:ascii="IFAO-Grec Unicode" w:hAnsi="IFAO-Grec Unicode" w:hint="default"/>
          <w:rtl w:val="0"/>
          <w:lang w:val="en-US"/>
        </w:rPr>
        <w:t>εβ</w:t>
      </w:r>
      <w:r>
        <w:rPr>
          <w:rFonts w:ascii="IFAO-Grec Unicode" w:hAnsi="IFAO-Grec Unicode"/>
          <w:rtl w:val="0"/>
          <w:lang w:val="pt-PT"/>
        </w:rPr>
        <w:t>]</w:t>
      </w:r>
      <w:r>
        <w:rPr>
          <w:rFonts w:ascii="IFAO-Grec Unicode" w:hAnsi="IFAO-Grec Unicode" w:hint="default"/>
          <w:rtl w:val="0"/>
          <w:lang w:val="en-US"/>
        </w:rPr>
        <w:t>ε̣ία</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3. [</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lang w:val="en-US"/>
        </w:rPr>
        <w:t>ά̣ριν̣ ἐπ᾿ ἀγαθ</w:t>
      </w:r>
      <w:r>
        <w:rPr>
          <w:rFonts w:ascii="IFAO-Grec Unicode" w:hAnsi="IFAO-Grec Unicode"/>
          <w:rtl w:val="0"/>
        </w:rPr>
        <w:t>o</w:t>
      </w:r>
      <w:r>
        <w:rPr>
          <w:rFonts w:ascii="IFAO-Grec Unicode" w:hAnsi="IFAO-Grec Unicode" w:hint="default"/>
          <w:rtl w:val="0"/>
          <w:lang w:val="en-US"/>
        </w:rPr>
        <w:t>̣</w:t>
      </w:r>
      <w:r>
        <w:rPr>
          <w:rFonts w:ascii="IFAO-Grec Unicode" w:hAnsi="IFAO-Grec Unicode" w:hint="default"/>
          <w:rtl w:val="0"/>
        </w:rPr>
        <w:t>ῖ̣</w:t>
      </w:r>
      <w:r>
        <w:rPr>
          <w:rFonts w:ascii="IFAO-Grec Unicode" w:hAnsi="IFAO-Grec Unicode" w:hint="default"/>
          <w:rtl w:val="0"/>
          <w:lang w:val="en-US"/>
        </w:rPr>
        <w:t xml:space="preserve">ς̣ </w:t>
      </w:r>
      <w:r>
        <w:rPr>
          <w:rFonts w:ascii="IFAO-Grec Unicode" w:hAnsi="IFAO-Grec Unicode"/>
          <w:rtl w:val="0"/>
          <w:lang w:val="pt-PT"/>
        </w:rPr>
        <w:t xml:space="preserve">[ca.4] </w:t>
      </w:r>
      <w:r>
        <w:rPr>
          <w:rFonts w:ascii="IFAO-Grec Unicode" w:hAnsi="IFAO-Grec Unicode" w:hint="default"/>
          <w:rtl w:val="0"/>
          <w:lang w:val="en-US"/>
        </w:rPr>
        <w:t>Πρόβο̣</w:t>
      </w:r>
      <w:r>
        <w:rPr>
          <w:rFonts w:ascii="IFAO-Grec Unicode" w:hAnsi="IFAO-Grec Unicode"/>
          <w:rtl w:val="0"/>
          <w:lang w:val="pt-PT"/>
        </w:rPr>
        <w:t>[</w:t>
      </w:r>
      <w:r>
        <w:rPr>
          <w:rFonts w:ascii="IFAO-Grec Unicode" w:hAnsi="IFAO-Grec Unicode" w:hint="default"/>
          <w:rtl w:val="0"/>
          <w:lang w:val="en-US"/>
        </w:rPr>
        <w:t>υ</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lang w:val="en-US"/>
        </w:rPr>
        <w:t>τ̣οῦ κ̣υρίου</w:t>
      </w:r>
      <w:r>
        <w:rPr>
          <w:rFonts w:ascii="IFAO-Grec Unicode" w:hAnsi="IFAO-Grec Unicode"/>
          <w:rtl w:val="0"/>
        </w:rPr>
        <w:t xml:space="preserve"> </w:t>
      </w:r>
      <w:r>
        <w:rPr>
          <w:rFonts w:ascii="IFAO-Grec Unicode" w:hAnsi="IFAO-Grec Unicode" w:hint="default"/>
          <w:rtl w:val="0"/>
          <w:lang w:val="en-US"/>
        </w:rPr>
        <w:t>ἡμῶν</w:t>
      </w:r>
      <w:r>
        <w:rPr>
          <w:rFonts w:ascii="IFAO-Grec Unicode" w:hAnsi="IFAO-Grec Unicode"/>
          <w:rtl w:val="0"/>
        </w:rPr>
        <w:t xml:space="preserve"> </w:t>
      </w:r>
      <w:r>
        <w:rPr>
          <w:rFonts w:ascii="IFAO-Grec Unicode" w:hAnsi="IFAO-Grec Unicode" w:hint="default"/>
          <w:rtl w:val="0"/>
          <w:lang w:val="en-US"/>
        </w:rPr>
        <w:t>Σεβαστοῦ</w:t>
      </w:r>
      <w:r>
        <w:rPr>
          <w:rStyle w:val="Absatz-Standardschriftart"/>
          <w:rtl w:val="0"/>
        </w:rPr>
        <w:t xml:space="preserve"> </w:t>
      </w:r>
      <w:r>
        <w:rPr>
          <w:rFonts w:ascii="IFAO-Grec Unicode" w:hAnsi="IFAO-Grec Unicode"/>
          <w:rtl w:val="0"/>
          <w:lang w:val="fr-FR"/>
        </w:rPr>
        <w:t>*filler(extension)*</w:t>
      </w:r>
    </w:p>
    <w:p>
      <w:pPr>
        <w:pStyle w:val="Body"/>
        <w:rPr>
          <w:rFonts w:ascii="IFAO-Grec Unicode" w:cs="IFAO-Grec Unicode" w:hAnsi="IFAO-Grec Unicode" w:eastAsia="IFAO-Grec Unicode"/>
        </w:rPr>
      </w:pPr>
      <w:r>
        <w:rPr>
          <w:rFonts w:ascii="IFAO-Grec Unicode" w:hAnsi="IFAO-Grec Unicode"/>
          <w:rtl w:val="0"/>
          <w:lang w:val="zh-TW" w:eastAsia="zh-TW"/>
        </w:rPr>
        <w:t xml:space="preserve">5. [.?].3 </w:t>
      </w:r>
      <w:r>
        <w:rPr>
          <w:rFonts w:ascii="IFAO-Grec Unicode" w:hAnsi="IFAO-Grec Unicode" w:hint="default"/>
          <w:rtl w:val="0"/>
          <w:lang w:val="en-US"/>
        </w:rPr>
        <w:t>Ἁθὺρ</w:t>
      </w:r>
      <w:r>
        <w:rPr>
          <w:rFonts w:ascii="IFAO-Grec Unicode" w:hAnsi="IFAO-Grec Unicode"/>
          <w:rtl w:val="0"/>
        </w:rPr>
        <w:t xml:space="preserve"> </w:t>
      </w:r>
      <w:r>
        <w:rPr>
          <w:rFonts w:ascii="IFAO-Grec Unicode" w:hAnsi="IFAO-Grec Unicode" w:hint="default"/>
          <w:rtl w:val="0"/>
          <w:lang w:val="en-US"/>
        </w:rPr>
        <w:t>κα  </w:t>
      </w:r>
      <w:r>
        <w:rPr>
          <w:rFonts w:ascii="IFAO-Grec Unicode" w:hAnsi="IFAO-Grec Unicode"/>
          <w:rtl w:val="0"/>
        </w:rPr>
        <w:t>*hedera*</w:t>
      </w:r>
    </w:p>
    <w:p>
      <w:pPr>
        <w:pStyle w:val="Body"/>
      </w:pPr>
      <w:r>
        <w:rPr>
          <w:rFonts w:ascii="IFAO-Grec Unicode" w:hAnsi="IFAO-Grec Unicode"/>
          <w:rtl w:val="0"/>
          <w:lang w:val="en-US"/>
        </w:rPr>
        <w:t>=&gt;</w:t>
      </w:r>
    </w:p>
    <w:p>
      <w:pPr>
        <w:pStyle w:val="Body"/>
      </w:pPr>
    </w:p>
    <w:p>
      <w:pPr>
        <w:pStyle w:val="Standard"/>
        <w:spacing w:after="0" w:line="240" w:lineRule="auto"/>
        <w:rPr>
          <w:rFonts w:ascii="Times New Roman" w:cs="Times New Roman" w:hAnsi="Times New Roman" w:eastAsia="Times New Roman"/>
        </w:rPr>
      </w:pPr>
      <w:r>
        <w:rPr>
          <w:rStyle w:val="Absatz-Standardschriftart"/>
          <w:rtl w:val="0"/>
          <w:lang w:val="en-US"/>
        </w:rPr>
        <w:t>#translation</w:t>
      </w:r>
    </w:p>
    <w:p>
      <w:pPr>
        <w:pStyle w:val="Body"/>
      </w:pPr>
      <w:r>
        <w:rPr>
          <w:rStyle w:val="Absatz-Standardschriftart"/>
          <w:rtl w:val="0"/>
        </w:rPr>
        <w:t>&lt;T=.en</w:t>
      </w:r>
    </w:p>
    <w:p>
      <w:pPr>
        <w:pStyle w:val="Body"/>
      </w:pPr>
      <w:r>
        <w:rPr>
          <w:rStyle w:val="Absatz-Standardschriftart"/>
          <w:rtl w:val="0"/>
        </w:rPr>
        <w:t xml:space="preserve">            &lt;=</w:t>
      </w:r>
    </w:p>
    <w:p>
      <w:pPr>
        <w:pStyle w:val="Body"/>
      </w:pPr>
      <w:r>
        <w:rPr>
          <w:rStyle w:val="Absatz-Standardschriftart"/>
          <w:rtl w:val="0"/>
        </w:rPr>
        <w:t xml:space="preserve">“… </w:t>
      </w:r>
      <w:r>
        <w:rPr>
          <w:rStyle w:val="Absatz-Standardschriftart"/>
          <w:rtl w:val="0"/>
          <w:lang w:val="en-US"/>
        </w:rPr>
        <w:t xml:space="preserve">set this up as an expression of piety for the benefits </w:t>
      </w:r>
      <w:r>
        <w:rPr>
          <w:rStyle w:val="Absatz-Standardschriftart"/>
          <w:rtl w:val="0"/>
        </w:rPr>
        <w:t xml:space="preserve">… </w:t>
      </w:r>
      <w:r>
        <w:rPr>
          <w:rStyle w:val="Absatz-Standardschriftart"/>
          <w:rtl w:val="0"/>
          <w:lang w:val="en-US"/>
        </w:rPr>
        <w:t>of Probus our lord Augustus</w:t>
      </w:r>
      <w:r>
        <w:rPr>
          <w:rStyle w:val="Absatz-Standardschriftart"/>
          <w:rtl w:val="0"/>
        </w:rPr>
        <w:t>…</w:t>
      </w:r>
      <w:r>
        <w:rPr>
          <w:rStyle w:val="Absatz-Standardschriftart"/>
          <w:rtl w:val="0"/>
          <w:lang w:val="da-DK"/>
        </w:rPr>
        <w:t>Hathyr 21 (hedera).</w:t>
      </w:r>
      <w:r>
        <w:rPr>
          <w:rStyle w:val="Absatz-Standardschriftart"/>
          <w:rtl w:val="0"/>
        </w:rPr>
        <w:t>”</w:t>
      </w:r>
    </w:p>
    <w:p>
      <w:pPr>
        <w:pStyle w:val="Body"/>
      </w:pPr>
      <w:r>
        <w:rPr>
          <w:rStyle w:val="Absatz-Standardschriftart"/>
          <w:rtl w:val="0"/>
          <w:lang w:val="en-US"/>
        </w:rPr>
        <w:t>=&gt;</w:t>
      </w:r>
    </w:p>
    <w:p>
      <w:pPr>
        <w:pStyle w:val="Body"/>
      </w:pPr>
      <w:r>
        <w:rPr>
          <w:rStyle w:val="Absatz-Standardschriftart"/>
          <w:rtl w:val="0"/>
        </w:rPr>
        <w:t xml:space="preserve">         =T&gt;</w:t>
      </w:r>
    </w:p>
    <w:p>
      <w:pPr>
        <w:pStyle w:val="Body"/>
      </w:pPr>
    </w:p>
    <w:p>
      <w:pPr>
        <w:pStyle w:val="Standard"/>
        <w:spacing w:after="0" w:line="240" w:lineRule="auto"/>
        <w:rPr>
          <w:rFonts w:ascii="IFAO-Grec Unicode" w:cs="IFAO-Grec Unicode" w:hAnsi="IFAO-Grec Unicode" w:eastAsia="IFAO-Grec Unicode"/>
        </w:rPr>
      </w:pPr>
      <w:r>
        <w:rPr>
          <w:rStyle w:val="Absatz-Standardschriftart"/>
          <w:rtl w:val="0"/>
          <w:lang w:val="en-US"/>
        </w:rPr>
        <w:t>#commentary</w:t>
      </w:r>
    </w:p>
    <w:p>
      <w:pPr>
        <w:pStyle w:val="Body"/>
      </w:pPr>
    </w:p>
    <w:p>
      <w:pPr>
        <w:pStyle w:val="Body"/>
        <w:rPr>
          <w:rFonts w:ascii="IFAO-Grec Unicode" w:cs="IFAO-Grec Unicode" w:hAnsi="IFAO-Grec Unicode" w:eastAsia="IFAO-Grec Unicode"/>
        </w:rPr>
      </w:pPr>
      <w:r>
        <w:rPr>
          <w:rStyle w:val="Absatz-Standardschriftart"/>
          <w:rtl w:val="0"/>
        </w:rPr>
        <w:t>2</w:t>
      </w:r>
      <w:r>
        <w:rPr>
          <w:rStyle w:val="Absatz-Standardschriftart"/>
          <w:rtl w:val="0"/>
        </w:rPr>
        <w:t> </w:t>
      </w:r>
      <w:r>
        <w:rPr>
          <w:rStyle w:val="Absatz-Standardschriftart"/>
          <w:rtl w:val="0"/>
          <w:lang w:val="en-US"/>
        </w:rPr>
        <w:t xml:space="preserve">On autopsy, the reading </w:t>
      </w:r>
      <w:r>
        <w:rPr>
          <w:rFonts w:ascii="IFAO-Grec Unicode" w:hAnsi="IFAO-Grec Unicode"/>
          <w:rtl w:val="0"/>
          <w:lang w:val="pt-PT"/>
        </w:rPr>
        <w:t>[ ca. 3 ]</w:t>
      </w:r>
      <w:r>
        <w:rPr>
          <w:rFonts w:ascii="IFAO-Grec Unicode" w:hAnsi="IFAO-Grec Unicode" w:hint="default"/>
          <w:rtl w:val="0"/>
          <w:lang w:val="en-US"/>
        </w:rPr>
        <w:t>α̣ρ̣ων̣</w:t>
      </w:r>
      <w:r>
        <w:rPr>
          <w:rFonts w:ascii="IFAO-Grec Unicode" w:hAnsi="IFAO-Grec Unicode"/>
          <w:rtl w:val="0"/>
          <w:lang w:val="en-US"/>
        </w:rPr>
        <w:t xml:space="preserve"> seemed plausible, but not firm enough to warrant being printed in the text.</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p>
    <w:p>
      <w:pPr>
        <w:pStyle w:val="Codex"/>
        <w:rPr>
          <w:rStyle w:val="Absatz-Standardschriftart"/>
        </w:rPr>
      </w:pPr>
      <w:r>
        <w:rPr>
          <w:sz w:val="22"/>
          <w:szCs w:val="22"/>
          <w:rtl w:val="0"/>
          <w:lang w:val="en-US"/>
        </w:rPr>
        <w:t>#bibliography</w:t>
      </w:r>
    </w:p>
    <w:p>
      <w:pPr>
        <w:pStyle w:val="Body"/>
      </w:pPr>
      <w:r>
        <w:rPr>
          <w:rStyle w:val="Hyperlink.0"/>
        </w:rPr>
        <w:fldChar w:fldCharType="begin" w:fldLock="0"/>
      </w:r>
      <w:r>
        <w:rPr>
          <w:rStyle w:val="Hyperlink.0"/>
        </w:rPr>
        <w:instrText xml:space="preserve"> HYPERLINK "https://papyri.info/biblio/95932"</w:instrText>
      </w:r>
      <w:r>
        <w:rPr>
          <w:rStyle w:val="Hyperlink.0"/>
        </w:rPr>
        <w:fldChar w:fldCharType="separate" w:fldLock="0"/>
      </w:r>
      <w:r>
        <w:rPr>
          <w:rStyle w:val="Hyperlink.0"/>
          <w:rtl w:val="0"/>
        </w:rPr>
        <w:t>Ast, R. (2020)</w:t>
      </w:r>
      <w:r>
        <w:rPr/>
        <w:fldChar w:fldCharType="end" w:fldLock="0"/>
      </w:r>
      <w:r>
        <w:rPr>
          <w:rStyle w:val="Absatz-Standardschriftart"/>
          <w:rtl w:val="1"/>
          <w:lang w:val="ar-SA" w:bidi="ar-SA"/>
        </w:rPr>
        <w:t xml:space="preserve"> “</w:t>
      </w:r>
      <w:r>
        <w:rPr>
          <w:rStyle w:val="Absatz-Standardschriftart"/>
          <w:rtl w:val="0"/>
          <w:lang w:val="en-US"/>
        </w:rPr>
        <w:t>I.Pan 70, a Dedication from the Year 133 BC,</w:t>
      </w:r>
      <w:r>
        <w:rPr>
          <w:rStyle w:val="Absatz-Standardschriftart"/>
          <w:rtl w:val="0"/>
        </w:rPr>
        <w:t xml:space="preserve">” </w:t>
      </w:r>
      <w:r>
        <w:rPr>
          <w:rStyle w:val="Absatz-Standardschriftart"/>
          <w:rtl w:val="0"/>
        </w:rPr>
        <w:t>ZPE 213: 108</w:t>
      </w:r>
      <w:r>
        <w:rPr>
          <w:rStyle w:val="Absatz-Standardschriftart"/>
          <w:rtl w:val="0"/>
        </w:rPr>
        <w:t>–</w:t>
      </w:r>
      <w:r>
        <w:rPr>
          <w:rStyle w:val="Absatz-Standardschriftart"/>
          <w:rtl w:val="0"/>
        </w:rPr>
        <w:t>110.</w:t>
      </w:r>
    </w:p>
    <w:p>
      <w:pPr>
        <w:pStyle w:val="Body"/>
      </w:pPr>
    </w:p>
    <w:p>
      <w:pPr>
        <w:pStyle w:val="Body"/>
      </w:pPr>
      <w:r>
        <w:rPr>
          <w:rStyle w:val="Absatz-Standardschriftart"/>
          <w:rtl w:val="0"/>
        </w:rPr>
        <w:t xml:space="preserve">Ast, R. (2021) </w:t>
      </w:r>
      <w:r>
        <w:rPr>
          <w:rStyle w:val="Absatz-Standardschriftart"/>
          <w:rtl w:val="1"/>
          <w:lang w:val="ar-SA" w:bidi="ar-SA"/>
        </w:rPr>
        <w:t>“</w:t>
      </w:r>
      <w:r>
        <w:rPr>
          <w:rStyle w:val="Absatz-Standardschriftart"/>
          <w:rtl w:val="0"/>
          <w:lang w:val="en-US"/>
        </w:rPr>
        <w:t>Marcus Laelius Cosmus. Italian merchants and Roman trade at Berenike under the Julio-Claudian Emperors</w:t>
      </w:r>
      <w:r>
        <w:rPr>
          <w:rStyle w:val="Absatz-Standardschriftart"/>
          <w:rtl w:val="0"/>
        </w:rPr>
        <w:t xml:space="preserve">” </w:t>
      </w:r>
      <w:r>
        <w:rPr>
          <w:rFonts w:ascii="IFAO-Grec Unicode" w:hAnsi="IFAO-Grec Unicode"/>
          <w:rtl w:val="0"/>
          <w:lang w:val="en-US"/>
        </w:rPr>
        <w:t xml:space="preserve">L. Rahmstorf, G. Barjamovic, and N. Ialongo (eds), Merchants, Measures and Money Understanding Technologies of Early Trade in a </w:t>
      </w:r>
      <w:r>
        <w:rPr>
          <w:rStyle w:val="Absatz-Standardschriftart"/>
          <w:rtl w:val="0"/>
          <w:lang w:val="en-US"/>
        </w:rPr>
        <w:t>Comparative Perspective. Weight and Value 2 (Kiel-Hamburg 2021): 142</w:t>
      </w:r>
      <w:r>
        <w:rPr>
          <w:rStyle w:val="Absatz-Standardschriftart"/>
          <w:rtl w:val="0"/>
        </w:rPr>
        <w:t>–</w:t>
      </w:r>
      <w:r>
        <w:rPr>
          <w:rStyle w:val="Absatz-Standardschriftart"/>
          <w:rtl w:val="0"/>
        </w:rPr>
        <w:t>157.</w:t>
      </w:r>
    </w:p>
    <w:p>
      <w:pPr>
        <w:pStyle w:val="Body"/>
      </w:pPr>
    </w:p>
    <w:p>
      <w:pPr>
        <w:pStyle w:val="Body"/>
      </w:pPr>
      <w:r>
        <w:rPr>
          <w:rStyle w:val="Hyperlink.0"/>
        </w:rPr>
        <w:fldChar w:fldCharType="begin" w:fldLock="0"/>
      </w:r>
      <w:r>
        <w:rPr>
          <w:rStyle w:val="Hyperlink.0"/>
        </w:rPr>
        <w:instrText xml:space="preserve"> HYPERLINK "https://papyri.info/biblio/89162"</w:instrText>
      </w:r>
      <w:r>
        <w:rPr>
          <w:rStyle w:val="Hyperlink.0"/>
        </w:rPr>
        <w:fldChar w:fldCharType="separate" w:fldLock="0"/>
      </w:r>
      <w:r>
        <w:rPr>
          <w:rStyle w:val="Hyperlink.0"/>
          <w:rtl w:val="0"/>
        </w:rPr>
        <w:t>Ast, R. and Bagnall, R.S. (2015)</w:t>
      </w:r>
      <w:r>
        <w:rPr/>
        <w:fldChar w:fldCharType="end" w:fldLock="0"/>
      </w:r>
      <w:r>
        <w:rPr>
          <w:rStyle w:val="Absatz-Standardschriftart"/>
          <w:rtl w:val="1"/>
          <w:lang w:val="ar-SA" w:bidi="ar-SA"/>
        </w:rPr>
        <w:t xml:space="preserve"> “</w:t>
      </w:r>
      <w:r>
        <w:rPr>
          <w:rStyle w:val="Absatz-Standardschriftart"/>
          <w:rtl w:val="0"/>
          <w:lang w:val="en-US"/>
        </w:rPr>
        <w:t>The Receivers of Berenike,</w:t>
      </w:r>
      <w:r>
        <w:rPr>
          <w:rStyle w:val="Absatz-Standardschriftart"/>
          <w:rtl w:val="0"/>
        </w:rPr>
        <w:t xml:space="preserve">” </w:t>
      </w:r>
      <w:r>
        <w:rPr>
          <w:i w:val="1"/>
          <w:iCs w:val="1"/>
          <w:rtl w:val="0"/>
          <w:lang w:val="fr-FR"/>
        </w:rPr>
        <w:t>Chiron</w:t>
      </w:r>
      <w:r>
        <w:rPr>
          <w:rStyle w:val="Absatz-Standardschriftart"/>
          <w:rtl w:val="0"/>
        </w:rPr>
        <w:t xml:space="preserve"> 45: 171</w:t>
      </w:r>
      <w:r>
        <w:rPr>
          <w:rStyle w:val="Absatz-Standardschriftart"/>
          <w:rtl w:val="0"/>
        </w:rPr>
        <w:t>–</w:t>
      </w:r>
      <w:r>
        <w:rPr>
          <w:rStyle w:val="Absatz-Standardschriftart"/>
          <w:rtl w:val="0"/>
        </w:rPr>
        <w:t>185.</w:t>
      </w:r>
    </w:p>
    <w:p>
      <w:pPr>
        <w:pStyle w:val="Body"/>
      </w:pPr>
    </w:p>
    <w:p>
      <w:pPr>
        <w:pStyle w:val="Body"/>
      </w:pPr>
      <w:r>
        <w:rPr>
          <w:rStyle w:val="Absatz-Standardschriftart"/>
          <w:rtl w:val="0"/>
        </w:rPr>
        <w:t>Ast, R., Pop</w:t>
      </w:r>
      <w:r>
        <w:rPr>
          <w:rStyle w:val="Absatz-Standardschriftart"/>
          <w:rtl w:val="0"/>
        </w:rPr>
        <w:t>ł</w:t>
      </w:r>
      <w:r>
        <w:rPr>
          <w:rStyle w:val="Absatz-Standardschriftart"/>
          <w:rtl w:val="0"/>
        </w:rPr>
        <w:t>awski, S. and R</w:t>
      </w:r>
      <w:r>
        <w:rPr>
          <w:rStyle w:val="Absatz-Standardschriftart"/>
          <w:rtl w:val="0"/>
        </w:rPr>
        <w:t>ą</w:t>
      </w:r>
      <w:r>
        <w:rPr>
          <w:rStyle w:val="Absatz-Standardschriftart"/>
          <w:rtl w:val="0"/>
        </w:rPr>
        <w:t xml:space="preserve">dkowska, J. (2022) </w:t>
      </w:r>
      <w:r>
        <w:rPr>
          <w:rStyle w:val="Absatz-Standardschriftart"/>
          <w:rtl w:val="1"/>
          <w:lang w:val="ar-SA" w:bidi="ar-SA"/>
        </w:rPr>
        <w:t>“</w:t>
      </w:r>
      <w:r>
        <w:rPr>
          <w:rStyle w:val="Absatz-Standardschriftart"/>
          <w:rtl w:val="0"/>
          <w:lang w:val="en-US"/>
        </w:rPr>
        <w:t>A Building Inscription for the Blemmyan King Kabantia,</w:t>
      </w:r>
      <w:r>
        <w:rPr>
          <w:rStyle w:val="Absatz-Standardschriftart"/>
          <w:rtl w:val="0"/>
        </w:rPr>
        <w:t xml:space="preserve">” </w:t>
      </w:r>
      <w:r>
        <w:rPr>
          <w:i w:val="1"/>
          <w:iCs w:val="1"/>
          <w:rtl w:val="0"/>
          <w:lang w:val="fr-FR"/>
        </w:rPr>
        <w:t>Chiron</w:t>
      </w:r>
      <w:r>
        <w:rPr>
          <w:rStyle w:val="Absatz-Standardschriftart"/>
          <w:rtl w:val="0"/>
        </w:rPr>
        <w:t xml:space="preserve"> 52: 210</w:t>
      </w:r>
      <w:r>
        <w:rPr>
          <w:rStyle w:val="Absatz-Standardschriftart"/>
          <w:rtl w:val="0"/>
        </w:rPr>
        <w:t>–</w:t>
      </w:r>
      <w:r>
        <w:rPr>
          <w:rStyle w:val="Absatz-Standardschriftart"/>
          <w:rtl w:val="0"/>
        </w:rPr>
        <w:t>216.</w:t>
      </w:r>
    </w:p>
    <w:p>
      <w:pPr>
        <w:pStyle w:val="Body"/>
      </w:pPr>
    </w:p>
    <w:p>
      <w:pPr>
        <w:pStyle w:val="Body"/>
      </w:pPr>
      <w:r>
        <w:rPr>
          <w:rStyle w:val="Hyperlink.0"/>
        </w:rPr>
        <w:fldChar w:fldCharType="begin" w:fldLock="0"/>
      </w:r>
      <w:r>
        <w:rPr>
          <w:rStyle w:val="Hyperlink.0"/>
        </w:rPr>
        <w:instrText xml:space="preserve"> HYPERLINK "https://papyri.info/biblio/95924"</w:instrText>
      </w:r>
      <w:r>
        <w:rPr>
          <w:rStyle w:val="Hyperlink.0"/>
        </w:rPr>
        <w:fldChar w:fldCharType="separate" w:fldLock="0"/>
      </w:r>
      <w:r>
        <w:rPr>
          <w:rStyle w:val="Hyperlink.0"/>
          <w:rtl w:val="0"/>
        </w:rPr>
        <w:t>Ast, R. and R</w:t>
      </w:r>
      <w:r>
        <w:rPr>
          <w:rStyle w:val="Hyperlink.0"/>
          <w:rtl w:val="0"/>
        </w:rPr>
        <w:t>ą</w:t>
      </w:r>
      <w:r>
        <w:rPr>
          <w:rStyle w:val="Hyperlink.0"/>
          <w:rtl w:val="0"/>
        </w:rPr>
        <w:t>dkowska, J. (2020)</w:t>
      </w:r>
      <w:r>
        <w:rPr/>
        <w:fldChar w:fldCharType="end" w:fldLock="0"/>
      </w:r>
      <w:r>
        <w:rPr>
          <w:rStyle w:val="Absatz-Standardschriftart"/>
          <w:rtl w:val="1"/>
          <w:lang w:val="ar-SA" w:bidi="ar-SA"/>
        </w:rPr>
        <w:t xml:space="preserve"> “</w:t>
      </w:r>
      <w:r>
        <w:rPr>
          <w:rStyle w:val="Absatz-Standardschriftart"/>
          <w:rtl w:val="0"/>
          <w:lang w:val="en-US"/>
        </w:rPr>
        <w:t>Dedication of the Blemmyan Interpreter Mochosak on Behalf of King Isemne,</w:t>
      </w:r>
      <w:r>
        <w:rPr>
          <w:rStyle w:val="Absatz-Standardschriftart"/>
          <w:rtl w:val="0"/>
        </w:rPr>
        <w:t xml:space="preserve">” </w:t>
      </w:r>
      <w:r>
        <w:rPr>
          <w:rStyle w:val="Absatz-Standardschriftart"/>
          <w:rtl w:val="0"/>
        </w:rPr>
        <w:t>ZPE 215: 147</w:t>
      </w:r>
      <w:r>
        <w:rPr>
          <w:rStyle w:val="Absatz-Standardschriftart"/>
          <w:rtl w:val="0"/>
        </w:rPr>
        <w:t>–</w:t>
      </w:r>
      <w:r>
        <w:rPr>
          <w:rStyle w:val="Absatz-Standardschriftart"/>
          <w:rtl w:val="0"/>
        </w:rPr>
        <w:t>158.</w:t>
      </w:r>
    </w:p>
    <w:p>
      <w:pPr>
        <w:pStyle w:val="Body"/>
      </w:pPr>
    </w:p>
    <w:p>
      <w:pPr>
        <w:pStyle w:val="Body"/>
      </w:pPr>
      <w:r>
        <w:rPr>
          <w:rStyle w:val="Hyperlink.0"/>
        </w:rPr>
        <w:fldChar w:fldCharType="begin" w:fldLock="0"/>
      </w:r>
      <w:r>
        <w:rPr>
          <w:rStyle w:val="Hyperlink.0"/>
        </w:rPr>
        <w:instrText xml:space="preserve"> HYPERLINK "https://papyri.info/biblio/51199"</w:instrText>
      </w:r>
      <w:r>
        <w:rPr>
          <w:rStyle w:val="Hyperlink.0"/>
        </w:rPr>
        <w:fldChar w:fldCharType="separate" w:fldLock="0"/>
      </w:r>
      <w:r>
        <w:rPr>
          <w:rStyle w:val="Hyperlink.0"/>
          <w:rtl w:val="0"/>
        </w:rPr>
        <w:t>Barnes, T.D. (1976)</w:t>
      </w:r>
      <w:r>
        <w:rPr/>
        <w:fldChar w:fldCharType="end" w:fldLock="0"/>
      </w:r>
      <w:r>
        <w:rPr>
          <w:rStyle w:val="Absatz-Standardschriftart"/>
          <w:rtl w:val="1"/>
          <w:lang w:val="ar-SA" w:bidi="ar-SA"/>
        </w:rPr>
        <w:t xml:space="preserve"> “</w:t>
      </w:r>
      <w:r>
        <w:rPr>
          <w:rStyle w:val="Absatz-Standardschriftart"/>
          <w:rtl w:val="0"/>
          <w:lang w:val="en-US"/>
        </w:rPr>
        <w:t>Imperial Campaigns, A.D. 285</w:t>
      </w:r>
      <w:r>
        <w:rPr>
          <w:rStyle w:val="Absatz-Standardschriftart"/>
          <w:rtl w:val="0"/>
        </w:rPr>
        <w:t>–</w:t>
      </w:r>
      <w:r>
        <w:rPr>
          <w:rStyle w:val="Absatz-Standardschriftart"/>
          <w:rtl w:val="0"/>
        </w:rPr>
        <w:t>311,</w:t>
      </w:r>
      <w:r>
        <w:rPr>
          <w:rStyle w:val="Absatz-Standardschriftart"/>
          <w:rtl w:val="0"/>
        </w:rPr>
        <w:t xml:space="preserve">” </w:t>
      </w:r>
      <w:r>
        <w:rPr>
          <w:rStyle w:val="Absatz-Standardschriftart"/>
          <w:rtl w:val="0"/>
          <w:lang w:val="nl-NL"/>
        </w:rPr>
        <w:t>Phoenix 30: 174</w:t>
      </w:r>
      <w:r>
        <w:rPr>
          <w:rStyle w:val="Absatz-Standardschriftart"/>
          <w:rtl w:val="0"/>
        </w:rPr>
        <w:t>–</w:t>
      </w:r>
      <w:r>
        <w:rPr>
          <w:rStyle w:val="Absatz-Standardschriftart"/>
          <w:rtl w:val="0"/>
        </w:rPr>
        <w:t>193.</w:t>
      </w:r>
    </w:p>
    <w:p>
      <w:pPr>
        <w:pStyle w:val="Body"/>
      </w:pPr>
    </w:p>
    <w:p>
      <w:pPr>
        <w:pStyle w:val="Body"/>
      </w:pPr>
      <w:r>
        <w:rPr>
          <w:rStyle w:val="Hyperlink.0"/>
        </w:rPr>
        <w:fldChar w:fldCharType="begin" w:fldLock="0"/>
      </w:r>
      <w:r>
        <w:rPr>
          <w:rStyle w:val="Hyperlink.0"/>
        </w:rPr>
        <w:instrText xml:space="preserve"> HYPERLINK "https://papyri.info/biblio/52377"</w:instrText>
      </w:r>
      <w:r>
        <w:rPr>
          <w:rStyle w:val="Hyperlink.0"/>
        </w:rPr>
        <w:fldChar w:fldCharType="separate" w:fldLock="0"/>
      </w:r>
      <w:r>
        <w:rPr>
          <w:rStyle w:val="Hyperlink.0"/>
          <w:rtl w:val="0"/>
        </w:rPr>
        <w:t>Bowman, A.K. (1978)</w:t>
      </w:r>
      <w:r>
        <w:rPr/>
        <w:fldChar w:fldCharType="end" w:fldLock="0"/>
      </w:r>
      <w:r>
        <w:rPr>
          <w:rStyle w:val="Absatz-Standardschriftart"/>
          <w:rtl w:val="1"/>
          <w:lang w:val="ar-SA" w:bidi="ar-SA"/>
        </w:rPr>
        <w:t xml:space="preserve"> “</w:t>
      </w:r>
      <w:r>
        <w:rPr>
          <w:rStyle w:val="Absatz-Standardschriftart"/>
          <w:rtl w:val="0"/>
          <w:lang w:val="en-US"/>
        </w:rPr>
        <w:t>The Military Occupation of Upper Egypt in the Reign of Diocletian,</w:t>
      </w:r>
      <w:r>
        <w:rPr>
          <w:rStyle w:val="Absatz-Standardschriftart"/>
          <w:rtl w:val="0"/>
        </w:rPr>
        <w:t xml:space="preserve">” </w:t>
      </w:r>
      <w:r>
        <w:rPr>
          <w:rStyle w:val="Absatz-Standardschriftart"/>
          <w:rtl w:val="0"/>
        </w:rPr>
        <w:t>BASP 15: 25</w:t>
      </w:r>
      <w:r>
        <w:rPr>
          <w:rStyle w:val="Absatz-Standardschriftart"/>
          <w:rtl w:val="0"/>
        </w:rPr>
        <w:t>–</w:t>
      </w:r>
      <w:r>
        <w:rPr>
          <w:rStyle w:val="Absatz-Standardschriftart"/>
          <w:rtl w:val="0"/>
        </w:rPr>
        <w:t>38.</w:t>
      </w:r>
    </w:p>
    <w:p>
      <w:pPr>
        <w:pStyle w:val="Body"/>
      </w:pPr>
    </w:p>
    <w:p>
      <w:pPr>
        <w:pStyle w:val="Body"/>
      </w:pPr>
      <w:r>
        <w:rPr>
          <w:rStyle w:val="Hyperlink.0"/>
        </w:rPr>
        <w:fldChar w:fldCharType="begin" w:fldLock="0"/>
      </w:r>
      <w:r>
        <w:rPr>
          <w:rStyle w:val="Hyperlink.0"/>
        </w:rPr>
        <w:instrText xml:space="preserve"> HYPERLINK "https://doi.org/10.4000/books.cdf.5239"</w:instrText>
      </w:r>
      <w:r>
        <w:rPr>
          <w:rStyle w:val="Hyperlink.0"/>
        </w:rPr>
        <w:fldChar w:fldCharType="separate" w:fldLock="0"/>
      </w:r>
      <w:r>
        <w:rPr>
          <w:rStyle w:val="Hyperlink.0"/>
          <w:rtl w:val="0"/>
        </w:rPr>
        <w:t>Brun, J.-P. (2018)</w:t>
      </w:r>
      <w:r>
        <w:rPr/>
        <w:fldChar w:fldCharType="end" w:fldLock="0"/>
      </w:r>
      <w:r>
        <w:rPr>
          <w:rStyle w:val="Absatz-Standardschriftart"/>
          <w:rtl w:val="1"/>
          <w:lang w:val="ar-SA" w:bidi="ar-SA"/>
        </w:rPr>
        <w:t xml:space="preserve"> “</w:t>
      </w:r>
      <w:r>
        <w:rPr>
          <w:rStyle w:val="Absatz-Standardschriftart"/>
          <w:rtl w:val="0"/>
          <w:lang w:val="en-US"/>
        </w:rPr>
        <w:t>Chronology of the Forts of the Routes to Myos Hormos and Berenike during the Graeco-Roman Period,</w:t>
      </w:r>
      <w:r>
        <w:rPr>
          <w:rStyle w:val="Absatz-Standardschriftart"/>
          <w:rtl w:val="0"/>
        </w:rPr>
        <w:t xml:space="preserve">” </w:t>
      </w:r>
      <w:r>
        <w:rPr>
          <w:rStyle w:val="Absatz-Standardschriftart"/>
          <w:rtl w:val="0"/>
          <w:lang w:val="en-US"/>
        </w:rPr>
        <w:t>in J.-P. Brun, T. Faucher, B. Redon, S. Sidebotham (eds), The Eastern Desert of Egypt during the Greco-Roman Period: Archaeological Reports. Paris.</w:t>
      </w:r>
    </w:p>
    <w:p>
      <w:pPr>
        <w:pStyle w:val="Body"/>
        <w:rPr>
          <w:rFonts w:ascii="IFAO-Grec Unicode" w:cs="IFAO-Grec Unicode" w:hAnsi="IFAO-Grec Unicode" w:eastAsia="IFAO-Grec Unicode"/>
        </w:rPr>
      </w:pPr>
    </w:p>
    <w:p>
      <w:pPr>
        <w:pStyle w:val="Body"/>
      </w:pPr>
      <w:r>
        <w:rPr>
          <w:rStyle w:val="Hyperlink.1"/>
        </w:rPr>
        <w:fldChar w:fldCharType="begin" w:fldLock="0"/>
      </w:r>
      <w:r>
        <w:rPr>
          <w:rStyle w:val="Hyperlink.1"/>
        </w:rPr>
        <w:instrText xml:space="preserve"> HYPERLINK "https://papyri.info/biblio/6514"</w:instrText>
      </w:r>
      <w:r>
        <w:rPr>
          <w:rStyle w:val="Hyperlink.1"/>
        </w:rPr>
        <w:fldChar w:fldCharType="separate" w:fldLock="0"/>
      </w:r>
      <w:r>
        <w:rPr>
          <w:rStyle w:val="Hyperlink.1"/>
          <w:rtl w:val="0"/>
        </w:rPr>
        <w:t>Bureth, P. (1964)</w:t>
      </w:r>
      <w:r>
        <w:rPr/>
        <w:fldChar w:fldCharType="end" w:fldLock="0"/>
      </w:r>
      <w:r>
        <w:rPr>
          <w:rFonts w:ascii="IFAO-Grec Unicode" w:hAnsi="IFAO-Grec Unicode"/>
          <w:rtl w:val="0"/>
        </w:rPr>
        <w:t xml:space="preserve"> </w:t>
      </w:r>
      <w:r>
        <w:rPr>
          <w:rStyle w:val="Absatz-Standardschriftart"/>
          <w:rtl w:val="0"/>
          <w:lang w:val="fr-FR"/>
        </w:rPr>
        <w:t>Les Titulatures imp</w:t>
      </w:r>
      <w:r>
        <w:rPr>
          <w:rStyle w:val="Absatz-Standardschriftart"/>
          <w:rtl w:val="0"/>
          <w:lang w:val="fr-FR"/>
        </w:rPr>
        <w:t>é</w:t>
      </w:r>
      <w:r>
        <w:rPr>
          <w:rStyle w:val="Absatz-Standardschriftart"/>
          <w:rtl w:val="0"/>
          <w:lang w:val="fr-FR"/>
        </w:rPr>
        <w:t xml:space="preserve">riales dans les papyrus, les ostraca et les inscriptions </w:t>
      </w:r>
    </w:p>
    <w:p>
      <w:pPr>
        <w:pStyle w:val="Body"/>
        <w:ind w:firstLine="720"/>
      </w:pPr>
      <w:r>
        <w:rPr>
          <w:rStyle w:val="Absatz-Standardschriftart"/>
          <w:rtl w:val="0"/>
          <w:lang w:val="fr-FR"/>
        </w:rPr>
        <w:t>d'</w:t>
      </w:r>
      <w:r>
        <w:rPr>
          <w:rStyle w:val="Absatz-Standardschriftart"/>
          <w:rtl w:val="0"/>
          <w:lang w:val="fr-FR"/>
        </w:rPr>
        <w:t>É</w:t>
      </w:r>
      <w:r>
        <w:rPr>
          <w:rStyle w:val="Absatz-Standardschriftart"/>
          <w:rtl w:val="0"/>
        </w:rPr>
        <w:t xml:space="preserve">gypte (30 a.C. - 284 p.C.). Brussels. </w:t>
      </w:r>
    </w:p>
    <w:p>
      <w:pPr>
        <w:pStyle w:val="Body"/>
      </w:pPr>
    </w:p>
    <w:p>
      <w:pPr>
        <w:pStyle w:val="Body"/>
      </w:pPr>
      <w:r>
        <w:rPr>
          <w:rStyle w:val="Absatz-Standardschriftart"/>
          <w:rtl w:val="0"/>
        </w:rPr>
        <w:t xml:space="preserve">Cobb, M.A. (2023) </w:t>
      </w:r>
      <w:r>
        <w:rPr>
          <w:rStyle w:val="Absatz-Standardschriftart"/>
          <w:rtl w:val="1"/>
          <w:lang w:val="ar-SA" w:bidi="ar-SA"/>
        </w:rPr>
        <w:t>“</w:t>
      </w:r>
      <w:r>
        <w:rPr>
          <w:rStyle w:val="Absatz-Standardschriftart"/>
          <w:rtl w:val="0"/>
          <w:lang w:val="en-US"/>
        </w:rPr>
        <w:t>The Palmyrene Diaspora in Egypt: Dependency, Sustainability, and Reuse</w:t>
      </w:r>
      <w:r>
        <w:rPr>
          <w:rStyle w:val="Absatz-Standardschriftart"/>
          <w:rtl w:val="0"/>
        </w:rPr>
        <w:t xml:space="preserve">” </w:t>
      </w:r>
      <w:r>
        <w:rPr>
          <w:rStyle w:val="Absatz-Standardschriftart"/>
          <w:rtl w:val="0"/>
          <w:lang w:val="en-US"/>
        </w:rPr>
        <w:t>in N. Andrade and Raja, R. (eds), Exchange and Reuse in Roman Palmyra: Examining Economy and Circularity. Turnhout.</w:t>
      </w:r>
    </w:p>
    <w:p>
      <w:pPr>
        <w:pStyle w:val="Body"/>
      </w:pPr>
    </w:p>
    <w:p>
      <w:pPr>
        <w:pStyle w:val="Body"/>
      </w:pPr>
      <w:r>
        <w:rPr>
          <w:rStyle w:val="Hyperlink.0"/>
        </w:rPr>
        <w:fldChar w:fldCharType="begin" w:fldLock="0"/>
      </w:r>
      <w:r>
        <w:rPr>
          <w:rStyle w:val="Hyperlink.0"/>
        </w:rPr>
        <w:instrText xml:space="preserve"> HYPERLINK "https://papyri.info/biblio/95999"</w:instrText>
      </w:r>
      <w:r>
        <w:rPr>
          <w:rStyle w:val="Hyperlink.0"/>
        </w:rPr>
        <w:fldChar w:fldCharType="separate" w:fldLock="0"/>
      </w:r>
      <w:bookmarkStart w:name="_Hlk163723075" w:id="0"/>
      <w:r>
        <w:rPr>
          <w:rStyle w:val="Hyperlink.0"/>
          <w:rtl w:val="0"/>
        </w:rPr>
        <w:t>Cuvigny, H. (2021)</w:t>
      </w:r>
      <w:bookmarkEnd w:id="0"/>
      <w:r>
        <w:rPr/>
        <w:fldChar w:fldCharType="end" w:fldLock="0"/>
      </w:r>
      <w:r>
        <w:rPr>
          <w:rStyle w:val="Absatz-Standardschriftart"/>
          <w:rtl w:val="0"/>
          <w:lang w:val="nl-NL"/>
        </w:rPr>
        <w:t xml:space="preserve"> Rome in Egypt</w:t>
      </w:r>
      <w:r>
        <w:rPr>
          <w:rStyle w:val="Absatz-Standardschriftart"/>
          <w:rtl w:val="1"/>
        </w:rPr>
        <w:t>’</w:t>
      </w:r>
      <w:r>
        <w:rPr>
          <w:rStyle w:val="Absatz-Standardschriftart"/>
          <w:rtl w:val="0"/>
        </w:rPr>
        <w:t>s Eastern Desert. Vol. 2. New York.</w:t>
      </w:r>
    </w:p>
    <w:p>
      <w:pPr>
        <w:pStyle w:val="Body"/>
      </w:pPr>
    </w:p>
    <w:p>
      <w:pPr>
        <w:pStyle w:val="Body"/>
        <w:rPr>
          <w:rFonts w:ascii="IFAO-Grec Unicode" w:cs="IFAO-Grec Unicode" w:hAnsi="IFAO-Grec Unicode" w:eastAsia="IFAO-Grec Unicode"/>
          <w:b w:val="1"/>
          <w:bCs w:val="1"/>
        </w:rPr>
      </w:pPr>
      <w:r>
        <w:rPr>
          <w:rStyle w:val="Absatz-Standardschriftart"/>
          <w:rtl w:val="0"/>
          <w:lang w:val="en-US"/>
        </w:rPr>
        <w:t>Cuvigny, H. (ed.) (2022) Blemmyes. New Documents and New Perspectives, Including O.Blem. 1</w:t>
      </w:r>
      <w:r>
        <w:rPr>
          <w:rStyle w:val="Absatz-Standardschriftart"/>
          <w:rtl w:val="0"/>
        </w:rPr>
        <w:t>–</w:t>
      </w:r>
      <w:r>
        <w:rPr>
          <w:rStyle w:val="Absatz-Standardschriftart"/>
          <w:rtl w:val="0"/>
          <w:lang w:val="pt-PT"/>
        </w:rPr>
        <w:t>107. Cairo.</w:t>
      </w:r>
    </w:p>
    <w:p>
      <w:pPr>
        <w:pStyle w:val="Body"/>
        <w:rPr>
          <w:rFonts w:ascii="IFAO-Grec Unicode" w:cs="IFAO-Grec Unicode" w:hAnsi="IFAO-Grec Unicode" w:eastAsia="IFAO-Grec Unicode"/>
          <w:b w:val="1"/>
          <w:bCs w:val="1"/>
        </w:rPr>
      </w:pPr>
    </w:p>
    <w:p>
      <w:pPr>
        <w:pStyle w:val="Body"/>
        <w:rPr>
          <w:rFonts w:ascii="IFAO-Grec Unicode" w:cs="IFAO-Grec Unicode" w:hAnsi="IFAO-Grec Unicode" w:eastAsia="IFAO-Grec Unicode"/>
        </w:rPr>
      </w:pPr>
      <w:r>
        <w:rPr>
          <w:rFonts w:ascii="IFAO-Grec Unicode" w:hAnsi="IFAO-Grec Unicode"/>
          <w:rtl w:val="0"/>
        </w:rPr>
        <w:t xml:space="preserve">Cuvigny, H. and Lach-Urgacz, K. (2020) </w:t>
      </w:r>
      <w:r>
        <w:rPr>
          <w:rFonts w:ascii="IFAO-Grec Unicode" w:hAnsi="IFAO-Grec Unicode" w:hint="default"/>
          <w:rtl w:val="0"/>
          <w:lang w:val="en-US"/>
        </w:rPr>
        <w:t>“Ὀρεινὸν</w:t>
      </w:r>
      <w:r>
        <w:rPr>
          <w:rFonts w:ascii="IFAO-Grec Unicode" w:hAnsi="IFAO-Grec Unicode"/>
          <w:rtl w:val="0"/>
        </w:rPr>
        <w:t xml:space="preserve"> </w:t>
      </w:r>
      <w:r>
        <w:rPr>
          <w:rFonts w:ascii="IFAO-Grec Unicode" w:hAnsi="IFAO-Grec Unicode" w:hint="default"/>
          <w:rtl w:val="0"/>
          <w:lang w:val="en-US"/>
        </w:rPr>
        <w:t>κέρμα</w:t>
      </w:r>
      <w:r>
        <w:rPr>
          <w:rFonts w:ascii="IFAO-Grec Unicode" w:hAnsi="IFAO-Grec Unicode"/>
          <w:rtl w:val="0"/>
          <w:lang w:val="en-US"/>
        </w:rPr>
        <w:t>. Monetary Circulation in the praesidia of the Eastern Desert During the Principate,</w:t>
      </w:r>
      <w:r>
        <w:rPr>
          <w:rFonts w:ascii="IFAO-Grec Unicode" w:hAnsi="IFAO-Grec Unicode" w:hint="default"/>
          <w:rtl w:val="0"/>
          <w:lang w:val="en-US"/>
        </w:rPr>
        <w:t xml:space="preserve">” </w:t>
      </w:r>
      <w:r>
        <w:rPr>
          <w:rFonts w:ascii="IFAO-Grec Unicode" w:hAnsi="IFAO-Grec Unicode"/>
          <w:rtl w:val="0"/>
          <w:lang w:val="en-US"/>
        </w:rPr>
        <w:t>in T. Faucher (ed.), Money Rules! The Monetary Economy of Egypt, from the Persians until the Beginning of Islam. Cairo: 309</w:t>
      </w:r>
      <w:r>
        <w:rPr>
          <w:rFonts w:ascii="IFAO-Grec Unicode" w:hAnsi="IFAO-Grec Unicode" w:hint="default"/>
          <w:rtl w:val="0"/>
          <w:lang w:val="en-US"/>
        </w:rPr>
        <w:t>–</w:t>
      </w:r>
      <w:r>
        <w:rPr>
          <w:rFonts w:ascii="IFAO-Grec Unicode" w:hAnsi="IFAO-Grec Unicode"/>
          <w:rtl w:val="0"/>
        </w:rPr>
        <w:t>339.</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rPr>
        <w:t xml:space="preserve">Earl, G. et al. (2010) </w:t>
      </w:r>
      <w:r>
        <w:rPr>
          <w:rStyle w:val="Absatz-Standardschriftart"/>
          <w:rtl w:val="0"/>
          <w:lang w:val="en-US"/>
        </w:rPr>
        <w:t>https://eprints.soton.ac.uk/204531/1/ewic_ev11_s8paper3.pdf</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Kerler, G. (1970) Die Aussenpolitik in der</w:t>
      </w:r>
      <w:r>
        <w:rPr>
          <w:rFonts w:ascii="IFAO-Grec Unicode" w:hAnsi="IFAO-Grec Unicode"/>
          <w:rtl w:val="0"/>
        </w:rPr>
        <w:t xml:space="preserve"> </w:t>
      </w:r>
      <w:r>
        <w:rPr>
          <w:rFonts w:ascii="IFAO-Grec Unicode" w:hAnsi="IFAO-Grec Unicode"/>
          <w:rtl w:val="0"/>
          <w:lang w:val="it-IT"/>
        </w:rPr>
        <w:t xml:space="preserve">Historia Augusta. Bonn. </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"https://papyri.info/biblio/88598"</w:instrText>
      </w:r>
      <w:r>
        <w:rPr>
          <w:rStyle w:val="Hyperlink.1"/>
        </w:rPr>
        <w:fldChar w:fldCharType="separate" w:fldLock="0"/>
      </w:r>
      <w:r>
        <w:rPr>
          <w:rStyle w:val="Hyperlink.1"/>
          <w:rtl w:val="0"/>
        </w:rPr>
        <w:t>Pollard, N. (2013)</w:t>
      </w:r>
      <w:r>
        <w:rPr/>
        <w:fldChar w:fldCharType="end" w:fldLock="0"/>
      </w:r>
      <w:r>
        <w:rPr>
          <w:rFonts w:ascii="IFAO-Grec Unicode" w:hAnsi="IFAO-Grec Unicode" w:hint="default"/>
          <w:rtl w:val="0"/>
          <w:lang w:val="en-US"/>
        </w:rPr>
        <w:t xml:space="preserve"> “</w:t>
      </w:r>
      <w:r>
        <w:rPr>
          <w:rFonts w:ascii="IFAO-Grec Unicode" w:hAnsi="IFAO-Grec Unicode"/>
          <w:rtl w:val="0"/>
          <w:lang w:val="en-US"/>
        </w:rPr>
        <w:t>Imperatores castra dedicaverunt: Security, Army Bases, and Military Dispositions in Later Roman Egypt (Late Third-Fourth Century),</w:t>
      </w:r>
      <w:r>
        <w:rPr>
          <w:rFonts w:ascii="IFAO-Grec Unicode" w:hAnsi="IFAO-Grec Unicode" w:hint="default"/>
          <w:rtl w:val="0"/>
          <w:lang w:val="en-US"/>
        </w:rPr>
        <w:t>”</w:t>
      </w:r>
      <w:r>
        <w:rPr>
          <w:rFonts w:ascii="IFAO-Grec Unicode" w:hAnsi="IFAO-Grec Unicode"/>
          <w:rtl w:val="0"/>
          <w:lang w:val="en-US"/>
        </w:rPr>
        <w:t xml:space="preserve"> Journal of Late Antiquity 6: 3</w:t>
      </w:r>
      <w:r>
        <w:rPr>
          <w:rFonts w:ascii="IFAO-Grec Unicode" w:hAnsi="IFAO-Grec Unicode" w:hint="default"/>
          <w:rtl w:val="0"/>
          <w:lang w:val="en-US"/>
        </w:rPr>
        <w:t>–</w:t>
      </w:r>
      <w:r>
        <w:rPr>
          <w:rFonts w:ascii="IFAO-Grec Unicode" w:hAnsi="IFAO-Grec Unicode"/>
          <w:rtl w:val="0"/>
        </w:rPr>
        <w:t>36.</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"https://papyri.info/biblio/71386"</w:instrText>
      </w:r>
      <w:r>
        <w:rPr>
          <w:rStyle w:val="Hyperlink.1"/>
        </w:rPr>
        <w:fldChar w:fldCharType="separate" w:fldLock="0"/>
      </w:r>
      <w:r>
        <w:rPr>
          <w:rStyle w:val="Hyperlink.1"/>
          <w:rtl w:val="0"/>
        </w:rPr>
        <w:t>Rathbone, D. (2002)</w:t>
      </w:r>
      <w:r>
        <w:rPr/>
        <w:fldChar w:fldCharType="end" w:fldLock="0"/>
      </w:r>
      <w:r>
        <w:rPr>
          <w:rFonts w:ascii="IFAO-Grec Unicode" w:hAnsi="IFAO-Grec Unicode" w:hint="default"/>
          <w:rtl w:val="0"/>
          <w:lang w:val="en-US"/>
        </w:rPr>
        <w:t xml:space="preserve"> “</w:t>
      </w:r>
      <w:r>
        <w:rPr>
          <w:rFonts w:ascii="IFAO-Grec Unicode" w:hAnsi="IFAO-Grec Unicode"/>
          <w:rtl w:val="0"/>
          <w:lang w:val="en-US"/>
        </w:rPr>
        <w:t xml:space="preserve">Koptos the </w:t>
      </w:r>
      <w:r>
        <w:rPr>
          <w:rFonts w:ascii="IFAO-Grec Unicode" w:hAnsi="IFAO-Grec Unicode"/>
          <w:rtl w:val="0"/>
          <w:lang w:val="it-IT"/>
        </w:rPr>
        <w:t>Emporion</w:t>
      </w:r>
      <w:r>
        <w:rPr>
          <w:rFonts w:ascii="IFAO-Grec Unicode" w:hAnsi="IFAO-Grec Unicode"/>
          <w:rtl w:val="0"/>
          <w:lang w:val="en-US"/>
        </w:rPr>
        <w:t>. Economy and Society, I-III AD,</w:t>
      </w:r>
      <w:r>
        <w:rPr>
          <w:rFonts w:ascii="IFAO-Grec Unicode" w:hAnsi="IFAO-Grec Unicode" w:hint="default"/>
          <w:rtl w:val="0"/>
          <w:lang w:val="en-US"/>
        </w:rPr>
        <w:t xml:space="preserve">” </w:t>
      </w:r>
      <w:r>
        <w:rPr>
          <w:rFonts w:ascii="IFAO-Grec Unicode" w:hAnsi="IFAO-Grec Unicode"/>
          <w:rtl w:val="0"/>
          <w:lang w:val="fr-FR"/>
        </w:rPr>
        <w:t>Topoi. Orient-Occident</w:t>
      </w:r>
      <w:r>
        <w:rPr>
          <w:rFonts w:ascii="IFAO-Grec Unicode" w:hAnsi="IFAO-Grec Unicode"/>
          <w:rtl w:val="0"/>
        </w:rPr>
        <w:t>.</w:t>
      </w:r>
      <w:r>
        <w:rPr>
          <w:rFonts w:ascii="IFAO-Grec Unicode" w:hAnsi="IFAO-Grec Unicode"/>
          <w:rtl w:val="0"/>
          <w:lang w:val="en-US"/>
        </w:rPr>
        <w:t xml:space="preserve"> Suppl</w:t>
      </w:r>
      <w:r>
        <w:rPr>
          <w:rFonts w:ascii="IFAO-Grec Unicode" w:hAnsi="IFAO-Grec Unicode" w:hint="default"/>
          <w:rtl w:val="0"/>
          <w:lang w:val="en-US"/>
        </w:rPr>
        <w:t>é</w:t>
      </w:r>
      <w:r>
        <w:rPr>
          <w:rFonts w:ascii="IFAO-Grec Unicode" w:hAnsi="IFAO-Grec Unicode"/>
          <w:rtl w:val="0"/>
        </w:rPr>
        <w:t>ment 3. Lyon.</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"https://papyri.info/biblio/71692"</w:instrText>
      </w:r>
      <w:r>
        <w:rPr>
          <w:rStyle w:val="Hyperlink.1"/>
        </w:rPr>
        <w:fldChar w:fldCharType="separate" w:fldLock="0"/>
      </w:r>
      <w:r>
        <w:rPr>
          <w:rStyle w:val="Hyperlink.1"/>
          <w:rtl w:val="0"/>
        </w:rPr>
        <w:t>Sidebotham, S.E. (2002)</w:t>
      </w:r>
      <w:r>
        <w:rPr/>
        <w:fldChar w:fldCharType="end" w:fldLock="0"/>
      </w:r>
      <w:r>
        <w:rPr>
          <w:rFonts w:ascii="IFAO-Grec Unicode" w:hAnsi="IFAO-Grec Unicode" w:hint="default"/>
          <w:rtl w:val="0"/>
          <w:lang w:val="en-US"/>
        </w:rPr>
        <w:t xml:space="preserve"> “</w:t>
      </w:r>
      <w:r>
        <w:rPr>
          <w:rStyle w:val="Absatz-Standardschriftart"/>
          <w:rtl w:val="0"/>
        </w:rPr>
        <w:t>Late Roman Berenike,</w:t>
      </w:r>
      <w:r>
        <w:rPr>
          <w:rStyle w:val="Absatz-Standardschriftart"/>
          <w:rtl w:val="0"/>
        </w:rPr>
        <w:t xml:space="preserve">” </w:t>
      </w:r>
      <w:r>
        <w:rPr>
          <w:rStyle w:val="Absatz-Standardschriftart"/>
          <w:rtl w:val="0"/>
        </w:rPr>
        <w:t>JARCE 39: 217</w:t>
      </w:r>
      <w:r>
        <w:rPr>
          <w:rStyle w:val="Absatz-Standardschriftart"/>
          <w:rtl w:val="0"/>
        </w:rPr>
        <w:t>–</w:t>
      </w:r>
      <w:r>
        <w:rPr>
          <w:rStyle w:val="Absatz-Standardschriftart"/>
          <w:rtl w:val="0"/>
        </w:rPr>
        <w:t>240.</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"https://papyri.info/biblio/79310"</w:instrText>
      </w:r>
      <w:r>
        <w:rPr>
          <w:rStyle w:val="Hyperlink.1"/>
        </w:rPr>
        <w:fldChar w:fldCharType="separate" w:fldLock="0"/>
      </w:r>
      <w:r>
        <w:rPr>
          <w:rStyle w:val="Hyperlink.1"/>
          <w:rtl w:val="0"/>
        </w:rPr>
        <w:t>Sidebotham, S.E. (2011)</w:t>
      </w:r>
      <w:r>
        <w:rPr/>
        <w:fldChar w:fldCharType="end" w:fldLock="0"/>
      </w:r>
      <w:r>
        <w:rPr>
          <w:rFonts w:ascii="IFAO-Grec Unicode" w:hAnsi="IFAO-Grec Unicode"/>
          <w:rtl w:val="0"/>
          <w:lang w:val="en-US"/>
        </w:rPr>
        <w:t xml:space="preserve"> Berenike and the Ancient Maritime Spice Route. Berkeley, Los Angeles, London.</w:t>
      </w:r>
    </w:p>
    <w:p>
      <w:pPr>
        <w:pStyle w:val="Body"/>
        <w:rPr>
          <w:rFonts w:ascii="IFAO-Grec Unicode" w:cs="IFAO-Grec Unicode" w:hAnsi="IFAO-Grec Unicode" w:eastAsia="IFAO-Grec Unicode"/>
        </w:rPr>
      </w:pPr>
    </w:p>
    <w:p>
      <w:pPr>
        <w:pStyle w:val="Body"/>
      </w:pPr>
      <w:r>
        <w:rPr>
          <w:rStyle w:val="Hyperlink.0"/>
        </w:rPr>
        <w:fldChar w:fldCharType="begin" w:fldLock="0"/>
      </w:r>
      <w:r>
        <w:rPr>
          <w:rStyle w:val="Hyperlink.0"/>
        </w:rPr>
        <w:instrText xml:space="preserve"> HYPERLINK "https://papyri.info/biblio/95969"</w:instrText>
      </w:r>
      <w:r>
        <w:rPr>
          <w:rStyle w:val="Hyperlink.0"/>
        </w:rPr>
        <w:fldChar w:fldCharType="separate" w:fldLock="0"/>
      </w:r>
      <w:r>
        <w:rPr>
          <w:rStyle w:val="Hyperlink.0"/>
          <w:rtl w:val="0"/>
        </w:rPr>
        <w:t>Sidebotham, S.E. et al. (2021)</w:t>
      </w:r>
      <w:r>
        <w:rPr/>
        <w:fldChar w:fldCharType="end" w:fldLock="0"/>
      </w:r>
      <w:r>
        <w:rPr>
          <w:rStyle w:val="Absatz-Standardschriftart"/>
          <w:rtl w:val="1"/>
          <w:lang w:val="ar-SA" w:bidi="ar-SA"/>
        </w:rPr>
        <w:t xml:space="preserve"> “</w:t>
      </w:r>
      <w:r>
        <w:rPr>
          <w:rStyle w:val="Absatz-Standardschriftart"/>
          <w:rtl w:val="0"/>
          <w:lang w:val="en-US"/>
        </w:rPr>
        <w:t>Results of the Winter 2020 Excavation Season at Berenike (Red Sea coast, Egypt),</w:t>
      </w:r>
      <w:r>
        <w:rPr>
          <w:rStyle w:val="Absatz-Standardschriftart"/>
          <w:rtl w:val="0"/>
        </w:rPr>
        <w:t xml:space="preserve">” </w:t>
      </w:r>
      <w:r>
        <w:rPr>
          <w:rStyle w:val="Absatz-Standardschriftart"/>
          <w:rtl w:val="0"/>
          <w:lang w:val="de-DE"/>
        </w:rPr>
        <w:t>Thetis 26: 13</w:t>
      </w:r>
      <w:r>
        <w:rPr>
          <w:rStyle w:val="Absatz-Standardschriftart"/>
          <w:rtl w:val="0"/>
        </w:rPr>
        <w:t>–</w:t>
      </w:r>
      <w:r>
        <w:rPr>
          <w:rStyle w:val="Absatz-Standardschriftart"/>
          <w:rtl w:val="0"/>
        </w:rPr>
        <w:t>23.</w:t>
      </w:r>
    </w:p>
    <w:p>
      <w:pPr>
        <w:pStyle w:val="Body"/>
      </w:pPr>
    </w:p>
    <w:p>
      <w:pPr>
        <w:pStyle w:val="Body"/>
        <w:rPr>
          <w:rFonts w:ascii="IFAO-Grec Unicode" w:cs="IFAO-Grec Unicode" w:hAnsi="IFAO-Grec Unicode" w:eastAsia="IFAO-Grec Unicode"/>
        </w:rPr>
      </w:pPr>
      <w:r>
        <w:rPr>
          <w:rFonts w:ascii="IFAO-Grec Unicode" w:hAnsi="IFAO-Grec Unicode"/>
          <w:rtl w:val="0"/>
          <w:lang w:val="en-US"/>
        </w:rPr>
        <w:t xml:space="preserve">Sidebotham, S.E. et al. (2023) </w:t>
      </w:r>
      <w:r>
        <w:rPr>
          <w:rFonts w:ascii="IFAO-Grec Unicode" w:hAnsi="IFAO-Grec Unicode" w:hint="default"/>
          <w:rtl w:val="0"/>
          <w:lang w:val="en-US"/>
        </w:rPr>
        <w:t>“</w:t>
      </w:r>
      <w:r>
        <w:rPr>
          <w:rFonts w:ascii="IFAO-Grec Unicode" w:hAnsi="IFAO-Grec Unicode"/>
          <w:rtl w:val="0"/>
          <w:lang w:val="en-US"/>
        </w:rPr>
        <w:t>Results of the Winter 2022 Excavation Season at Berenike (Red Sea Coast), Egypt,</w:t>
      </w:r>
      <w:r>
        <w:rPr>
          <w:rFonts w:ascii="IFAO-Grec Unicode" w:hAnsi="IFAO-Grec Unicode" w:hint="default"/>
          <w:rtl w:val="0"/>
          <w:lang w:val="en-US"/>
        </w:rPr>
        <w:t xml:space="preserve">” </w:t>
      </w:r>
      <w:r>
        <w:rPr>
          <w:rFonts w:ascii="IFAO-Grec Unicode" w:hAnsi="IFAO-Grec Unicode"/>
          <w:rtl w:val="0"/>
          <w:lang w:val="en-US"/>
        </w:rPr>
        <w:t>Thetis</w:t>
      </w:r>
      <w:r>
        <w:rPr>
          <w:rFonts w:ascii="IFAO-Grec Unicode" w:hAnsi="IFAO-Grec Unicode"/>
          <w:rtl w:val="0"/>
        </w:rPr>
        <w:t xml:space="preserve"> </w:t>
      </w:r>
      <w:r>
        <w:rPr>
          <w:rFonts w:ascii="IFAO-Grec Unicode" w:hAnsi="IFAO-Grec Unicode"/>
          <w:rtl w:val="0"/>
        </w:rPr>
        <w:t>27: 13</w:t>
      </w:r>
      <w:r>
        <w:rPr>
          <w:rFonts w:ascii="IFAO-Grec Unicode" w:hAnsi="IFAO-Grec Unicode" w:hint="default"/>
          <w:rtl w:val="0"/>
          <w:lang w:val="en-US"/>
        </w:rPr>
        <w:t>–</w:t>
      </w:r>
      <w:r>
        <w:rPr>
          <w:rFonts w:ascii="IFAO-Grec Unicode" w:hAnsi="IFAO-Grec Unicode"/>
          <w:rtl w:val="0"/>
        </w:rPr>
        <w:t>28.</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"https://papyri.info/biblio/15536"</w:instrText>
      </w:r>
      <w:r>
        <w:rPr>
          <w:rStyle w:val="Hyperlink.0"/>
        </w:rPr>
        <w:fldChar w:fldCharType="separate" w:fldLock="0"/>
      </w:r>
      <w:r>
        <w:rPr>
          <w:rStyle w:val="Hyperlink.0"/>
          <w:rtl w:val="0"/>
        </w:rPr>
        <w:t>Sidebotham, S.E. and Wendrich, W.Z. (1998)</w:t>
      </w:r>
      <w:r>
        <w:rPr/>
        <w:fldChar w:fldCharType="end" w:fldLock="0"/>
      </w:r>
      <w:r>
        <w:rPr>
          <w:rStyle w:val="Absatz-Standardschriftart"/>
          <w:rtl w:val="0"/>
          <w:lang w:val="en-US"/>
        </w:rPr>
        <w:t xml:space="preserve"> Berenike 1996. Report of the 1996 excavations at Berenike (Egyptian Red Sea Coast) and the Survey of the Eastern Desert. Leiden </w:t>
      </w:r>
    </w:p>
    <w:p>
      <w:pPr>
        <w:pStyle w:val="Body"/>
        <w:rPr>
          <w:rFonts w:ascii="IFAO-Grec Unicode" w:cs="IFAO-Grec Unicode" w:hAnsi="IFAO-Grec Unicode" w:eastAsia="IFAO-Grec Unicode"/>
        </w:rPr>
      </w:pPr>
    </w:p>
    <w:p>
      <w:pPr>
        <w:pStyle w:val="Body"/>
      </w:pPr>
      <w:r>
        <w:rPr>
          <w:rStyle w:val="Hyperlink.0"/>
        </w:rPr>
        <w:fldChar w:fldCharType="begin" w:fldLock="0"/>
      </w:r>
      <w:r>
        <w:rPr>
          <w:rStyle w:val="Hyperlink.0"/>
        </w:rPr>
        <w:instrText xml:space="preserve"> HYPERLINK "https://papyri.info/biblio/51720"</w:instrText>
      </w:r>
      <w:r>
        <w:rPr>
          <w:rStyle w:val="Hyperlink.0"/>
        </w:rPr>
        <w:fldChar w:fldCharType="separate" w:fldLock="0"/>
      </w:r>
      <w:r>
        <w:rPr>
          <w:rStyle w:val="Hyperlink.0"/>
          <w:rtl w:val="0"/>
          <w:lang w:val="pt-PT"/>
        </w:rPr>
        <w:t>Thomas, J. D. (1976)</w:t>
      </w:r>
      <w:r>
        <w:rPr/>
        <w:fldChar w:fldCharType="end" w:fldLock="0"/>
      </w:r>
      <w:r>
        <w:rPr>
          <w:rStyle w:val="Absatz-Standardschriftart"/>
          <w:rtl w:val="1"/>
          <w:lang w:val="ar-SA" w:bidi="ar-SA"/>
        </w:rPr>
        <w:t xml:space="preserve"> “</w:t>
      </w:r>
      <w:r>
        <w:rPr>
          <w:rStyle w:val="Absatz-Standardschriftart"/>
          <w:rtl w:val="0"/>
          <w:lang w:val="en-US"/>
        </w:rPr>
        <w:t>The Date of the Revolt of L. Domitius Domitianus,</w:t>
      </w:r>
      <w:r>
        <w:rPr>
          <w:rStyle w:val="Absatz-Standardschriftart"/>
          <w:rtl w:val="0"/>
        </w:rPr>
        <w:t xml:space="preserve">” </w:t>
      </w:r>
      <w:r>
        <w:rPr>
          <w:rStyle w:val="Absatz-Standardschriftart"/>
          <w:rtl w:val="0"/>
        </w:rPr>
        <w:t>ZPE 22: 253</w:t>
      </w:r>
      <w:r>
        <w:rPr>
          <w:rStyle w:val="Absatz-Standardschriftart"/>
          <w:rtl w:val="0"/>
        </w:rPr>
        <w:t>–</w:t>
      </w:r>
      <w:r>
        <w:rPr>
          <w:rStyle w:val="Absatz-Standardschriftart"/>
          <w:rtl w:val="0"/>
        </w:rPr>
        <w:t>279.</w:t>
      </w:r>
      <w:r>
        <w:rPr>
          <w:rFonts w:ascii="IFAO-Grec Unicode" w:cs="IFAO-Grec Unicode" w:hAnsi="IFAO-Grec Unicode" w:eastAsia="IFAO-Grec Unicode"/>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Style w:val="Absatz-Standardschriftart"/>
          <w:rFonts w:cs="Arial Unicode MS" w:eastAsia="Arial Unicode MS"/>
          <w:rtl w:val="0"/>
          <w:lang w:val="en-US"/>
        </w:rPr>
        <w:t xml:space="preserve"> This article is part of a larger project to document inscriptions from the port of Berenike, most of which have been found in recent years in the central Isis temple. For information about the Isis Temple project, see ***.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Absatz-Standardschriftart">
    <w:name w:val="Absatz-Standardschriftart"/>
  </w:style>
  <w:style w:type="paragraph" w:styleId="Standard">
    <w:name w:val="Standard"/>
    <w:next w:val="Standard"/>
    <w:pPr>
      <w:keepNext w:val="0"/>
      <w:keepLines w:val="0"/>
      <w:pageBreakBefore w:val="0"/>
      <w:widowControl w:val="1"/>
      <w:shd w:val="clear" w:color="auto" w:fill="auto"/>
      <w:suppressAutoHyphens w:val="1"/>
      <w:bidi w:val="0"/>
      <w:spacing w:before="0" w:after="160" w:line="254"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467886"/>
      <w:u w:color="467886"/>
      <w14:textFill>
        <w14:solidFill>
          <w14:srgbClr w14:val="467886"/>
        </w14:solidFill>
      </w14:textFill>
    </w:rPr>
  </w:style>
  <w:style w:type="character" w:styleId="Hyperlink.1">
    <w:name w:val="Hyperlink.1"/>
    <w:basedOn w:val="Link"/>
    <w:next w:val="Hyperlink.1"/>
    <w:rPr>
      <w:rFonts w:ascii="IFAO-Grec Unicode" w:cs="IFAO-Grec Unicode" w:hAnsi="IFAO-Grec Unicode" w:eastAsia="IFAO-Grec Unicode"/>
      <w:outline w:val="0"/>
      <w:color w:val="467886"/>
      <w:u w:color="467886"/>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