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bidi w:val="0"/>
      </w:pPr>
      <w:r>
        <w:rPr>
          <w:rtl w:val="0"/>
        </w:rPr>
        <w:t>#articleTitle</w:t>
      </w:r>
    </w:p>
    <w:p>
      <w:pPr>
        <w:pStyle w:val="Text"/>
        <w:rPr>
          <w:rFonts w:ascii="Trebuchet MS" w:cs="Trebuchet MS" w:hAnsi="Trebuchet MS" w:eastAsia="Trebuchet MS"/>
          <w:b w:val="1"/>
          <w:bCs w:val="1"/>
        </w:rPr>
      </w:pPr>
      <w:r>
        <w:rPr>
          <w:rFonts w:ascii="Trebuchet MS" w:hAnsi="Trebuchet MS"/>
          <w:b w:val="1"/>
          <w:bCs w:val="1"/>
          <w:rtl w:val="0"/>
          <w:lang w:val="en-US"/>
        </w:rPr>
        <w:t>Textual Remarks on Two Receipts concerning Replacement Parts for Irrigators</w:t>
      </w:r>
    </w:p>
    <w:p>
      <w:pPr>
        <w:pStyle w:val="Text"/>
        <w:jc w:val="both"/>
      </w:pPr>
    </w:p>
    <w:p>
      <w:pPr>
        <w:pStyle w:val="Überschrift (rot)"/>
        <w:bidi w:val="0"/>
      </w:pPr>
      <w:r>
        <w:rPr>
          <w:rtl w:val="0"/>
        </w:rPr>
        <w:t>#author</w:t>
      </w:r>
    </w:p>
    <w:p>
      <w:pPr>
        <w:pStyle w:val="Text"/>
      </w:pPr>
      <w:r>
        <w:rPr>
          <w:rtl w:val="0"/>
          <w:lang w:val="de-DE"/>
        </w:rPr>
        <w:t>Azzarello, Giuseppina</w:t>
      </w:r>
    </w:p>
    <w:p>
      <w:pPr>
        <w:pStyle w:val="Text"/>
      </w:pPr>
    </w:p>
    <w:p>
      <w:pPr>
        <w:pStyle w:val="Überschrift (rot)"/>
        <w:bidi w:val="0"/>
      </w:pPr>
      <w:r>
        <w:rPr>
          <w:rtl w:val="0"/>
          <w:lang w:val="fr-FR"/>
        </w:rPr>
        <w:t>#affiliation</w:t>
      </w:r>
    </w:p>
    <w:p>
      <w:pPr>
        <w:pStyle w:val="Text"/>
      </w:pPr>
    </w:p>
    <w:p>
      <w:pPr>
        <w:pStyle w:val="Überschrift (rot)"/>
        <w:bidi w:val="0"/>
      </w:pPr>
      <w:r>
        <w:rPr>
          <w:rtl w:val="0"/>
        </w:rPr>
        <w:t>#email</w:t>
      </w:r>
    </w:p>
    <w:p>
      <w:pPr>
        <w:pStyle w:val="Text"/>
      </w:pPr>
    </w:p>
    <w:p>
      <w:pPr>
        <w:pStyle w:val="Überschrift (rot)"/>
        <w:bidi w:val="0"/>
      </w:pPr>
      <w:r>
        <w:rPr>
          <w:rtl w:val="0"/>
        </w:rPr>
        <w:t>#acknowledgement</w:t>
      </w:r>
    </w:p>
    <w:p>
      <w:pPr>
        <w:pStyle w:val="Text"/>
      </w:pPr>
      <w:r>
        <w:rPr>
          <w:rtl w:val="0"/>
          <w:lang w:val="en-US"/>
        </w:rPr>
        <w:t xml:space="preserve">I am grateful to Pamela Mansutti </w:t>
      </w:r>
      <w:r>
        <w:rPr>
          <w:color w:val="ff0000"/>
          <w:u w:color="ff0000"/>
          <w:rtl w:val="0"/>
          <w:lang w:val="en-US"/>
        </w:rPr>
        <w:t>and James Cowey</w:t>
      </w:r>
      <w:r>
        <w:rPr>
          <w:rtl w:val="0"/>
          <w:lang w:val="en-US"/>
        </w:rPr>
        <w:t xml:space="preserve"> for revising my English, and to Ben Henry for providing a high-resolution image of P.Oxy. 16 1982.21</w:t>
      </w:r>
      <w:r>
        <w:rPr>
          <w:rtl w:val="0"/>
          <w:lang w:val="en-US"/>
        </w:rPr>
        <w:t>–</w:t>
      </w:r>
      <w:r>
        <w:rPr>
          <w:rtl w:val="0"/>
          <w:lang w:val="en-US"/>
        </w:rPr>
        <w:t>27. The clipping</w:t>
      </w:r>
    </w:p>
    <w:p>
      <w:pPr>
        <w:pStyle w:val="Text"/>
        <w:jc w:val="both"/>
      </w:pPr>
    </w:p>
    <w:p>
      <w:pPr>
        <w:pStyle w:val="Text"/>
        <w:jc w:val="both"/>
        <w:rPr>
          <w:lang w:val="en-US"/>
        </w:rPr>
      </w:pPr>
      <w:r>
        <w:rPr>
          <w:rtl w:val="0"/>
          <w:lang w:val="en-US"/>
        </w:rPr>
        <w:t>The receipts for replacement parts for irrigators are notarial documents that originate from the Oxyrhynchite and date to the 5th</w:t>
      </w:r>
      <w:r>
        <w:rPr>
          <w:rtl w:val="0"/>
          <w:lang w:val="en-US"/>
        </w:rPr>
        <w:t>–</w:t>
      </w:r>
      <w:r>
        <w:rPr>
          <w:rtl w:val="0"/>
          <w:lang w:val="en-US"/>
        </w:rPr>
        <w:t>7th centuries.</w:t>
      </w:r>
      <w:r>
        <w:rPr>
          <w:rStyle w:val="footnote reference"/>
        </w:rPr>
        <w:footnoteReference w:id="1"/>
      </w:r>
      <w:r>
        <w:rPr>
          <w:rtl w:val="0"/>
          <w:lang w:val="en-US"/>
        </w:rPr>
        <w:t xml:space="preserve"> Most of them belong to the dossier of the Apiones.</w:t>
      </w:r>
      <w:r>
        <w:rPr>
          <w:rStyle w:val="footnote reference"/>
        </w:rPr>
        <w:footnoteReference w:id="2"/>
      </w:r>
      <w:r>
        <w:rPr>
          <w:rtl w:val="0"/>
          <w:lang w:val="en-US"/>
        </w:rPr>
        <w:t xml:space="preserve"> As a by-product of recent studies on the topic,</w:t>
      </w:r>
      <w:r>
        <w:rPr>
          <w:vertAlign w:val="superscript"/>
          <w:lang w:val="en-US"/>
        </w:rPr>
        <w:footnoteReference w:id="3"/>
      </w:r>
      <w:r>
        <w:rPr>
          <w:rtl w:val="0"/>
          <w:lang w:val="en-US"/>
        </w:rPr>
        <w:t xml:space="preserve"> I present in this article a few textual remarks on two receipts, including the transcription of lines which have not yet been published in full. </w:t>
      </w:r>
    </w:p>
    <w:p>
      <w:pPr>
        <w:pStyle w:val="Text"/>
        <w:jc w:val="both"/>
        <w:rPr>
          <w:lang w:val="en-US"/>
        </w:rPr>
      </w:pPr>
    </w:p>
    <w:p>
      <w:pPr>
        <w:pStyle w:val="Überschrift (rot)"/>
        <w:bidi w:val="0"/>
      </w:pPr>
      <w:r>
        <w:rPr>
          <w:rtl w:val="0"/>
        </w:rPr>
        <w:t>#article</w:t>
      </w:r>
      <w:r>
        <w:rPr>
          <w:rtl w:val="0"/>
          <w:lang w:val="de-DE"/>
        </w:rPr>
        <w:t>H</w:t>
      </w:r>
      <w:r>
        <w:rPr>
          <w:rtl w:val="0"/>
        </w:rPr>
        <w:t>e</w:t>
      </w:r>
      <w:r>
        <w:rPr>
          <w:rtl w:val="0"/>
          <w:lang w:val="de-DE"/>
        </w:rPr>
        <w:t>ader</w:t>
      </w:r>
    </w:p>
    <w:p>
      <w:pPr>
        <w:pStyle w:val="Text"/>
        <w:rPr>
          <w:rFonts w:ascii="Trebuchet MS" w:cs="Trebuchet MS" w:hAnsi="Trebuchet MS" w:eastAsia="Trebuchet MS"/>
          <w:b w:val="1"/>
          <w:bCs w:val="1"/>
        </w:rPr>
      </w:pPr>
      <w:r>
        <w:rPr>
          <w:rStyle w:val="Hyperlink.1"/>
        </w:rPr>
        <w:fldChar w:fldCharType="begin" w:fldLock="0"/>
      </w:r>
      <w:r>
        <w:rPr>
          <w:rStyle w:val="Hyperlink.1"/>
        </w:rPr>
        <w:instrText xml:space="preserve"> HYPERLINK "https://papyri.info/ddbdp/p.oxy;16;1982"</w:instrText>
      </w:r>
      <w:r>
        <w:rPr>
          <w:rStyle w:val="Hyperlink.1"/>
        </w:rPr>
        <w:fldChar w:fldCharType="separate" w:fldLock="0"/>
      </w:r>
      <w:r>
        <w:rPr>
          <w:rStyle w:val="Hyperlink.1"/>
          <w:rtl w:val="0"/>
        </w:rPr>
        <w:t>P.Oxy. 16 1982</w:t>
      </w:r>
      <w:r>
        <w:rPr/>
        <w:fldChar w:fldCharType="end" w:fldLock="0"/>
      </w:r>
    </w:p>
    <w:p>
      <w:pPr>
        <w:pStyle w:val="Text"/>
        <w:jc w:val="center"/>
        <w:rPr>
          <w:rFonts w:ascii="Trebuchet MS" w:cs="Trebuchet MS" w:hAnsi="Trebuchet MS" w:eastAsia="Trebuchet MS"/>
          <w:b w:val="1"/>
          <w:bCs w:val="1"/>
          <w:lang w:val="en-US"/>
        </w:rPr>
      </w:pPr>
    </w:p>
    <w:p>
      <w:pPr>
        <w:pStyle w:val="Text"/>
        <w:jc w:val="both"/>
        <w:rPr>
          <w:lang w:val="en-US"/>
        </w:rPr>
      </w:pPr>
      <w:r>
        <w:rPr>
          <w:rtl w:val="0"/>
          <w:lang w:val="en-US"/>
        </w:rPr>
        <w:t xml:space="preserve">This receipt, dated to 497, is addressed by a </w:t>
      </w:r>
      <w:r>
        <w:rPr>
          <w:rFonts w:ascii="Trebuchet MS" w:hAnsi="Trebuchet MS"/>
          <w:i w:val="1"/>
          <w:iCs w:val="1"/>
          <w:rtl w:val="0"/>
          <w:lang w:val="en-US"/>
        </w:rPr>
        <w:t xml:space="preserve">colonus adscripticius </w:t>
      </w:r>
      <w:r>
        <w:rPr>
          <w:rtl w:val="0"/>
          <w:lang w:val="en-US"/>
        </w:rPr>
        <w:t>named Aurelios Ioseph, son of Abraamios and Anna (ll. 6</w:t>
      </w:r>
      <w:r>
        <w:rPr>
          <w:rtl w:val="0"/>
          <w:lang w:val="en-US"/>
        </w:rPr>
        <w:t>–</w:t>
      </w:r>
      <w:r>
        <w:rPr>
          <w:rtl w:val="0"/>
          <w:lang w:val="en-US"/>
        </w:rPr>
        <w:t>7) and coming from the hamlet Papsaou (ll. 7</w:t>
      </w:r>
      <w:r>
        <w:rPr>
          <w:rtl w:val="0"/>
          <w:lang w:val="en-US"/>
        </w:rPr>
        <w:t>–</w:t>
      </w:r>
      <w:r>
        <w:rPr>
          <w:rtl w:val="0"/>
          <w:lang w:val="en-US"/>
        </w:rPr>
        <w:t xml:space="preserve">8), to Fl. Strategios II. It was issued in the office of the notary Sarapammon who released a digraphic </w:t>
      </w:r>
      <w:r>
        <w:rPr>
          <w:rFonts w:ascii="Trebuchet MS" w:hAnsi="Trebuchet MS"/>
          <w:i w:val="1"/>
          <w:iCs w:val="1"/>
          <w:rtl w:val="0"/>
          <w:lang w:val="en-US"/>
        </w:rPr>
        <w:t>completio</w:t>
      </w:r>
      <w:r>
        <w:rPr>
          <w:rtl w:val="0"/>
          <w:lang w:val="en-US"/>
        </w:rPr>
        <w:t xml:space="preserve"> which includes a date</w:t>
      </w:r>
      <w:r>
        <w:rPr>
          <w:rFonts w:ascii="Trebuchet MS" w:hAnsi="Trebuchet MS"/>
          <w:i w:val="1"/>
          <w:iCs w:val="1"/>
          <w:rtl w:val="0"/>
          <w:lang w:val="en-US"/>
        </w:rPr>
        <w:t xml:space="preserve"> </w:t>
      </w:r>
      <w:r>
        <w:rPr>
          <w:rtl w:val="0"/>
          <w:lang w:val="en-US"/>
        </w:rPr>
        <w:t>(ll. 27</w:t>
      </w:r>
      <w:r>
        <w:rPr>
          <w:rtl w:val="0"/>
          <w:lang w:val="en-US"/>
        </w:rPr>
        <w:t>–</w:t>
      </w:r>
      <w:r>
        <w:rPr>
          <w:rtl w:val="0"/>
          <w:lang w:val="en-US"/>
        </w:rPr>
        <w:t>28)</w:t>
      </w:r>
      <w:r>
        <w:rPr>
          <w:vertAlign w:val="superscript"/>
          <w:lang w:val="en-US"/>
        </w:rPr>
        <w:footnoteReference w:id="4"/>
      </w:r>
      <w:r>
        <w:rPr>
          <w:rtl w:val="0"/>
          <w:lang w:val="en-US"/>
        </w:rPr>
        <w:t xml:space="preserve">. As the editors report, the </w:t>
      </w:r>
      <w:r>
        <w:rPr>
          <w:rFonts w:ascii="Trebuchet MS" w:hAnsi="Trebuchet MS"/>
          <w:i w:val="1"/>
          <w:iCs w:val="1"/>
          <w:rtl w:val="0"/>
          <w:lang w:val="en-US"/>
        </w:rPr>
        <w:t xml:space="preserve">subscriptio </w:t>
      </w:r>
      <w:r>
        <w:rPr>
          <w:rtl w:val="0"/>
          <w:lang w:val="en-US"/>
        </w:rPr>
        <w:t xml:space="preserve">was written by a certain Aurelios Menas, son of Ioulios, but neither the </w:t>
      </w:r>
      <w:r>
        <w:rPr>
          <w:rFonts w:ascii="Trebuchet MS" w:hAnsi="Trebuchet MS"/>
          <w:i w:val="1"/>
          <w:iCs w:val="1"/>
          <w:rtl w:val="0"/>
          <w:lang w:val="en-US"/>
        </w:rPr>
        <w:t>hypographe</w:t>
      </w:r>
      <w:r>
        <w:rPr>
          <w:rtl w:val="0"/>
          <w:lang w:val="en-US"/>
        </w:rPr>
        <w:t xml:space="preserve"> nor the end of the main text (l. 22 after </w:t>
      </w:r>
      <w:r>
        <w:rPr>
          <w:rtl w:val="0"/>
          <w:lang w:val="en-US"/>
        </w:rPr>
        <w:t>γραφε</w:t>
      </w:r>
      <w:r>
        <w:rPr>
          <w:rtl w:val="0"/>
        </w:rPr>
        <w:t>ῖσα</w:t>
      </w:r>
      <w:r>
        <w:rPr>
          <w:rtl w:val="0"/>
          <w:lang w:val="en-US"/>
        </w:rPr>
        <w:t>), which was written by the scribe who issued the rest of the document,</w:t>
      </w:r>
      <w:r>
        <w:rPr>
          <w:vertAlign w:val="superscript"/>
          <w:lang w:val="en-US"/>
        </w:rPr>
        <w:footnoteReference w:id="5"/>
      </w:r>
      <w:r>
        <w:rPr>
          <w:rtl w:val="0"/>
          <w:lang w:val="en-US"/>
        </w:rPr>
        <w:t xml:space="preserve"> have been transcribed in full</w:t>
      </w:r>
      <w:r>
        <w:rPr>
          <w:vertAlign w:val="superscript"/>
          <w:lang w:val="en-US"/>
        </w:rPr>
        <w:footnoteReference w:id="6"/>
      </w:r>
      <w:r>
        <w:rPr>
          <w:rtl w:val="0"/>
          <w:lang w:val="en-US"/>
        </w:rPr>
        <w:t xml:space="preserve">. In what follows, a transcription of lnes 21 (end) </w:t>
      </w:r>
      <w:r>
        <w:rPr>
          <w:rtl w:val="0"/>
          <w:lang w:val="en-US"/>
        </w:rPr>
        <w:t xml:space="preserve">– </w:t>
      </w:r>
      <w:r>
        <w:rPr>
          <w:rtl w:val="0"/>
          <w:lang w:val="en-US"/>
        </w:rPr>
        <w:t>26 will be proposed, based on the digital image available online.</w:t>
      </w:r>
    </w:p>
    <w:p>
      <w:pPr>
        <w:pStyle w:val="Text"/>
        <w:jc w:val="both"/>
        <w:rPr>
          <w:lang w:val="en-US"/>
        </w:rPr>
      </w:pPr>
    </w:p>
    <w:p>
      <w:pPr>
        <w:pStyle w:val="Überschrift (rot)"/>
        <w:bidi w:val="0"/>
        <w:rPr>
          <w:lang w:val="en-US"/>
        </w:rPr>
      </w:pPr>
      <w:r>
        <w:rPr>
          <w:rtl w:val="0"/>
          <w:lang w:val="en-US"/>
        </w:rPr>
        <w:t>#</w:t>
      </w:r>
      <w:r>
        <w:rPr>
          <w:rtl w:val="0"/>
          <w:lang w:val="de-DE"/>
        </w:rPr>
        <w:t>editionDDB</w:t>
      </w:r>
    </w:p>
    <w:p>
      <w:pPr>
        <w:pStyle w:val="Überschrift (rot)"/>
        <w:bidi w:val="0"/>
      </w:pPr>
      <w:r>
        <w:rPr>
          <w:rtl w:val="0"/>
        </w:rPr>
        <w:t>#</w:t>
      </w:r>
      <w:r>
        <w:rPr>
          <w:rtl w:val="0"/>
          <w:lang w:val="de-DE"/>
        </w:rPr>
        <w:t>metadata</w:t>
      </w:r>
    </w:p>
    <w:p>
      <w:pPr>
        <w:pStyle w:val="Text"/>
      </w:pPr>
    </w:p>
    <w:tbl>
      <w:tblPr>
        <w:tblW w:w="96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64"/>
        <w:gridCol w:w="7842"/>
      </w:tblGrid>
      <w:tr>
        <w:tblPrEx>
          <w:shd w:val="clear" w:color="auto" w:fill="cdd4e9"/>
        </w:tblPrEx>
        <w:trPr>
          <w:trHeight w:val="507" w:hRule="atLeast"/>
        </w:trPr>
        <w:tc>
          <w:tcPr>
            <w:tcW w:type="dxa" w:w="1764"/>
            <w:tcBorders>
              <w:top w:val="single" w:color="ffffff" w:sz="8" w:space="0" w:shadow="0" w:frame="0"/>
              <w:left w:val="single" w:color="ffffff" w:sz="10" w:space="0" w:shadow="0" w:frame="0"/>
              <w:bottom w:val="single" w:color="ffffff" w:sz="10" w:space="0" w:shadow="0" w:frame="0"/>
              <w:right w:val="single" w:color="ffffff" w:sz="10"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TargetFile</w:t>
            </w:r>
          </w:p>
        </w:tc>
        <w:tc>
          <w:tcPr>
            <w:tcW w:type="dxa" w:w="7841"/>
            <w:tcBorders>
              <w:top w:val="single" w:color="ffffff" w:sz="8" w:space="0" w:shadow="0" w:frame="0"/>
              <w:left w:val="single" w:color="ffffff" w:sz="10" w:space="0" w:shadow="0" w:frame="0"/>
              <w:bottom w:val="single" w:color="ffffff" w:sz="10" w:space="0" w:shadow="0" w:frame="0"/>
              <w:right w:val="single" w:color="ffffff" w:sz="10"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Pr>
              <w:fldChar w:fldCharType="begin" w:fldLock="0"/>
            </w: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Pr>
              <w:instrText xml:space="preserve"> HYPERLINK "https://github.com/papyri/idp.data/blob/master/HGV_meta_EpiDoc/HGV23/22077.xml"</w:instrText>
            </w: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Pr>
              <w:fldChar w:fldCharType="separate" w:fldLock="0"/>
            </w:r>
            <w:r>
              <w:rPr>
                <w:rStyle w:val="Link"/>
                <w:rFonts w:ascii="Calibri" w:cs="Calibri" w:hAnsi="Calibri" w:eastAsia="Calibri"/>
                <w:b w:val="0"/>
                <w:bCs w:val="0"/>
                <w:i w:val="0"/>
                <w:iCs w:val="0"/>
                <w:caps w:val="0"/>
                <w:smallCaps w:val="0"/>
                <w:strike w:val="0"/>
                <w:dstrike w:val="0"/>
                <w:outline w:val="0"/>
                <w:color w:val="0563c1"/>
                <w:spacing w:val="0"/>
                <w:kern w:val="0"/>
                <w:position w:val="0"/>
                <w:sz w:val="24"/>
                <w:szCs w:val="24"/>
                <w:u w:val="single" w:color="0563c1"/>
                <w:vertAlign w:val="baseline"/>
                <w:rtl w:val="0"/>
                <w:lang w:val="en-US"/>
              </w:rPr>
              <w:t>https://github.com/papyri/idp.data/blob/master/HGV_meta_EpiDoc/HGV23/22077.xml</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tc>
      </w:tr>
      <w:tr>
        <w:tblPrEx>
          <w:shd w:val="clear" w:color="auto" w:fill="cdd4e9"/>
        </w:tblPrEx>
        <w:trPr>
          <w:trHeight w:val="400" w:hRule="atLeast"/>
        </w:trPr>
        <w:tc>
          <w:tcPr>
            <w:tcW w:type="dxa" w:w="1764"/>
            <w:tcBorders>
              <w:top w:val="single" w:color="ffffff" w:sz="10" w:space="0" w:shadow="0" w:frame="0"/>
              <w:left w:val="single" w:color="ffffff" w:sz="10" w:space="0" w:shadow="0" w:frame="0"/>
              <w:bottom w:val="single" w:color="ffffff" w:sz="10" w:space="0" w:shadow="0" w:frame="0"/>
              <w:right w:val="single" w:color="ffffff" w:sz="10"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7841"/>
            <w:tcBorders>
              <w:top w:val="single" w:color="ffffff" w:sz="10" w:space="0" w:shadow="0" w:frame="0"/>
              <w:left w:val="single" w:color="ffffff" w:sz="10" w:space="0" w:shadow="0" w:frame="0"/>
              <w:bottom w:val="single" w:color="ffffff" w:sz="10" w:space="0" w:shadow="0" w:frame="0"/>
              <w:right w:val="single" w:color="ffffff" w:sz="10"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22077</w:t>
            </w:r>
          </w:p>
        </w:tc>
      </w:tr>
    </w:tbl>
    <w:p>
      <w:pPr>
        <w:pStyle w:val="Text"/>
      </w:pPr>
    </w:p>
    <w:p>
      <w:pPr>
        <w:pStyle w:val="Text"/>
      </w:pPr>
    </w:p>
    <w:p>
      <w:pPr>
        <w:pStyle w:val="Überschrift (rot)"/>
        <w:bidi w:val="0"/>
        <w:rPr>
          <w:lang w:val="en-US"/>
        </w:rPr>
      </w:pPr>
      <w:r>
        <w:rPr>
          <w:rtl w:val="0"/>
          <w:lang w:val="en-US"/>
        </w:rPr>
        <w:t>#</w:t>
      </w:r>
      <w:r>
        <w:rPr>
          <w:rtl w:val="0"/>
          <w:lang w:val="de-DE"/>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IFAO-Grec Unicode" w:cs="IFAO-Grec Unicode" w:hAnsi="IFAO-Grec Unicode" w:eastAsia="IFAO-Grec Unicode"/>
          <w:sz w:val="24"/>
          <w:szCs w:val="24"/>
          <w:rtl w:val="0"/>
        </w:rPr>
      </w:pPr>
      <w:r>
        <w:rPr>
          <w:rFonts w:ascii="IFAO-Grec Unicode" w:hAnsi="IFAO-Grec Unicode"/>
          <w:sz w:val="24"/>
          <w:szCs w:val="24"/>
          <w:rtl w:val="0"/>
          <w:lang w:val="en-US"/>
        </w:rPr>
        <w:t xml:space="preserve">updates p.oxy;16;1982 </w:t>
      </w:r>
    </w:p>
    <w:p>
      <w:pPr>
        <w:pStyle w:val="Text"/>
        <w:jc w:val="both"/>
        <w:rPr>
          <w:lang w:val="en-US"/>
        </w:rPr>
      </w:pPr>
      <w:r>
        <w:rPr>
          <w:rtl w:val="0"/>
          <w:lang w:val="en-US"/>
        </w:rPr>
        <w:t>&lt;S=.grc</w:t>
      </w:r>
    </w:p>
    <w:p>
      <w:pPr>
        <w:pStyle w:val="Text"/>
        <w:jc w:val="both"/>
        <w:rPr>
          <w:lang w:val="en-US"/>
        </w:rPr>
      </w:pPr>
      <w:r>
        <w:rPr>
          <w:rtl w:val="0"/>
          <w:lang w:val="en-US"/>
        </w:rPr>
        <w:t>&lt;=</w:t>
      </w:r>
    </w:p>
    <w:p>
      <w:pPr>
        <w:pStyle w:val="Text"/>
        <w:jc w:val="both"/>
        <w:rPr>
          <w:lang w:val="en-US"/>
        </w:rPr>
      </w:pPr>
      <w:r>
        <w:rPr>
          <w:rtl w:val="0"/>
          <w:lang w:val="en-US"/>
        </w:rPr>
        <w:t xml:space="preserve">    21.  </w:t>
      </w:r>
      <w:r>
        <w:rPr>
          <w:rtl w:val="0"/>
          <w:lang w:val="en-US"/>
        </w:rPr>
        <w:t xml:space="preserve">κυρία ἡ </w:t>
      </w:r>
      <w:r>
        <w:rPr>
          <w:rtl w:val="0"/>
          <w:lang w:val="en-US"/>
        </w:rPr>
        <w:t>&lt;:</w:t>
      </w:r>
      <w:r>
        <w:rPr>
          <w:rtl w:val="0"/>
          <w:lang w:val="en-US"/>
        </w:rPr>
        <w:t>χειρο</w:t>
      </w:r>
      <w:r>
        <w:rPr>
          <w:rtl w:val="0"/>
          <w:lang w:val="en-US"/>
        </w:rPr>
        <w:t xml:space="preserve">22.- </w:t>
      </w:r>
      <w:r>
        <w:rPr>
          <w:rtl w:val="0"/>
          <w:lang w:val="en-US"/>
        </w:rPr>
        <w:t>γραφία</w:t>
      </w:r>
      <w:r>
        <w:rPr>
          <w:rtl w:val="0"/>
          <w:lang w:val="en-US"/>
        </w:rPr>
        <w:t>|reg|</w:t>
      </w:r>
      <w:r>
        <w:rPr>
          <w:rtl w:val="0"/>
          <w:lang w:val="en-US"/>
        </w:rPr>
        <w:t xml:space="preserve">χειρο </w:t>
      </w:r>
    </w:p>
    <w:p>
      <w:pPr>
        <w:pStyle w:val="Text"/>
        <w:jc w:val="both"/>
        <w:rPr>
          <w:lang w:val="en-US"/>
        </w:rPr>
      </w:pPr>
    </w:p>
    <w:p>
      <w:pPr>
        <w:pStyle w:val="Text"/>
        <w:jc w:val="both"/>
        <w:rPr>
          <w:lang w:val="en-US"/>
        </w:rPr>
      </w:pPr>
      <w:r>
        <w:rPr>
          <w:rtl w:val="0"/>
          <w:lang w:val="en-US"/>
        </w:rPr>
        <w:t xml:space="preserve">    22.- </w:t>
      </w:r>
      <w:r>
        <w:rPr>
          <w:rtl w:val="0"/>
          <w:lang w:val="en-US"/>
        </w:rPr>
        <w:t> γραφεία</w:t>
      </w:r>
      <w:r>
        <w:rPr>
          <w:rtl w:val="0"/>
          <w:lang w:val="en-US"/>
        </w:rPr>
        <w:t xml:space="preserve">:&gt; </w:t>
      </w:r>
      <w:r>
        <w:rPr>
          <w:rtl w:val="0"/>
          <w:lang w:val="en-US"/>
        </w:rPr>
        <w:t xml:space="preserve">ἁπλῆ γραφεῖσα καὶ </w:t>
      </w:r>
      <w:r>
        <w:rPr>
          <w:rtl w:val="0"/>
          <w:lang w:val="en-US"/>
        </w:rPr>
        <w:t>(</w:t>
      </w:r>
      <w:r>
        <w:rPr>
          <w:rtl w:val="0"/>
          <w:lang w:val="en-US"/>
        </w:rPr>
        <w:t>ἐπερ</w:t>
      </w:r>
      <w:r>
        <w:rPr>
          <w:rtl w:val="0"/>
          <w:lang w:val="en-US"/>
        </w:rPr>
        <w:t>(</w:t>
      </w:r>
      <w:r>
        <w:rPr>
          <w:rtl w:val="0"/>
          <w:lang w:val="en-US"/>
        </w:rPr>
        <w:t>ωτηθεὶς</w:t>
      </w:r>
      <w:r>
        <w:rPr>
          <w:rtl w:val="0"/>
          <w:lang w:val="en-US"/>
        </w:rPr>
        <w:t>)) (</w:t>
      </w:r>
      <w:r>
        <w:rPr>
          <w:rtl w:val="0"/>
          <w:lang w:val="en-US"/>
        </w:rPr>
        <w:t>ὡμολ</w:t>
      </w:r>
      <w:r>
        <w:rPr>
          <w:rtl w:val="0"/>
          <w:lang w:val="en-US"/>
        </w:rPr>
        <w:t>(</w:t>
      </w:r>
      <w:r>
        <w:rPr>
          <w:rtl w:val="0"/>
          <w:lang w:val="en-US"/>
        </w:rPr>
        <w:t>όγησα</w:t>
      </w:r>
      <w:r>
        <w:rPr>
          <w:rtl w:val="0"/>
          <w:lang w:val="en-US"/>
        </w:rPr>
        <w:t xml:space="preserve">)). $m2 </w:t>
      </w:r>
      <w:r>
        <w:rPr>
          <w:rtl w:val="0"/>
          <w:lang w:val="en-US"/>
        </w:rPr>
        <w:t>Αὐρήλιος Ἰωσὴφ υ̣ἱ̣ὸ̣ς Ἀβρααμίου̣</w:t>
      </w:r>
    </w:p>
    <w:p>
      <w:pPr>
        <w:pStyle w:val="Text"/>
        <w:jc w:val="both"/>
        <w:rPr>
          <w:lang w:val="en-US"/>
        </w:rPr>
      </w:pPr>
    </w:p>
    <w:p>
      <w:pPr>
        <w:pStyle w:val="Text"/>
        <w:jc w:val="both"/>
        <w:rPr>
          <w:lang w:val="en-US"/>
        </w:rPr>
      </w:pPr>
      <w:r>
        <w:rPr>
          <w:rtl w:val="0"/>
          <w:lang w:val="en-US"/>
        </w:rPr>
        <w:t xml:space="preserve">    23. </w:t>
      </w:r>
      <w:r>
        <w:rPr>
          <w:rtl w:val="0"/>
          <w:lang w:val="en-US"/>
        </w:rPr>
        <w:t xml:space="preserve">ὁ προγεγραμμένο̣ς ἐναπόγρα̣φ̣ος πεπο̣ίη̣μαι τὴ̣ν </w:t>
      </w:r>
      <w:r>
        <w:rPr>
          <w:rtl w:val="0"/>
          <w:lang w:val="en-US"/>
        </w:rPr>
        <w:t>&lt;:(</w:t>
      </w:r>
      <w:r>
        <w:rPr>
          <w:rtl w:val="0"/>
          <w:lang w:val="en-US"/>
        </w:rPr>
        <w:t>χειρογ̣ραφ</w:t>
      </w:r>
      <w:r>
        <w:rPr>
          <w:rtl w:val="0"/>
          <w:lang w:val="en-US"/>
        </w:rPr>
        <w:t>(</w:t>
      </w:r>
      <w:r>
        <w:rPr>
          <w:rtl w:val="0"/>
          <w:lang w:val="en-US"/>
        </w:rPr>
        <w:t>ίαν</w:t>
      </w:r>
      <w:r>
        <w:rPr>
          <w:rtl w:val="0"/>
          <w:lang w:val="en-US"/>
        </w:rPr>
        <w:t>?))|alt|</w:t>
      </w:r>
      <w:r>
        <w:rPr>
          <w:rtl w:val="0"/>
          <w:lang w:val="en-US"/>
        </w:rPr>
        <w:t>χειρογ̣ραφε̣ί̣α̣ν̣</w:t>
      </w:r>
      <w:r>
        <w:rPr>
          <w:rtl w:val="0"/>
          <w:lang w:val="en-US"/>
        </w:rPr>
        <w:t>:&gt;</w:t>
      </w:r>
    </w:p>
    <w:p>
      <w:pPr>
        <w:pStyle w:val="Text"/>
        <w:jc w:val="both"/>
        <w:rPr>
          <w:lang w:val="en-US"/>
        </w:rPr>
      </w:pPr>
    </w:p>
    <w:p>
      <w:pPr>
        <w:pStyle w:val="Text"/>
        <w:jc w:val="both"/>
        <w:rPr>
          <w:lang w:val="en-US"/>
        </w:rPr>
      </w:pPr>
      <w:r>
        <w:rPr>
          <w:rtl w:val="0"/>
          <w:lang w:val="en-US"/>
        </w:rPr>
        <w:t xml:space="preserve">    24.  </w:t>
      </w:r>
      <w:r>
        <w:rPr>
          <w:rtl w:val="0"/>
          <w:lang w:val="en-US"/>
        </w:rPr>
        <w:t>ὑ</w:t>
      </w:r>
      <w:r>
        <w:rPr>
          <w:rtl w:val="0"/>
          <w:lang w:val="en-US"/>
        </w:rPr>
        <w:t>(</w:t>
      </w:r>
      <w:r>
        <w:rPr>
          <w:rtl w:val="0"/>
          <w:lang w:val="en-US"/>
        </w:rPr>
        <w:t>¨</w:t>
      </w:r>
      <w:r>
        <w:rPr>
          <w:rtl w:val="0"/>
          <w:lang w:val="en-US"/>
        </w:rPr>
        <w:t>)</w:t>
      </w:r>
      <w:r>
        <w:rPr>
          <w:rtl w:val="0"/>
          <w:lang w:val="en-US"/>
        </w:rPr>
        <w:t xml:space="preserve">πο̣δεξάμενος τὸν καινὸν ἄξ̣ον̣α̣ κα̣ὶ </w:t>
      </w:r>
      <w:r>
        <w:rPr>
          <w:rtl w:val="0"/>
          <w:lang w:val="en-US"/>
        </w:rPr>
        <w:t>&lt;:</w:t>
      </w:r>
      <w:r>
        <w:rPr>
          <w:rtl w:val="0"/>
          <w:lang w:val="en-US"/>
        </w:rPr>
        <w:t>συμφωνεῖ</w:t>
      </w:r>
      <w:r>
        <w:rPr>
          <w:rtl w:val="0"/>
          <w:lang w:val="en-US"/>
        </w:rPr>
        <w:t>|reg|</w:t>
      </w:r>
      <w:r>
        <w:rPr>
          <w:rtl w:val="0"/>
          <w:lang w:val="en-US"/>
        </w:rPr>
        <w:t>συ̣μ̣φωνῖ</w:t>
      </w:r>
      <w:r>
        <w:rPr>
          <w:rtl w:val="0"/>
          <w:lang w:val="en-US"/>
        </w:rPr>
        <w:t xml:space="preserve">:&gt; </w:t>
      </w:r>
      <w:r>
        <w:rPr>
          <w:rtl w:val="0"/>
          <w:lang w:val="en-US"/>
        </w:rPr>
        <w:t>μοι πάντα τὰ προγεγραμ</w:t>
      </w:r>
    </w:p>
    <w:p>
      <w:pPr>
        <w:pStyle w:val="Text"/>
        <w:jc w:val="both"/>
        <w:rPr>
          <w:lang w:val="en-US"/>
        </w:rPr>
      </w:pPr>
    </w:p>
    <w:p>
      <w:pPr>
        <w:pStyle w:val="Text"/>
        <w:jc w:val="both"/>
        <w:rPr>
          <w:lang w:val="en-US"/>
        </w:rPr>
      </w:pPr>
      <w:r>
        <w:rPr>
          <w:rtl w:val="0"/>
          <w:lang w:val="en-US"/>
        </w:rPr>
        <w:t xml:space="preserve">    25.- </w:t>
      </w:r>
      <w:r>
        <w:rPr>
          <w:rtl w:val="0"/>
          <w:lang w:val="en-US"/>
        </w:rPr>
        <w:t xml:space="preserve">μένα ὡς πρόκειται̣ καὶ </w:t>
      </w:r>
      <w:r>
        <w:rPr>
          <w:rtl w:val="0"/>
          <w:lang w:val="en-US"/>
        </w:rPr>
        <w:t>(</w:t>
      </w:r>
      <w:r>
        <w:rPr>
          <w:rtl w:val="0"/>
          <w:lang w:val="en-US"/>
        </w:rPr>
        <w:t>ἐπερ</w:t>
      </w:r>
      <w:r>
        <w:rPr>
          <w:rtl w:val="0"/>
          <w:lang w:val="en-US"/>
        </w:rPr>
        <w:t>(</w:t>
      </w:r>
      <w:r>
        <w:rPr>
          <w:rtl w:val="0"/>
          <w:lang w:val="en-US"/>
        </w:rPr>
        <w:t>ωτηθεὶς</w:t>
      </w:r>
      <w:r>
        <w:rPr>
          <w:rtl w:val="0"/>
          <w:lang w:val="en-US"/>
        </w:rPr>
        <w:t>)) (</w:t>
      </w:r>
      <w:r>
        <w:rPr>
          <w:rtl w:val="0"/>
          <w:lang w:val="en-US"/>
        </w:rPr>
        <w:t>ὡ̣μ̣ο̣λ</w:t>
      </w:r>
      <w:r>
        <w:rPr>
          <w:rtl w:val="0"/>
          <w:lang w:val="en-US"/>
        </w:rPr>
        <w:t>(</w:t>
      </w:r>
      <w:r>
        <w:rPr>
          <w:rtl w:val="0"/>
          <w:lang w:val="en-US"/>
        </w:rPr>
        <w:t>ώγησα</w:t>
      </w:r>
      <w:r>
        <w:rPr>
          <w:rtl w:val="0"/>
          <w:lang w:val="en-US"/>
        </w:rPr>
        <w:t xml:space="preserve">)). </w:t>
      </w:r>
      <w:r>
        <w:rPr>
          <w:rtl w:val="0"/>
          <w:lang w:val="en-US"/>
        </w:rPr>
        <w:t>Α̣ὐ̣ρ̣ήλι</w:t>
      </w:r>
      <w:r>
        <w:rPr>
          <w:rtl w:val="0"/>
          <w:lang w:val="en-US"/>
        </w:rPr>
        <w:t>[</w:t>
      </w:r>
      <w:r>
        <w:rPr>
          <w:rtl w:val="0"/>
          <w:lang w:val="en-US"/>
        </w:rPr>
        <w:t>ο</w:t>
      </w:r>
      <w:r>
        <w:rPr>
          <w:rtl w:val="0"/>
          <w:lang w:val="en-US"/>
        </w:rPr>
        <w:t>]</w:t>
      </w:r>
      <w:r>
        <w:rPr>
          <w:rtl w:val="0"/>
          <w:lang w:val="en-US"/>
        </w:rPr>
        <w:t>ς Μηνᾶς̣ Ἰουλίου ἀξιωθεὶ̣ς̣ ἔγρ̣αψα̣</w:t>
      </w:r>
    </w:p>
    <w:p>
      <w:pPr>
        <w:pStyle w:val="Text"/>
        <w:jc w:val="both"/>
        <w:rPr>
          <w:lang w:val="en-US"/>
        </w:rPr>
      </w:pPr>
    </w:p>
    <w:p>
      <w:pPr>
        <w:pStyle w:val="Text"/>
        <w:jc w:val="both"/>
        <w:rPr>
          <w:lang w:val="en-US"/>
        </w:rPr>
      </w:pPr>
      <w:r>
        <w:rPr>
          <w:rtl w:val="0"/>
          <w:lang w:val="en-US"/>
        </w:rPr>
        <w:t xml:space="preserve">    26.  </w:t>
      </w:r>
      <w:r>
        <w:rPr>
          <w:rtl w:val="0"/>
          <w:lang w:val="en-US"/>
        </w:rPr>
        <w:t>ὑ</w:t>
      </w:r>
      <w:r>
        <w:rPr>
          <w:rtl w:val="0"/>
          <w:lang w:val="en-US"/>
        </w:rPr>
        <w:t>(</w:t>
      </w:r>
      <w:r>
        <w:rPr>
          <w:rtl w:val="0"/>
          <w:lang w:val="en-US"/>
        </w:rPr>
        <w:t>¨</w:t>
      </w:r>
      <w:r>
        <w:rPr>
          <w:rtl w:val="0"/>
          <w:lang w:val="en-US"/>
        </w:rPr>
        <w:t>)</w:t>
      </w:r>
      <w:r>
        <w:rPr>
          <w:rtl w:val="0"/>
          <w:lang w:val="en-US"/>
        </w:rPr>
        <w:t>πὲρ αὐτοῦ γρά̣μ̣ματα μὴ ε̣ἰ̣δότ̣ος</w:t>
      </w:r>
      <w:r>
        <w:rPr>
          <w:rtl w:val="0"/>
          <w:lang w:val="en-US"/>
        </w:rPr>
        <w:t>.</w:t>
      </w:r>
    </w:p>
    <w:p>
      <w:pPr>
        <w:pStyle w:val="Text"/>
        <w:jc w:val="both"/>
        <w:rPr>
          <w:sz w:val="20"/>
          <w:szCs w:val="20"/>
          <w:lang w:val="en-US"/>
        </w:rPr>
      </w:pPr>
      <w:r>
        <w:rPr>
          <w:rtl w:val="0"/>
          <w:lang w:val="en-US"/>
        </w:rPr>
        <w:t>=&gt;</w:t>
      </w:r>
    </w:p>
    <w:p>
      <w:pPr>
        <w:pStyle w:val="Text"/>
        <w:jc w:val="both"/>
        <w:rPr>
          <w:sz w:val="20"/>
          <w:szCs w:val="20"/>
          <w:lang w:val="en-US"/>
        </w:rPr>
      </w:pPr>
    </w:p>
    <w:p>
      <w:pPr>
        <w:pStyle w:val="Text"/>
        <w:jc w:val="both"/>
        <w:rPr>
          <w:sz w:val="20"/>
          <w:szCs w:val="20"/>
          <w:lang w:val="en-US"/>
        </w:rPr>
      </w:pPr>
    </w:p>
    <w:p>
      <w:pPr>
        <w:pStyle w:val="Überschrift (rot)"/>
        <w:bidi w:val="0"/>
      </w:pPr>
      <w:r>
        <w:rPr>
          <w:rtl w:val="0"/>
        </w:rPr>
        <w:t>#</w:t>
      </w:r>
      <w:r>
        <w:rPr>
          <w:rtl w:val="0"/>
          <w:lang w:val="de-DE"/>
        </w:rPr>
        <w:t>com</w:t>
      </w:r>
      <w:r>
        <w:rPr>
          <w:rtl w:val="0"/>
        </w:rPr>
        <w:t>ment</w:t>
      </w:r>
      <w:r>
        <w:rPr>
          <w:rtl w:val="0"/>
          <w:lang w:val="de-DE"/>
        </w:rPr>
        <w:t>ary</w:t>
      </w:r>
    </w:p>
    <w:p>
      <w:pPr>
        <w:pStyle w:val="Text"/>
        <w:jc w:val="both"/>
      </w:pPr>
      <w:r>
        <w:rPr>
          <w:rtl w:val="0"/>
          <w:lang w:val="en-US"/>
        </w:rPr>
        <w:t>22</w:t>
      </w:r>
      <w:r>
        <w:rPr>
          <w:rtl w:val="0"/>
          <w:lang w:val="en-US"/>
        </w:rPr>
        <w:t>–</w:t>
      </w:r>
      <w:r>
        <w:rPr>
          <w:rtl w:val="0"/>
          <w:lang w:val="en-US"/>
        </w:rPr>
        <w:t>23 On the left of l. 22 there is a mark consisting of a kind of S written to the left of -</w:t>
      </w:r>
      <w:r>
        <w:rPr>
          <w:rtl w:val="0"/>
          <w:lang w:val="en-US"/>
        </w:rPr>
        <w:t>γραφε</w:t>
      </w:r>
      <w:r>
        <w:rPr>
          <w:rtl w:val="0"/>
        </w:rPr>
        <w:t xml:space="preserve">ία </w:t>
      </w:r>
      <w:r>
        <w:rPr>
          <w:rtl w:val="0"/>
          <w:lang w:val="en-US"/>
        </w:rPr>
        <w:t xml:space="preserve">(l. 22), ending at the bottom with a horizontal stroke going rightwards until it reaches the top of </w:t>
      </w:r>
      <w:r>
        <w:rPr>
          <w:rtl w:val="0"/>
        </w:rPr>
        <w:t xml:space="preserve">ὁ </w:t>
      </w:r>
      <w:r>
        <w:rPr>
          <w:rtl w:val="0"/>
          <w:lang w:val="en-US"/>
        </w:rPr>
        <w:t>(l. 23):</w:t>
      </w:r>
    </w:p>
    <w:p>
      <w:pPr>
        <w:pStyle w:val="Text"/>
        <w:jc w:val="center"/>
      </w:pPr>
      <w:r>
        <w:drawing>
          <wp:inline distT="0" distB="0" distL="0" distR="0">
            <wp:extent cx="1549400" cy="1181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a:picLocks noChangeAspect="1"/>
                    </pic:cNvPicPr>
                  </pic:nvPicPr>
                  <pic:blipFill>
                    <a:blip r:embed="rId4">
                      <a:extLst/>
                    </a:blip>
                    <a:stretch>
                      <a:fillRect/>
                    </a:stretch>
                  </pic:blipFill>
                  <pic:spPr>
                    <a:xfrm>
                      <a:off x="0" y="0"/>
                      <a:ext cx="1549400" cy="1181100"/>
                    </a:xfrm>
                    <a:prstGeom prst="rect">
                      <a:avLst/>
                    </a:prstGeom>
                    <a:ln w="12700" cap="flat">
                      <a:noFill/>
                      <a:miter lim="400000"/>
                    </a:ln>
                    <a:effectLst/>
                  </pic:spPr>
                </pic:pic>
              </a:graphicData>
            </a:graphic>
          </wp:inline>
        </w:drawing>
      </w:r>
    </w:p>
    <w:p>
      <w:pPr>
        <w:pStyle w:val="Text"/>
        <w:jc w:val="center"/>
        <w:rPr>
          <w:sz w:val="20"/>
          <w:szCs w:val="20"/>
        </w:rPr>
      </w:pPr>
      <w:r>
        <w:rPr>
          <w:sz w:val="20"/>
          <w:szCs w:val="20"/>
          <w:rtl w:val="0"/>
          <w:lang w:val="en-US"/>
        </w:rPr>
        <w:t>ll. 22</w:t>
      </w:r>
      <w:r>
        <w:rPr>
          <w:sz w:val="20"/>
          <w:szCs w:val="20"/>
          <w:rtl w:val="0"/>
          <w:lang w:val="en-US"/>
        </w:rPr>
        <w:t>–</w:t>
      </w:r>
      <w:r>
        <w:rPr>
          <w:sz w:val="20"/>
          <w:szCs w:val="20"/>
          <w:rtl w:val="0"/>
          <w:lang w:val="en-US"/>
        </w:rPr>
        <w:t>23 (beginning)</w:t>
      </w:r>
    </w:p>
    <w:p>
      <w:pPr>
        <w:pStyle w:val="Text"/>
        <w:jc w:val="center"/>
        <w:rPr>
          <w:lang w:val="en-US"/>
        </w:rPr>
      </w:pPr>
    </w:p>
    <w:p>
      <w:pPr>
        <w:pStyle w:val="Text"/>
        <w:jc w:val="both"/>
      </w:pPr>
      <w:r>
        <w:rPr>
          <w:rtl w:val="0"/>
          <w:lang w:val="en-US"/>
        </w:rPr>
        <w:t xml:space="preserve">On the hypothesis that this sign marks the end of the main part of the document and not the beginning of the </w:t>
      </w:r>
      <w:r>
        <w:rPr>
          <w:rFonts w:ascii="Trebuchet MS" w:hAnsi="Trebuchet MS"/>
          <w:i w:val="1"/>
          <w:iCs w:val="1"/>
          <w:rtl w:val="0"/>
          <w:lang w:val="en-US"/>
        </w:rPr>
        <w:t>hypographe</w:t>
      </w:r>
      <w:r>
        <w:rPr>
          <w:rtl w:val="0"/>
          <w:lang w:val="en-US"/>
        </w:rPr>
        <w:t>, see S. Kovarik, P.K</w:t>
      </w:r>
      <w:r>
        <w:rPr>
          <w:rtl w:val="0"/>
          <w:lang w:val="en-US"/>
        </w:rPr>
        <w:t>ö</w:t>
      </w:r>
      <w:r>
        <w:rPr>
          <w:rtl w:val="0"/>
          <w:lang w:val="en-US"/>
        </w:rPr>
        <w:t>ln 14 583.20 n.</w:t>
      </w:r>
    </w:p>
    <w:p>
      <w:pPr>
        <w:pStyle w:val="Text"/>
        <w:jc w:val="both"/>
      </w:pPr>
      <w:r>
        <w:rPr>
          <w:rtl w:val="0"/>
          <w:lang w:val="en-US"/>
        </w:rPr>
        <w:t xml:space="preserve">22 It is noteworthy that the last word of the clause, </w:t>
      </w:r>
      <w:r>
        <w:rPr>
          <w:rtl w:val="0"/>
        </w:rPr>
        <w:t>ὡμολ</w:t>
      </w:r>
      <w:r>
        <w:rPr>
          <w:rtl w:val="0"/>
        </w:rPr>
        <w:t>(</w:t>
      </w:r>
      <w:r>
        <w:rPr>
          <w:rtl w:val="0"/>
        </w:rPr>
        <w:t>όγησα</w:t>
      </w:r>
      <w:r>
        <w:rPr>
          <w:rtl w:val="0"/>
        </w:rPr>
        <w:t>)</w:t>
      </w:r>
      <w:r>
        <w:rPr>
          <w:rtl w:val="0"/>
          <w:lang w:val="en-US"/>
        </w:rPr>
        <w:t>, written by the first hand, is in darker ink than the preceding words, showing that the scribe had to dip the pen into the ink in order to accomplish his task. The next signature, written by Menas, is written in even darker ink.</w:t>
      </w:r>
    </w:p>
    <w:p>
      <w:pPr>
        <w:pStyle w:val="Text"/>
        <w:jc w:val="both"/>
      </w:pPr>
      <w:r>
        <w:rPr>
          <w:rtl w:val="0"/>
        </w:rPr>
        <w:t>Ἀβρααμίου̣</w:t>
      </w:r>
      <w:r>
        <w:rPr>
          <w:rtl w:val="0"/>
          <w:lang w:val="en-US"/>
        </w:rPr>
        <w:t xml:space="preserve">: </w:t>
      </w:r>
      <w:r>
        <w:rPr>
          <w:rtl w:val="0"/>
          <w:lang w:val="de-DE"/>
        </w:rPr>
        <w:t>υ</w:t>
      </w:r>
      <w:r>
        <w:rPr>
          <w:rtl w:val="0"/>
          <w:lang w:val="en-US"/>
        </w:rPr>
        <w:t xml:space="preserve">̣ </w:t>
      </w:r>
      <w:r>
        <w:rPr>
          <w:rtl w:val="0"/>
          <w:lang w:val="en-US"/>
        </w:rPr>
        <w:t xml:space="preserve">is written on the right over the preceding </w:t>
      </w:r>
      <w:r>
        <w:rPr>
          <w:rtl w:val="0"/>
          <w:lang w:val="en-US"/>
        </w:rPr>
        <w:t>ο</w:t>
      </w:r>
      <w:r>
        <w:rPr>
          <w:rtl w:val="0"/>
          <w:lang w:val="en-US"/>
        </w:rPr>
        <w:t xml:space="preserve">: though abraded, some traces of it are still recognizable under the </w:t>
      </w:r>
      <w:r>
        <w:rPr>
          <w:rtl w:val="0"/>
          <w:lang w:val="en-US"/>
        </w:rPr>
        <w:t xml:space="preserve">ρ </w:t>
      </w:r>
      <w:r>
        <w:rPr>
          <w:rtl w:val="0"/>
          <w:lang w:val="en-US"/>
        </w:rPr>
        <w:t xml:space="preserve">of </w:t>
      </w:r>
      <w:r>
        <w:rPr>
          <w:rtl w:val="0"/>
          <w:lang w:val="en-US"/>
        </w:rPr>
        <w:t>χειρο</w:t>
      </w:r>
      <w:r>
        <w:rPr>
          <w:rtl w:val="0"/>
          <w:lang w:val="en-US"/>
        </w:rPr>
        <w:t>- in l. 21, which is written in darker ink.</w:t>
      </w:r>
    </w:p>
    <w:p>
      <w:pPr>
        <w:pStyle w:val="Text"/>
        <w:jc w:val="both"/>
      </w:pPr>
      <w:r>
        <w:rPr>
          <w:rtl w:val="0"/>
          <w:lang w:val="en-US"/>
        </w:rPr>
        <w:t>23</w:t>
      </w:r>
      <w:r>
        <w:rPr>
          <w:rtl w:val="0"/>
          <w:lang w:val="en-US"/>
        </w:rPr>
        <w:t>–</w:t>
      </w:r>
      <w:r>
        <w:rPr>
          <w:rtl w:val="0"/>
          <w:lang w:val="en-US"/>
        </w:rPr>
        <w:t xml:space="preserve">26 The lines are written in </w:t>
      </w:r>
      <w:r>
        <w:rPr>
          <w:rFonts w:ascii="Trebuchet MS" w:hAnsi="Trebuchet MS"/>
          <w:i w:val="1"/>
          <w:iCs w:val="1"/>
          <w:rtl w:val="0"/>
          <w:lang w:val="en-US"/>
        </w:rPr>
        <w:t>eisthesis</w:t>
      </w:r>
      <w:r>
        <w:rPr>
          <w:rtl w:val="0"/>
          <w:lang w:val="en-US"/>
        </w:rPr>
        <w:t xml:space="preserve">. </w:t>
      </w:r>
    </w:p>
    <w:p>
      <w:pPr>
        <w:pStyle w:val="Text"/>
        <w:jc w:val="both"/>
        <w:rPr>
          <w:lang w:val="en-US"/>
        </w:rPr>
      </w:pPr>
      <w:r>
        <w:rPr>
          <w:rtl w:val="0"/>
          <w:lang w:val="en-US"/>
        </w:rPr>
        <w:t>26 This expression, which indicates the illiteracy of the contracting party, normally occurs in the fifth century; see Kovarik, P.K</w:t>
      </w:r>
      <w:r>
        <w:rPr>
          <w:rtl w:val="0"/>
          <w:lang w:val="en-US"/>
        </w:rPr>
        <w:t>ö</w:t>
      </w:r>
      <w:r>
        <w:rPr>
          <w:rtl w:val="0"/>
          <w:lang w:val="en-US"/>
        </w:rPr>
        <w:t xml:space="preserve">ln 14 583.24 n.  </w:t>
      </w:r>
    </w:p>
    <w:p>
      <w:pPr>
        <w:pStyle w:val="Text"/>
        <w:jc w:val="both"/>
        <w:rPr>
          <w:lang w:val="en-US"/>
        </w:rPr>
      </w:pPr>
    </w:p>
    <w:p>
      <w:pPr>
        <w:pStyle w:val="Text"/>
        <w:jc w:val="both"/>
      </w:pPr>
    </w:p>
    <w:p>
      <w:pPr>
        <w:pStyle w:val="Überschrift (rot)"/>
        <w:bidi w:val="0"/>
      </w:pPr>
      <w:r>
        <w:rPr>
          <w:rtl w:val="0"/>
        </w:rPr>
        <w:t>#article</w:t>
      </w:r>
      <w:r>
        <w:rPr>
          <w:rtl w:val="0"/>
          <w:lang w:val="de-DE"/>
        </w:rPr>
        <w:t>H</w:t>
      </w:r>
      <w:r>
        <w:rPr>
          <w:rtl w:val="0"/>
        </w:rPr>
        <w:t>e</w:t>
      </w:r>
      <w:r>
        <w:rPr>
          <w:rtl w:val="0"/>
          <w:lang w:val="de-DE"/>
        </w:rPr>
        <w:t>ader</w:t>
      </w:r>
    </w:p>
    <w:p>
      <w:pPr>
        <w:pStyle w:val="Text"/>
        <w:rPr>
          <w:rFonts w:ascii="Trebuchet MS" w:cs="Trebuchet MS" w:hAnsi="Trebuchet MS" w:eastAsia="Trebuchet MS"/>
          <w:b w:val="1"/>
          <w:bCs w:val="1"/>
        </w:rPr>
      </w:pPr>
      <w:r>
        <w:rPr>
          <w:rStyle w:val="Hyperlink.1"/>
        </w:rPr>
        <w:fldChar w:fldCharType="begin" w:fldLock="0"/>
      </w:r>
      <w:r>
        <w:rPr>
          <w:rStyle w:val="Hyperlink.1"/>
        </w:rPr>
        <w:instrText xml:space="preserve"> HYPERLINK "https://papyri.info/ddbdp/p.oxy;16;1987"</w:instrText>
      </w:r>
      <w:r>
        <w:rPr>
          <w:rStyle w:val="Hyperlink.1"/>
        </w:rPr>
        <w:fldChar w:fldCharType="separate" w:fldLock="0"/>
      </w:r>
      <w:r>
        <w:rPr>
          <w:rStyle w:val="Hyperlink.1"/>
          <w:rtl w:val="0"/>
        </w:rPr>
        <w:t>P.Oxy. XVI 1987</w:t>
      </w:r>
      <w:r>
        <w:rPr/>
        <w:fldChar w:fldCharType="end" w:fldLock="0"/>
      </w:r>
      <w:r>
        <w:rPr>
          <w:rFonts w:ascii="Trebuchet MS" w:cs="Trebuchet MS" w:hAnsi="Trebuchet MS" w:eastAsia="Trebuchet MS"/>
          <w:b w:val="1"/>
          <w:bCs w:val="1"/>
          <w:vertAlign w:val="superscript"/>
          <w:lang w:val="en-US"/>
        </w:rPr>
        <w:footnoteReference w:id="7"/>
      </w:r>
    </w:p>
    <w:p>
      <w:pPr>
        <w:pStyle w:val="Text"/>
        <w:jc w:val="both"/>
        <w:rPr>
          <w:lang w:val="en-US"/>
        </w:rPr>
      </w:pPr>
    </w:p>
    <w:p>
      <w:pPr>
        <w:pStyle w:val="Text"/>
        <w:jc w:val="both"/>
      </w:pPr>
      <w:r>
        <w:rPr>
          <w:rtl w:val="0"/>
          <w:lang w:val="en-US"/>
        </w:rPr>
        <w:t xml:space="preserve">The date clause at the beginning of this receipt of 587 corresponds to a characteristic Oxyrhynchite formula of the emperor Mauricius; cf. </w:t>
      </w:r>
      <w:r>
        <w:rPr>
          <w:rStyle w:val="Link"/>
        </w:rPr>
        <w:fldChar w:fldCharType="begin" w:fldLock="0"/>
      </w:r>
      <w:r>
        <w:rPr>
          <w:rStyle w:val="Link"/>
        </w:rPr>
        <w:instrText xml:space="preserve"> HYPERLINK "https://papyri.info/biblio/9049"</w:instrText>
      </w:r>
      <w:r>
        <w:rPr>
          <w:rStyle w:val="Link"/>
        </w:rPr>
        <w:fldChar w:fldCharType="separate" w:fldLock="0"/>
      </w:r>
      <w:r>
        <w:rPr>
          <w:rStyle w:val="Link"/>
          <w:rtl w:val="0"/>
          <w:lang w:val="en-US"/>
        </w:rPr>
        <w:t>Bagnall and Worp, CSBE</w:t>
      </w:r>
      <w:r>
        <w:rPr/>
        <w:fldChar w:fldCharType="end" w:fldLock="0"/>
      </w:r>
      <w:r>
        <w:rPr>
          <w:rFonts w:ascii="Trebuchet MS" w:cs="Arial Unicode MS" w:hAnsi="Trebuchet MS" w:eastAsia="Arial Unicode MS"/>
          <w:b w:val="0"/>
          <w:bCs w:val="0"/>
          <w:i w:val="1"/>
          <w:iCs w:val="1"/>
          <w:vertAlign w:val="superscript"/>
          <w:rtl w:val="0"/>
          <w:lang w:val="en-US"/>
        </w:rPr>
        <w:t>2</w:t>
      </w:r>
      <w:r>
        <w:rPr>
          <w:rtl w:val="0"/>
          <w:lang w:val="en-US"/>
        </w:rPr>
        <w:t>, pp. 260</w:t>
      </w:r>
      <w:r>
        <w:rPr>
          <w:rtl w:val="0"/>
          <w:lang w:val="en-US"/>
        </w:rPr>
        <w:t>–</w:t>
      </w:r>
      <w:r>
        <w:rPr>
          <w:rtl w:val="0"/>
          <w:lang w:val="en-US"/>
        </w:rPr>
        <w:t>261, no.</w:t>
      </w:r>
      <w:r>
        <w:rPr>
          <w:rFonts w:ascii="Trebuchet MS" w:hAnsi="Trebuchet MS"/>
          <w:i w:val="1"/>
          <w:iCs w:val="1"/>
          <w:rtl w:val="0"/>
          <w:lang w:val="en-US"/>
        </w:rPr>
        <w:t xml:space="preserve"> </w:t>
      </w:r>
      <w:r>
        <w:rPr>
          <w:rtl w:val="0"/>
          <w:lang w:val="en-US"/>
        </w:rPr>
        <w:t>(3). A revision of the papyrus based on the digital image leads to the discovery of a graphical feature within the regnal formula, which has escaped the attention of the scholars so far. Such a feature might be significant to determine the way in which scribes employed by notaries</w:t>
      </w:r>
      <w:r>
        <w:rPr>
          <w:color w:val="ff0000"/>
          <w:u w:color="ff0000"/>
          <w:rtl w:val="0"/>
          <w:lang w:val="en-US"/>
        </w:rPr>
        <w:t xml:space="preserve"> </w:t>
      </w:r>
      <w:r>
        <w:rPr>
          <w:rtl w:val="0"/>
          <w:lang w:val="en-US"/>
        </w:rPr>
        <w:t xml:space="preserve">used to work. </w:t>
      </w:r>
    </w:p>
    <w:p>
      <w:pPr>
        <w:pStyle w:val="Text"/>
        <w:jc w:val="both"/>
      </w:pPr>
      <w:r>
        <w:rPr>
          <w:rtl w:val="0"/>
          <w:lang w:val="en-US"/>
        </w:rPr>
        <w:t>The regnal formula in ll. 1</w:t>
      </w:r>
      <w:r>
        <w:rPr>
          <w:rtl w:val="0"/>
          <w:lang w:val="en-US"/>
        </w:rPr>
        <w:t>–</w:t>
      </w:r>
      <w:r>
        <w:rPr>
          <w:rtl w:val="0"/>
          <w:lang w:val="en-US"/>
        </w:rPr>
        <w:t xml:space="preserve">3 reads as follows: </w:t>
      </w:r>
      <w:r>
        <w:rPr>
          <w:rtl w:val="0"/>
          <w:lang w:val="en-US"/>
        </w:rPr>
        <w:t>† βασιλε</w:t>
      </w:r>
      <w:r>
        <w:rPr>
          <w:rtl w:val="0"/>
        </w:rPr>
        <w:t xml:space="preserve">ίας </w:t>
      </w:r>
      <w:r>
        <w:rPr>
          <w:rtl w:val="0"/>
          <w:lang w:val="de-DE"/>
        </w:rPr>
        <w:t>το</w:t>
      </w:r>
      <w:r>
        <w:rPr>
          <w:rtl w:val="0"/>
        </w:rPr>
        <w:t>ῦ θειοτάτου καὶ εὐσεβ</w:t>
      </w:r>
      <w:r>
        <w:rPr>
          <w:rtl w:val="0"/>
        </w:rPr>
        <w:t>(</w:t>
      </w:r>
      <w:r>
        <w:rPr>
          <w:rtl w:val="0"/>
        </w:rPr>
        <w:t>εστάτου</w:t>
      </w:r>
      <w:r>
        <w:rPr>
          <w:rtl w:val="0"/>
        </w:rPr>
        <w:t xml:space="preserve">) </w:t>
      </w:r>
      <w:r>
        <w:rPr>
          <w:rtl w:val="0"/>
        </w:rPr>
        <w:t xml:space="preserve">ἡμῶν </w:t>
      </w:r>
      <w:r>
        <w:rPr>
          <w:rtl w:val="0"/>
        </w:rPr>
        <w:t xml:space="preserve">| </w:t>
      </w:r>
      <w:r>
        <w:rPr>
          <w:rtl w:val="0"/>
        </w:rPr>
        <w:t>δεσπό̣</w:t>
      </w:r>
      <w:r>
        <w:rPr>
          <w:rtl w:val="0"/>
        </w:rPr>
        <w:t>(</w:t>
      </w:r>
      <w:r>
        <w:rPr>
          <w:rtl w:val="0"/>
        </w:rPr>
        <w:t>του</w:t>
      </w:r>
      <w:r>
        <w:rPr>
          <w:rtl w:val="0"/>
        </w:rPr>
        <w:t xml:space="preserve">) </w:t>
      </w:r>
      <w:r>
        <w:rPr>
          <w:rtl w:val="0"/>
        </w:rPr>
        <w:t>μεγίστου εὐεργέτου Φλ</w:t>
      </w:r>
      <w:r>
        <w:rPr>
          <w:rtl w:val="0"/>
        </w:rPr>
        <w:t>(</w:t>
      </w:r>
      <w:r>
        <w:rPr>
          <w:rtl w:val="0"/>
        </w:rPr>
        <w:t>αουί̈ου</w:t>
      </w:r>
      <w:r>
        <w:rPr>
          <w:rtl w:val="0"/>
        </w:rPr>
        <w:t xml:space="preserve">) </w:t>
      </w:r>
      <w:r>
        <w:rPr>
          <w:rtl w:val="0"/>
        </w:rPr>
        <w:t>Τιβε̣ρ̣ίου Μαυρικ</w:t>
      </w:r>
      <w:r>
        <w:rPr>
          <w:rtl w:val="0"/>
        </w:rPr>
        <w:t>(</w:t>
      </w:r>
      <w:r>
        <w:rPr>
          <w:rtl w:val="0"/>
        </w:rPr>
        <w:t>ίου</w:t>
      </w:r>
      <w:r>
        <w:rPr>
          <w:rtl w:val="0"/>
        </w:rPr>
        <w:t xml:space="preserve">) </w:t>
      </w:r>
      <w:r>
        <w:rPr>
          <w:rtl w:val="0"/>
        </w:rPr>
        <w:t xml:space="preserve">τοῦ </w:t>
      </w:r>
      <w:r>
        <w:rPr>
          <w:rtl w:val="0"/>
        </w:rPr>
        <w:t xml:space="preserve">| </w:t>
      </w:r>
      <w:r>
        <w:rPr>
          <w:rtl w:val="0"/>
        </w:rPr>
        <w:t>αἰωνίου Αὐγούστου καὶ Αὐτοκρ</w:t>
      </w:r>
      <w:r>
        <w:rPr>
          <w:rtl w:val="0"/>
        </w:rPr>
        <w:t>(</w:t>
      </w:r>
      <w:r>
        <w:rPr>
          <w:rtl w:val="0"/>
        </w:rPr>
        <w:t>άτορος</w:t>
      </w:r>
      <w:r>
        <w:rPr>
          <w:rtl w:val="0"/>
        </w:rPr>
        <w:t xml:space="preserve">) </w:t>
      </w:r>
      <w:r>
        <w:rPr>
          <w:rtl w:val="0"/>
        </w:rPr>
        <w:t>ἔτους ε̄</w:t>
      </w:r>
      <w:r>
        <w:rPr>
          <w:rtl w:val="0"/>
          <w:lang w:val="en-US"/>
        </w:rPr>
        <w:t>:</w:t>
      </w:r>
    </w:p>
    <w:p>
      <w:pPr>
        <w:pStyle w:val="Text"/>
        <w:jc w:val="both"/>
        <w:rPr>
          <w:lang w:val="en-US"/>
        </w:rPr>
      </w:pPr>
    </w:p>
    <w:p>
      <w:pPr>
        <w:pStyle w:val="Text"/>
        <w:jc w:val="both"/>
      </w:pPr>
      <w:r>
        <w:drawing>
          <wp:inline distT="0" distB="0" distL="0" distR="0">
            <wp:extent cx="6116320" cy="163004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6116320" cy="1630045"/>
                    </a:xfrm>
                    <a:prstGeom prst="rect">
                      <a:avLst/>
                    </a:prstGeom>
                    <a:ln w="12700" cap="flat">
                      <a:noFill/>
                      <a:miter lim="400000"/>
                    </a:ln>
                    <a:effectLst/>
                  </pic:spPr>
                </pic:pic>
              </a:graphicData>
            </a:graphic>
          </wp:inline>
        </w:drawing>
      </w:r>
    </w:p>
    <w:p>
      <w:pPr>
        <w:pStyle w:val="Text"/>
        <w:jc w:val="both"/>
        <w:rPr>
          <w:sz w:val="20"/>
          <w:szCs w:val="20"/>
        </w:rPr>
      </w:pPr>
      <w:r>
        <w:rPr>
          <w:sz w:val="20"/>
          <w:szCs w:val="20"/>
          <w:rtl w:val="0"/>
          <w:lang w:val="en-US"/>
        </w:rPr>
        <w:t>P.Oxy. 16 1987.1</w:t>
      </w:r>
      <w:r>
        <w:rPr>
          <w:sz w:val="20"/>
          <w:szCs w:val="20"/>
          <w:rtl w:val="0"/>
          <w:lang w:val="en-US"/>
        </w:rPr>
        <w:t>–</w:t>
      </w:r>
      <w:r>
        <w:rPr>
          <w:sz w:val="20"/>
          <w:szCs w:val="20"/>
          <w:rtl w:val="0"/>
          <w:lang w:val="en-US"/>
        </w:rPr>
        <w:t xml:space="preserve">3: </w:t>
      </w:r>
      <w:r>
        <w:rPr>
          <w:sz w:val="20"/>
          <w:szCs w:val="20"/>
          <w:rtl w:val="0"/>
          <w:lang w:val="en-US"/>
        </w:rPr>
        <w:t>† βασιλε</w:t>
      </w:r>
      <w:r>
        <w:rPr>
          <w:sz w:val="20"/>
          <w:szCs w:val="20"/>
          <w:rtl w:val="0"/>
        </w:rPr>
        <w:t xml:space="preserve">ίας </w:t>
      </w:r>
      <w:r>
        <w:rPr>
          <w:sz w:val="20"/>
          <w:szCs w:val="20"/>
          <w:rtl w:val="0"/>
          <w:lang w:val="de-DE"/>
        </w:rPr>
        <w:t>το</w:t>
      </w:r>
      <w:r>
        <w:rPr>
          <w:sz w:val="20"/>
          <w:szCs w:val="20"/>
          <w:rtl w:val="0"/>
        </w:rPr>
        <w:t>ῦ θειοτάτου καὶ εὐσεβ</w:t>
      </w:r>
      <w:r>
        <w:rPr>
          <w:sz w:val="20"/>
          <w:szCs w:val="20"/>
          <w:rtl w:val="0"/>
        </w:rPr>
        <w:t>(</w:t>
      </w:r>
      <w:r>
        <w:rPr>
          <w:sz w:val="20"/>
          <w:szCs w:val="20"/>
          <w:rtl w:val="0"/>
        </w:rPr>
        <w:t>εστάτου</w:t>
      </w:r>
      <w:r>
        <w:rPr>
          <w:sz w:val="20"/>
          <w:szCs w:val="20"/>
          <w:rtl w:val="0"/>
        </w:rPr>
        <w:t xml:space="preserve">) </w:t>
      </w:r>
      <w:r>
        <w:rPr>
          <w:sz w:val="20"/>
          <w:szCs w:val="20"/>
          <w:rtl w:val="0"/>
        </w:rPr>
        <w:t xml:space="preserve">ἡμῶν </w:t>
      </w:r>
      <w:r>
        <w:rPr>
          <w:sz w:val="20"/>
          <w:szCs w:val="20"/>
          <w:rtl w:val="0"/>
        </w:rPr>
        <w:t xml:space="preserve">| </w:t>
      </w:r>
      <w:r>
        <w:rPr>
          <w:sz w:val="20"/>
          <w:szCs w:val="20"/>
          <w:rtl w:val="0"/>
        </w:rPr>
        <w:t>δεσπό̣</w:t>
      </w:r>
      <w:r>
        <w:rPr>
          <w:sz w:val="20"/>
          <w:szCs w:val="20"/>
          <w:rtl w:val="0"/>
        </w:rPr>
        <w:t>(</w:t>
      </w:r>
      <w:r>
        <w:rPr>
          <w:sz w:val="20"/>
          <w:szCs w:val="20"/>
          <w:rtl w:val="0"/>
        </w:rPr>
        <w:t>του</w:t>
      </w:r>
      <w:r>
        <w:rPr>
          <w:sz w:val="20"/>
          <w:szCs w:val="20"/>
          <w:rtl w:val="0"/>
        </w:rPr>
        <w:t xml:space="preserve">) </w:t>
      </w:r>
      <w:r>
        <w:rPr>
          <w:sz w:val="20"/>
          <w:szCs w:val="20"/>
          <w:rtl w:val="0"/>
        </w:rPr>
        <w:t>μεγίστου εὐεργέτου Φλ</w:t>
      </w:r>
      <w:r>
        <w:rPr>
          <w:sz w:val="20"/>
          <w:szCs w:val="20"/>
          <w:rtl w:val="0"/>
        </w:rPr>
        <w:t>(</w:t>
      </w:r>
      <w:r>
        <w:rPr>
          <w:sz w:val="20"/>
          <w:szCs w:val="20"/>
          <w:rtl w:val="0"/>
        </w:rPr>
        <w:t>αουί̈ου</w:t>
      </w:r>
      <w:r>
        <w:rPr>
          <w:sz w:val="20"/>
          <w:szCs w:val="20"/>
          <w:rtl w:val="0"/>
        </w:rPr>
        <w:t xml:space="preserve">) </w:t>
      </w:r>
      <w:r>
        <w:rPr>
          <w:sz w:val="20"/>
          <w:szCs w:val="20"/>
          <w:rtl w:val="0"/>
        </w:rPr>
        <w:t>Τιβε̣ρ̣ίου Μαυρικ</w:t>
      </w:r>
      <w:r>
        <w:rPr>
          <w:sz w:val="20"/>
          <w:szCs w:val="20"/>
          <w:rtl w:val="0"/>
        </w:rPr>
        <w:t>(</w:t>
      </w:r>
      <w:r>
        <w:rPr>
          <w:sz w:val="20"/>
          <w:szCs w:val="20"/>
          <w:rtl w:val="0"/>
        </w:rPr>
        <w:t>ίου</w:t>
      </w:r>
      <w:r>
        <w:rPr>
          <w:sz w:val="20"/>
          <w:szCs w:val="20"/>
          <w:rtl w:val="0"/>
        </w:rPr>
        <w:t xml:space="preserve">) </w:t>
      </w:r>
      <w:r>
        <w:rPr>
          <w:sz w:val="20"/>
          <w:szCs w:val="20"/>
          <w:rtl w:val="0"/>
        </w:rPr>
        <w:t xml:space="preserve">τοῦ </w:t>
      </w:r>
      <w:r>
        <w:rPr>
          <w:sz w:val="20"/>
          <w:szCs w:val="20"/>
          <w:rtl w:val="0"/>
        </w:rPr>
        <w:t xml:space="preserve">| </w:t>
      </w:r>
      <w:r>
        <w:rPr>
          <w:sz w:val="20"/>
          <w:szCs w:val="20"/>
          <w:rtl w:val="0"/>
        </w:rPr>
        <w:t>αἰωνίου Αὐγούστου καὶ Αὐτοκρ</w:t>
      </w:r>
      <w:r>
        <w:rPr>
          <w:sz w:val="20"/>
          <w:szCs w:val="20"/>
          <w:rtl w:val="0"/>
        </w:rPr>
        <w:t>(</w:t>
      </w:r>
      <w:r>
        <w:rPr>
          <w:sz w:val="20"/>
          <w:szCs w:val="20"/>
          <w:rtl w:val="0"/>
        </w:rPr>
        <w:t>άτορος</w:t>
      </w:r>
      <w:r>
        <w:rPr>
          <w:sz w:val="20"/>
          <w:szCs w:val="20"/>
          <w:rtl w:val="0"/>
        </w:rPr>
        <w:t xml:space="preserve">) </w:t>
      </w:r>
      <w:r>
        <w:rPr>
          <w:sz w:val="20"/>
          <w:szCs w:val="20"/>
          <w:rtl w:val="0"/>
        </w:rPr>
        <w:t>ἔτους ε̄</w:t>
      </w:r>
    </w:p>
    <w:p>
      <w:pPr>
        <w:pStyle w:val="Text"/>
        <w:jc w:val="both"/>
        <w:rPr>
          <w:lang w:val="en-US"/>
        </w:rPr>
      </w:pPr>
    </w:p>
    <w:p>
      <w:pPr>
        <w:pStyle w:val="Text"/>
        <w:jc w:val="both"/>
      </w:pPr>
      <w:r>
        <w:rPr>
          <w:rtl w:val="0"/>
          <w:lang w:val="en-US"/>
        </w:rPr>
        <w:t xml:space="preserve">However, the second </w:t>
      </w:r>
      <w:r>
        <w:rPr>
          <w:rtl w:val="0"/>
          <w:lang w:val="en-US"/>
        </w:rPr>
        <w:t xml:space="preserve">ε </w:t>
      </w:r>
      <w:r>
        <w:rPr>
          <w:rtl w:val="0"/>
          <w:lang w:val="en-US"/>
        </w:rPr>
        <w:t xml:space="preserve">of </w:t>
      </w:r>
      <w:r>
        <w:rPr>
          <w:rtl w:val="0"/>
          <w:lang w:val="de-DE"/>
        </w:rPr>
        <w:t>ε</w:t>
      </w:r>
      <w:r>
        <w:rPr>
          <w:rtl w:val="0"/>
        </w:rPr>
        <w:t xml:space="preserve">ὐεργέτου </w:t>
      </w:r>
      <w:r>
        <w:rPr>
          <w:rtl w:val="0"/>
          <w:lang w:val="en-US"/>
        </w:rPr>
        <w:t xml:space="preserve">in l. 2 is clearly corrected out of </w:t>
      </w:r>
      <w:r>
        <w:rPr>
          <w:rtl w:val="0"/>
          <w:lang w:val="de-DE"/>
        </w:rPr>
        <w:t>σ</w:t>
      </w:r>
      <w:r>
        <w:rPr>
          <w:rtl w:val="0"/>
          <w:lang w:val="en-US"/>
        </w:rPr>
        <w:t>, cf. the following scan:</w:t>
      </w:r>
    </w:p>
    <w:p>
      <w:pPr>
        <w:pStyle w:val="Text"/>
        <w:jc w:val="both"/>
        <w:rPr>
          <w:lang w:val="en-US"/>
        </w:rPr>
      </w:pPr>
    </w:p>
    <w:p>
      <w:pPr>
        <w:pStyle w:val="Text"/>
        <w:jc w:val="center"/>
      </w:pPr>
      <w:r>
        <w:drawing>
          <wp:inline distT="0" distB="0" distL="0" distR="0">
            <wp:extent cx="1689100" cy="9271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689100" cy="927100"/>
                    </a:xfrm>
                    <a:prstGeom prst="rect">
                      <a:avLst/>
                    </a:prstGeom>
                    <a:ln w="12700" cap="flat">
                      <a:noFill/>
                      <a:miter lim="400000"/>
                    </a:ln>
                    <a:effectLst/>
                  </pic:spPr>
                </pic:pic>
              </a:graphicData>
            </a:graphic>
          </wp:inline>
        </w:drawing>
      </w:r>
    </w:p>
    <w:p>
      <w:pPr>
        <w:pStyle w:val="Text"/>
        <w:jc w:val="center"/>
        <w:rPr>
          <w:sz w:val="20"/>
          <w:szCs w:val="20"/>
        </w:rPr>
      </w:pPr>
      <w:r>
        <w:rPr>
          <w:sz w:val="20"/>
          <w:szCs w:val="20"/>
          <w:rtl w:val="0"/>
          <w:lang w:val="en-US"/>
        </w:rPr>
        <w:t xml:space="preserve">P.Oxy. 16 1987.2: </w:t>
      </w:r>
      <w:r>
        <w:rPr>
          <w:sz w:val="20"/>
          <w:szCs w:val="20"/>
          <w:rtl w:val="0"/>
          <w:lang w:val="en-US"/>
        </w:rPr>
        <w:t>ε</w:t>
      </w:r>
      <w:r>
        <w:rPr>
          <w:sz w:val="20"/>
          <w:szCs w:val="20"/>
          <w:rtl w:val="0"/>
        </w:rPr>
        <w:t xml:space="preserve">ὐεργέτου </w:t>
      </w:r>
      <w:r>
        <w:rPr>
          <w:sz w:val="20"/>
          <w:szCs w:val="20"/>
          <w:rtl w:val="0"/>
          <w:lang w:val="en-US"/>
        </w:rPr>
        <w:t>(</w:t>
      </w:r>
      <w:r>
        <w:rPr>
          <w:rFonts w:ascii="Trebuchet MS" w:hAnsi="Trebuchet MS"/>
          <w:i w:val="1"/>
          <w:iCs w:val="1"/>
          <w:sz w:val="20"/>
          <w:szCs w:val="20"/>
          <w:rtl w:val="0"/>
          <w:lang w:val="en-US"/>
        </w:rPr>
        <w:t xml:space="preserve">alt. </w:t>
      </w:r>
      <w:r>
        <w:rPr>
          <w:sz w:val="20"/>
          <w:szCs w:val="20"/>
          <w:rtl w:val="0"/>
          <w:lang w:val="en-US"/>
        </w:rPr>
        <w:t xml:space="preserve">ε </w:t>
      </w:r>
      <w:r>
        <w:rPr>
          <w:rFonts w:ascii="Trebuchet MS" w:hAnsi="Trebuchet MS"/>
          <w:i w:val="1"/>
          <w:iCs w:val="1"/>
          <w:sz w:val="20"/>
          <w:szCs w:val="20"/>
          <w:rtl w:val="0"/>
          <w:lang w:val="en-US"/>
        </w:rPr>
        <w:t>ex</w:t>
      </w:r>
      <w:r>
        <w:rPr>
          <w:sz w:val="20"/>
          <w:szCs w:val="20"/>
          <w:rtl w:val="0"/>
          <w:lang w:val="en-US"/>
        </w:rPr>
        <w:t xml:space="preserve"> σ</w:t>
      </w:r>
      <w:r>
        <w:rPr>
          <w:sz w:val="20"/>
          <w:szCs w:val="20"/>
          <w:rtl w:val="0"/>
          <w:lang w:val="en-US"/>
        </w:rPr>
        <w:t>)</w:t>
      </w:r>
    </w:p>
    <w:p>
      <w:pPr>
        <w:pStyle w:val="Text"/>
        <w:jc w:val="both"/>
      </w:pPr>
      <w:r>
        <w:rPr>
          <w:rtl w:val="0"/>
          <w:lang w:val="en-US"/>
        </w:rPr>
        <w:t xml:space="preserve"> </w:t>
      </w:r>
    </w:p>
    <w:p>
      <w:pPr>
        <w:pStyle w:val="Text"/>
        <w:jc w:val="both"/>
      </w:pPr>
      <w:r>
        <w:rPr>
          <w:rtl w:val="0"/>
          <w:lang w:val="en-US"/>
        </w:rPr>
        <w:t xml:space="preserve">Such a feature, though apparently insignificant, gives interesting insights into the working methods of notarial clerks, since it is possible that our scribe at this point had the adjective </w:t>
      </w:r>
      <w:r>
        <w:rPr>
          <w:rtl w:val="0"/>
          <w:lang w:val="en-US"/>
        </w:rPr>
        <w:t>ε</w:t>
      </w:r>
      <w:r>
        <w:rPr>
          <w:rtl w:val="0"/>
        </w:rPr>
        <w:t xml:space="preserve">ὐσεβεστάτου </w:t>
      </w:r>
      <w:r>
        <w:rPr>
          <w:rtl w:val="0"/>
          <w:lang w:val="en-US"/>
        </w:rPr>
        <w:t xml:space="preserve">in mind and therefore wrote </w:t>
      </w:r>
      <w:r>
        <w:rPr>
          <w:rtl w:val="0"/>
          <w:lang w:val="en-US"/>
        </w:rPr>
        <w:t xml:space="preserve">σ </w:t>
      </w:r>
      <w:r>
        <w:rPr>
          <w:rtl w:val="0"/>
          <w:lang w:val="en-US"/>
        </w:rPr>
        <w:t xml:space="preserve">instead of </w:t>
      </w:r>
      <w:r>
        <w:rPr>
          <w:rtl w:val="0"/>
          <w:lang w:val="en-US"/>
        </w:rPr>
        <w:t>ε</w:t>
      </w:r>
      <w:r>
        <w:rPr>
          <w:rtl w:val="0"/>
          <w:lang w:val="en-US"/>
        </w:rPr>
        <w:t xml:space="preserve">. Such a confusion might have been due to a </w:t>
      </w:r>
      <w:r>
        <w:rPr>
          <w:rFonts w:ascii="Trebuchet MS" w:hAnsi="Trebuchet MS"/>
          <w:i w:val="1"/>
          <w:iCs w:val="1"/>
          <w:rtl w:val="0"/>
          <w:lang w:val="en-US"/>
        </w:rPr>
        <w:t>saut du m</w:t>
      </w:r>
      <w:r>
        <w:rPr>
          <w:rFonts w:ascii="Trebuchet MS" w:hAnsi="Trebuchet MS" w:hint="default"/>
          <w:i w:val="1"/>
          <w:iCs w:val="1"/>
          <w:rtl w:val="0"/>
          <w:lang w:val="en-US"/>
        </w:rPr>
        <w:t>ê</w:t>
      </w:r>
      <w:r>
        <w:rPr>
          <w:rFonts w:ascii="Trebuchet MS" w:hAnsi="Trebuchet MS"/>
          <w:i w:val="1"/>
          <w:iCs w:val="1"/>
          <w:rtl w:val="0"/>
          <w:lang w:val="en-US"/>
        </w:rPr>
        <w:t>me au m</w:t>
      </w:r>
      <w:r>
        <w:rPr>
          <w:rFonts w:ascii="Trebuchet MS" w:hAnsi="Trebuchet MS" w:hint="default"/>
          <w:i w:val="1"/>
          <w:iCs w:val="1"/>
          <w:rtl w:val="0"/>
          <w:lang w:val="en-US"/>
        </w:rPr>
        <w:t>ê</w:t>
      </w:r>
      <w:r>
        <w:rPr>
          <w:rFonts w:ascii="Trebuchet MS" w:hAnsi="Trebuchet MS"/>
          <w:i w:val="1"/>
          <w:iCs w:val="1"/>
          <w:rtl w:val="0"/>
          <w:lang w:val="en-US"/>
        </w:rPr>
        <w:t>me</w:t>
      </w:r>
      <w:r>
        <w:rPr>
          <w:rtl w:val="0"/>
          <w:lang w:val="en-US"/>
        </w:rPr>
        <w:t xml:space="preserve"> occurring during the scribe</w:t>
      </w:r>
      <w:r>
        <w:rPr>
          <w:rtl w:val="0"/>
          <w:lang w:val="en-US"/>
        </w:rPr>
        <w:t>’</w:t>
      </w:r>
      <w:r>
        <w:rPr>
          <w:rtl w:val="0"/>
          <w:lang w:val="en-US"/>
        </w:rPr>
        <w:t>s copying the formula, since the first part of the date contains such an epithet; cf.</w:t>
      </w:r>
      <w:r>
        <w:rPr>
          <w:rFonts w:ascii="Trebuchet MS" w:hAnsi="Trebuchet MS"/>
          <w:i w:val="1"/>
          <w:iCs w:val="1"/>
          <w:rtl w:val="0"/>
          <w:lang w:val="en-US"/>
        </w:rPr>
        <w:t xml:space="preserve"> </w:t>
      </w:r>
      <w:r>
        <w:rPr>
          <w:rtl w:val="0"/>
          <w:lang w:val="en-US"/>
        </w:rPr>
        <w:t xml:space="preserve">l. 1: </w:t>
      </w:r>
      <w:r>
        <w:rPr>
          <w:rtl w:val="0"/>
          <w:lang w:val="en-US"/>
        </w:rPr>
        <w:t>† βασιλε</w:t>
      </w:r>
      <w:r>
        <w:rPr>
          <w:rtl w:val="0"/>
        </w:rPr>
        <w:t xml:space="preserve">ίας </w:t>
      </w:r>
      <w:r>
        <w:rPr>
          <w:rtl w:val="0"/>
          <w:lang w:val="de-DE"/>
        </w:rPr>
        <w:t>το</w:t>
      </w:r>
      <w:r>
        <w:rPr>
          <w:rtl w:val="0"/>
        </w:rPr>
        <w:t>ῦ θειοτάτου καὶ εὐσεβ</w:t>
      </w:r>
      <w:r>
        <w:rPr>
          <w:rtl w:val="0"/>
        </w:rPr>
        <w:t>(</w:t>
      </w:r>
      <w:r>
        <w:rPr>
          <w:rtl w:val="0"/>
        </w:rPr>
        <w:t>εστάτου</w:t>
      </w:r>
      <w:r>
        <w:rPr>
          <w:rtl w:val="0"/>
        </w:rPr>
        <w:t>)</w:t>
      </w:r>
      <w:r>
        <w:rPr>
          <w:rtl w:val="0"/>
          <w:lang w:val="en-US"/>
        </w:rPr>
        <w:t>. If this is correct, we should imagine that in the model the beginnings of the two epithets were written one under the other. Admitting that the model featured the same abbreviations as our document, we could therefore reconstruct the model</w:t>
      </w:r>
      <w:r>
        <w:rPr>
          <w:rtl w:val="0"/>
          <w:lang w:val="en-US"/>
        </w:rPr>
        <w:t>’</w:t>
      </w:r>
      <w:r>
        <w:rPr>
          <w:rtl w:val="0"/>
          <w:lang w:val="en-US"/>
        </w:rPr>
        <w:t>s layout: the first two lines contained 24 letters (by talling each of the abbreviation marks in l. 2 as equal in length to one letter); see the following reconstruction (the epitheta under discussion are given in bold):</w:t>
      </w:r>
    </w:p>
    <w:p>
      <w:pPr>
        <w:pStyle w:val="Text"/>
        <w:jc w:val="both"/>
        <w:rPr>
          <w:rFonts w:ascii="Trebuchet MS" w:cs="Trebuchet MS" w:hAnsi="Trebuchet MS" w:eastAsia="Trebuchet MS"/>
          <w:i w:val="1"/>
          <w:iCs w:val="1"/>
          <w:lang w:val="en-US"/>
        </w:rPr>
      </w:pPr>
    </w:p>
    <w:p>
      <w:pPr>
        <w:pStyle w:val="Text"/>
        <w:jc w:val="both"/>
        <w:rPr>
          <w:rFonts w:ascii="Trebuchet MS" w:cs="Trebuchet MS" w:hAnsi="Trebuchet MS" w:eastAsia="Trebuchet MS"/>
          <w:i w:val="1"/>
          <w:iCs w:val="1"/>
          <w:lang w:val="en-US"/>
        </w:rPr>
      </w:pPr>
    </w:p>
    <w:p>
      <w:pPr>
        <w:pStyle w:val="Text"/>
        <w:jc w:val="both"/>
        <w:rPr>
          <w:rFonts w:ascii="Trebuchet MS" w:cs="Trebuchet MS" w:hAnsi="Trebuchet MS" w:eastAsia="Trebuchet MS"/>
          <w:i w:val="1"/>
          <w:iCs w:val="1"/>
          <w:lang w:val="en-US"/>
        </w:rPr>
      </w:pPr>
    </w:p>
    <w:p>
      <w:pPr>
        <w:pStyle w:val="Überschrift (rot)"/>
        <w:bidi w:val="0"/>
      </w:pPr>
      <w:r>
        <w:rPr>
          <w:rtl w:val="0"/>
        </w:rPr>
        <w:t>#</w:t>
      </w:r>
      <w:r>
        <w:rPr>
          <w:rtl w:val="0"/>
          <w:lang w:val="de-DE"/>
        </w:rPr>
        <w:t>blockQuote</w:t>
      </w:r>
    </w:p>
    <w:p>
      <w:pPr>
        <w:pStyle w:val="footnote text"/>
        <w:rPr>
          <w:sz w:val="24"/>
          <w:szCs w:val="24"/>
        </w:rPr>
      </w:pPr>
    </w:p>
    <w:p>
      <w:pPr>
        <w:pStyle w:val="Text"/>
        <w:tabs>
          <w:tab w:val="left" w:pos="142"/>
          <w:tab w:val="left" w:pos="2694"/>
          <w:tab w:val="left" w:pos="2835"/>
        </w:tabs>
        <w:jc w:val="both"/>
      </w:pPr>
      <w:r>
        <w:rPr>
          <w:rtl w:val="0"/>
          <w:lang w:val="en-US"/>
        </w:rPr>
        <w:tab/>
        <w:tab/>
        <w:t>†</w:t>
        <w:tab/>
        <w:t>βασιλε</w:t>
      </w:r>
      <w:r>
        <w:rPr>
          <w:rtl w:val="0"/>
        </w:rPr>
        <w:t xml:space="preserve">ίας </w:t>
      </w:r>
      <w:r>
        <w:rPr>
          <w:rtl w:val="0"/>
          <w:lang w:val="de-DE"/>
        </w:rPr>
        <w:t>το</w:t>
      </w:r>
      <w:r>
        <w:rPr>
          <w:rtl w:val="0"/>
        </w:rPr>
        <w:t>ῦ θειοτάτου καὶ</w:t>
      </w:r>
    </w:p>
    <w:p>
      <w:pPr>
        <w:pStyle w:val="Text"/>
        <w:tabs>
          <w:tab w:val="left" w:pos="142"/>
          <w:tab w:val="left" w:pos="2835"/>
          <w:tab w:val="left" w:pos="3119"/>
        </w:tabs>
        <w:jc w:val="both"/>
      </w:pPr>
      <w:r>
        <w:rPr>
          <w:rFonts w:ascii="Trebuchet MS" w:cs="Trebuchet MS" w:hAnsi="Trebuchet MS" w:eastAsia="Trebuchet MS"/>
          <w:b w:val="1"/>
          <w:bCs w:val="1"/>
          <w:rtl w:val="0"/>
        </w:rPr>
        <w:tab/>
        <w:tab/>
        <w:t>ε</w:t>
      </w:r>
      <w:r>
        <w:rPr>
          <w:rFonts w:ascii="Arial Unicode MS" w:cs="Arial Unicode MS" w:hAnsi="Arial Unicode MS" w:eastAsia="Arial Unicode MS" w:hint="default"/>
          <w:b w:val="0"/>
          <w:bCs w:val="0"/>
          <w:i w:val="0"/>
          <w:iCs w:val="0"/>
          <w:rtl w:val="0"/>
        </w:rPr>
        <w:t>ὐ</w:t>
      </w:r>
      <w:r>
        <w:rPr>
          <w:rFonts w:ascii="Trebuchet MS" w:hAnsi="Trebuchet MS" w:hint="default"/>
          <w:b w:val="1"/>
          <w:bCs w:val="1"/>
          <w:rtl w:val="0"/>
        </w:rPr>
        <w:t>σεβ</w:t>
      </w:r>
      <w:r>
        <w:rPr>
          <w:rFonts w:ascii="Trebuchet MS" w:hAnsi="Trebuchet MS"/>
          <w:b w:val="1"/>
          <w:bCs w:val="1"/>
          <w:rtl w:val="0"/>
        </w:rPr>
        <w:t>(</w:t>
      </w:r>
      <w:r>
        <w:rPr>
          <w:rFonts w:ascii="Trebuchet MS" w:hAnsi="Trebuchet MS" w:hint="default"/>
          <w:b w:val="1"/>
          <w:bCs w:val="1"/>
          <w:rtl w:val="0"/>
        </w:rPr>
        <w:t>εστ</w:t>
      </w:r>
      <w:r>
        <w:rPr>
          <w:rFonts w:ascii="Arial Unicode MS" w:cs="Arial Unicode MS" w:hAnsi="Arial Unicode MS" w:eastAsia="Arial Unicode MS" w:hint="default"/>
          <w:b w:val="0"/>
          <w:bCs w:val="0"/>
          <w:i w:val="0"/>
          <w:iCs w:val="0"/>
          <w:rtl w:val="0"/>
        </w:rPr>
        <w:t>ά</w:t>
      </w:r>
      <w:r>
        <w:rPr>
          <w:rFonts w:ascii="Trebuchet MS" w:hAnsi="Trebuchet MS" w:hint="default"/>
          <w:b w:val="1"/>
          <w:bCs w:val="1"/>
          <w:rtl w:val="0"/>
        </w:rPr>
        <w:t>του</w:t>
      </w:r>
      <w:r>
        <w:rPr>
          <w:rFonts w:ascii="Trebuchet MS" w:hAnsi="Trebuchet MS"/>
          <w:b w:val="1"/>
          <w:bCs w:val="1"/>
          <w:rtl w:val="0"/>
        </w:rPr>
        <w:t>)</w:t>
      </w:r>
      <w:r>
        <w:rPr>
          <w:rFonts w:ascii="Trebuchet MS" w:hAnsi="Trebuchet MS"/>
          <w:b w:val="1"/>
          <w:bCs w:val="1"/>
          <w:rtl w:val="0"/>
          <w:lang w:val="en-US"/>
        </w:rPr>
        <w:t xml:space="preserve"> </w:t>
      </w:r>
      <w:r>
        <w:rPr>
          <w:rtl w:val="0"/>
        </w:rPr>
        <w:t>ἡμῶν δεσπό̣</w:t>
      </w:r>
      <w:r>
        <w:rPr>
          <w:rtl w:val="0"/>
        </w:rPr>
        <w:t>(</w:t>
      </w:r>
      <w:r>
        <w:rPr>
          <w:rtl w:val="0"/>
        </w:rPr>
        <w:t>του</w:t>
      </w:r>
      <w:r>
        <w:rPr>
          <w:rtl w:val="0"/>
        </w:rPr>
        <w:t xml:space="preserve">) </w:t>
      </w:r>
      <w:r>
        <w:rPr>
          <w:rtl w:val="0"/>
        </w:rPr>
        <w:t>μεγίστου</w:t>
      </w:r>
    </w:p>
    <w:p>
      <w:pPr>
        <w:pStyle w:val="Text"/>
        <w:tabs>
          <w:tab w:val="left" w:pos="142"/>
          <w:tab w:val="left" w:pos="2835"/>
        </w:tabs>
        <w:jc w:val="both"/>
        <w:rPr>
          <w:lang w:val="en-US"/>
        </w:rPr>
      </w:pPr>
      <w:r>
        <w:rPr>
          <w:rFonts w:ascii="Trebuchet MS" w:cs="Trebuchet MS" w:hAnsi="Trebuchet MS" w:eastAsia="Trebuchet MS"/>
          <w:b w:val="1"/>
          <w:bCs w:val="1"/>
          <w:rtl w:val="0"/>
        </w:rPr>
        <w:tab/>
        <w:tab/>
        <w:t>ε</w:t>
      </w:r>
      <w:r>
        <w:rPr>
          <w:rFonts w:ascii="Arial Unicode MS" w:cs="Arial Unicode MS" w:hAnsi="Arial Unicode MS" w:eastAsia="Arial Unicode MS" w:hint="default"/>
          <w:b w:val="0"/>
          <w:bCs w:val="0"/>
          <w:i w:val="0"/>
          <w:iCs w:val="0"/>
          <w:rtl w:val="0"/>
        </w:rPr>
        <w:t>ὐ</w:t>
      </w:r>
      <w:r>
        <w:rPr>
          <w:rFonts w:ascii="Trebuchet MS" w:hAnsi="Trebuchet MS" w:hint="default"/>
          <w:b w:val="1"/>
          <w:bCs w:val="1"/>
          <w:rtl w:val="0"/>
        </w:rPr>
        <w:t>εργ</w:t>
      </w:r>
      <w:r>
        <w:rPr>
          <w:rFonts w:ascii="Arial Unicode MS" w:cs="Arial Unicode MS" w:hAnsi="Arial Unicode MS" w:eastAsia="Arial Unicode MS" w:hint="default"/>
          <w:b w:val="0"/>
          <w:bCs w:val="0"/>
          <w:i w:val="0"/>
          <w:iCs w:val="0"/>
          <w:rtl w:val="0"/>
        </w:rPr>
        <w:t>έ</w:t>
      </w:r>
      <w:r>
        <w:rPr>
          <w:rFonts w:ascii="Trebuchet MS" w:hAnsi="Trebuchet MS" w:hint="default"/>
          <w:b w:val="1"/>
          <w:bCs w:val="1"/>
          <w:rtl w:val="0"/>
        </w:rPr>
        <w:t>του</w:t>
      </w:r>
      <w:r>
        <w:rPr>
          <w:rFonts w:ascii="Trebuchet MS" w:hAnsi="Trebuchet MS"/>
          <w:b w:val="1"/>
          <w:bCs w:val="1"/>
          <w:rtl w:val="0"/>
          <w:lang w:val="en-US"/>
        </w:rPr>
        <w:t xml:space="preserve"> </w:t>
      </w:r>
      <w:r>
        <w:rPr>
          <w:rtl w:val="0"/>
          <w:lang w:val="de-DE"/>
        </w:rPr>
        <w:t>κλπ</w:t>
      </w:r>
      <w:r>
        <w:rPr>
          <w:rtl w:val="0"/>
          <w:lang w:val="en-US"/>
        </w:rPr>
        <w:t>.</w:t>
      </w:r>
    </w:p>
    <w:p>
      <w:pPr>
        <w:pStyle w:val="Überschrift (rot)"/>
        <w:bidi w:val="0"/>
        <w:rPr>
          <w:lang w:val="en-US"/>
        </w:rPr>
      </w:pPr>
      <w:r>
        <w:rPr>
          <w:rtl w:val="0"/>
          <w:lang w:val="en-US"/>
        </w:rPr>
        <w:t>#</w:t>
      </w:r>
      <w:r>
        <w:rPr>
          <w:rtl w:val="0"/>
          <w:lang w:val="de-DE"/>
        </w:rPr>
        <w:t>endBlockQuote</w:t>
      </w:r>
    </w:p>
    <w:p>
      <w:pPr>
        <w:pStyle w:val="footnote text"/>
        <w:rPr>
          <w:sz w:val="24"/>
          <w:szCs w:val="24"/>
        </w:rPr>
      </w:pPr>
    </w:p>
    <w:p>
      <w:pPr>
        <w:pStyle w:val="Text"/>
        <w:tabs>
          <w:tab w:val="left" w:pos="142"/>
        </w:tabs>
        <w:jc w:val="both"/>
        <w:rPr>
          <w:lang w:val="en-US"/>
        </w:rPr>
      </w:pPr>
    </w:p>
    <w:p>
      <w:pPr>
        <w:pStyle w:val="Text"/>
        <w:tabs>
          <w:tab w:val="left" w:pos="142"/>
        </w:tabs>
        <w:jc w:val="both"/>
        <w:rPr>
          <w:lang w:val="en-US"/>
        </w:rPr>
      </w:pPr>
      <w:r>
        <w:rPr>
          <w:rtl w:val="0"/>
          <w:lang w:val="en-US"/>
        </w:rPr>
        <w:t>Such a reconstruction would not only imply that the scribe made use of a model to write the dating formula, but also demonstrate that such a model was not much larger than a modern post-it. This might even suggest that it was a strip of papyrus or even an ostracon, not a wooden tablet.</w:t>
      </w:r>
      <w:r>
        <w:rPr>
          <w:vertAlign w:val="superscript"/>
          <w:lang w:val="en-US"/>
        </w:rPr>
        <w:footnoteReference w:id="8"/>
      </w:r>
      <w:r>
        <w:rPr>
          <w:rtl w:val="0"/>
          <w:lang w:val="en-US"/>
        </w:rPr>
        <w:t xml:space="preserve"> The scribe, whose papyrus sheet was larger than the model, could therefore not follow its exact layout.</w:t>
      </w:r>
    </w:p>
    <w:p>
      <w:pPr>
        <w:pStyle w:val="Text"/>
        <w:tabs>
          <w:tab w:val="left" w:pos="142"/>
        </w:tabs>
        <w:jc w:val="both"/>
        <w:rPr>
          <w:lang w:val="en-US"/>
        </w:rPr>
      </w:pPr>
    </w:p>
    <w:p>
      <w:pPr>
        <w:pStyle w:val="Text"/>
        <w:tabs>
          <w:tab w:val="left" w:pos="142"/>
        </w:tabs>
        <w:jc w:val="both"/>
        <w:rPr>
          <w:lang w:val="en-US"/>
        </w:rPr>
      </w:pPr>
    </w:p>
    <w:p>
      <w:pPr>
        <w:pStyle w:val="Überschrift (rot)"/>
        <w:bidi w:val="0"/>
      </w:pPr>
      <w:r>
        <w:rPr>
          <w:rtl w:val="0"/>
        </w:rPr>
        <w:t>#</w:t>
      </w:r>
      <w:r>
        <w:rPr>
          <w:rtl w:val="0"/>
          <w:lang w:val="de-DE"/>
        </w:rPr>
        <w:t>bibliography</w:t>
      </w:r>
    </w:p>
    <w:p>
      <w:pPr>
        <w:pStyle w:val="footnote text"/>
        <w:rPr>
          <w:sz w:val="24"/>
          <w:szCs w:val="24"/>
        </w:rPr>
      </w:pPr>
    </w:p>
    <w:p>
      <w:pPr>
        <w:pStyle w:val="footnote text"/>
        <w:rPr>
          <w:sz w:val="24"/>
          <w:szCs w:val="24"/>
          <w:lang w:val="en-US"/>
        </w:rPr>
      </w:pPr>
      <w:r>
        <w:rPr>
          <w:rStyle w:val="Hyperlink.3"/>
          <w:color w:val="0432ff"/>
          <w:sz w:val="24"/>
          <w:szCs w:val="24"/>
        </w:rPr>
        <w:fldChar w:fldCharType="begin" w:fldLock="0"/>
      </w:r>
      <w:r>
        <w:rPr>
          <w:rStyle w:val="Hyperlink.3"/>
          <w:color w:val="0432ff"/>
          <w:sz w:val="24"/>
          <w:szCs w:val="24"/>
        </w:rPr>
        <w:instrText xml:space="preserve"> HYPERLINK "http://papyri.info/biblio/95935"</w:instrText>
      </w:r>
      <w:r>
        <w:rPr>
          <w:rStyle w:val="Hyperlink.3"/>
          <w:color w:val="0432ff"/>
          <w:sz w:val="24"/>
          <w:szCs w:val="24"/>
        </w:rPr>
        <w:fldChar w:fldCharType="separate" w:fldLock="0"/>
      </w:r>
      <w:r>
        <w:rPr>
          <w:rStyle w:val="Hyperlink.3"/>
          <w:color w:val="0432ff"/>
          <w:sz w:val="24"/>
          <w:szCs w:val="24"/>
          <w:rtl w:val="0"/>
          <w:lang w:val="en-US"/>
        </w:rPr>
        <w:t>Azzarello, G. and Reiter, F. (2020)</w:t>
      </w:r>
      <w:r>
        <w:rPr>
          <w:sz w:val="24"/>
          <w:szCs w:val="24"/>
        </w:rPr>
        <w:fldChar w:fldCharType="end" w:fldLock="0"/>
      </w:r>
      <w:r>
        <w:rPr>
          <w:sz w:val="24"/>
          <w:szCs w:val="24"/>
          <w:rtl w:val="0"/>
          <w:lang w:val="en-US"/>
        </w:rPr>
        <w:t xml:space="preserve"> </w:t>
      </w:r>
      <w:r>
        <w:rPr>
          <w:sz w:val="24"/>
          <w:szCs w:val="24"/>
          <w:rtl w:val="0"/>
          <w:lang w:val="de-DE"/>
        </w:rPr>
        <w:t>“</w:t>
      </w:r>
      <w:r>
        <w:rPr>
          <w:sz w:val="24"/>
          <w:szCs w:val="24"/>
          <w:rtl w:val="0"/>
          <w:lang w:val="en-US"/>
        </w:rPr>
        <w:t xml:space="preserve">A Further Testimony of Flavius Apion I, </w:t>
      </w:r>
      <w:r>
        <w:rPr>
          <w:sz w:val="24"/>
          <w:szCs w:val="24"/>
          <w:rtl w:val="0"/>
          <w:lang w:val="it-IT"/>
        </w:rPr>
        <w:t xml:space="preserve">ἔκδικος </w:t>
      </w:r>
      <w:r>
        <w:rPr>
          <w:sz w:val="24"/>
          <w:szCs w:val="24"/>
          <w:rtl w:val="0"/>
          <w:lang w:val="en-US"/>
        </w:rPr>
        <w:t>and magnificentissimus: P.Rain. Unterricht 79 Revisited,</w:t>
      </w:r>
      <w:r>
        <w:rPr>
          <w:sz w:val="24"/>
          <w:szCs w:val="24"/>
          <w:rtl w:val="0"/>
        </w:rPr>
        <w:t>”</w:t>
      </w:r>
      <w:r>
        <w:rPr>
          <w:sz w:val="24"/>
          <w:szCs w:val="24"/>
          <w:rtl w:val="0"/>
          <w:lang w:val="en-US"/>
        </w:rPr>
        <w:t xml:space="preserve"> in R. Oetjen (</w:t>
      </w:r>
      <w:r>
        <w:rPr>
          <w:sz w:val="24"/>
          <w:szCs w:val="24"/>
          <w:rtl w:val="0"/>
          <w:lang w:val="de-DE"/>
        </w:rPr>
        <w:t>cur</w:t>
      </w:r>
      <w:r>
        <w:rPr>
          <w:sz w:val="24"/>
          <w:szCs w:val="24"/>
          <w:rtl w:val="0"/>
          <w:lang w:val="en-US"/>
        </w:rPr>
        <w:t>.), New Perspectives in Seleucid History, Archaeology and Numismatics [BzA 355]. Berlin</w:t>
      </w:r>
      <w:r>
        <w:rPr>
          <w:sz w:val="24"/>
          <w:szCs w:val="24"/>
          <w:rtl w:val="0"/>
          <w:lang w:val="de-DE"/>
        </w:rPr>
        <w:t>:</w:t>
      </w:r>
      <w:r>
        <w:rPr>
          <w:sz w:val="24"/>
          <w:szCs w:val="24"/>
          <w:rtl w:val="0"/>
        </w:rPr>
        <w:t xml:space="preserve"> </w:t>
      </w:r>
      <w:r>
        <w:rPr>
          <w:sz w:val="24"/>
          <w:szCs w:val="24"/>
          <w:rtl w:val="0"/>
          <w:lang w:val="en-US"/>
        </w:rPr>
        <w:t>669-677.</w:t>
      </w:r>
    </w:p>
    <w:p>
      <w:pPr>
        <w:pStyle w:val="footnote text"/>
        <w:rPr>
          <w:sz w:val="24"/>
          <w:szCs w:val="24"/>
          <w:lang w:val="en-US"/>
        </w:rPr>
      </w:pPr>
    </w:p>
    <w:p>
      <w:pPr>
        <w:pStyle w:val="footnote text"/>
        <w:rPr>
          <w:sz w:val="24"/>
          <w:szCs w:val="24"/>
        </w:rPr>
      </w:pPr>
      <w:r>
        <w:rPr>
          <w:rStyle w:val="Hyperlink.3"/>
          <w:color w:val="0432ff"/>
          <w:sz w:val="24"/>
          <w:szCs w:val="24"/>
        </w:rPr>
        <w:fldChar w:fldCharType="begin" w:fldLock="0"/>
      </w:r>
      <w:r>
        <w:rPr>
          <w:rStyle w:val="Hyperlink.3"/>
          <w:color w:val="0432ff"/>
          <w:sz w:val="24"/>
          <w:szCs w:val="24"/>
        </w:rPr>
        <w:instrText xml:space="preserve"> HYPERLINK "http://papyri.info/biblio/95936"</w:instrText>
      </w:r>
      <w:r>
        <w:rPr>
          <w:rStyle w:val="Hyperlink.3"/>
          <w:color w:val="0432ff"/>
          <w:sz w:val="24"/>
          <w:szCs w:val="24"/>
        </w:rPr>
        <w:fldChar w:fldCharType="separate" w:fldLock="0"/>
      </w:r>
      <w:r>
        <w:rPr>
          <w:rStyle w:val="Hyperlink.3"/>
          <w:color w:val="0432ff"/>
          <w:sz w:val="24"/>
          <w:szCs w:val="24"/>
          <w:rtl w:val="0"/>
          <w:lang w:val="en-US"/>
        </w:rPr>
        <w:t>Azzarello, G (2021)</w:t>
      </w:r>
      <w:r>
        <w:rPr>
          <w:sz w:val="24"/>
          <w:szCs w:val="24"/>
        </w:rPr>
        <w:fldChar w:fldCharType="end" w:fldLock="0"/>
      </w:r>
      <w:r>
        <w:rPr>
          <w:sz w:val="24"/>
          <w:szCs w:val="24"/>
          <w:rtl w:val="0"/>
          <w:lang w:val="de-DE"/>
        </w:rPr>
        <w:t xml:space="preserve"> </w:t>
      </w:r>
      <w:r>
        <w:rPr>
          <w:sz w:val="24"/>
          <w:szCs w:val="24"/>
          <w:rtl w:val="0"/>
          <w:lang w:val="it-IT"/>
        </w:rPr>
        <w:t>“</w:t>
      </w:r>
      <w:r>
        <w:rPr>
          <w:sz w:val="24"/>
          <w:szCs w:val="24"/>
          <w:rtl w:val="0"/>
          <w:lang w:val="it-IT"/>
        </w:rPr>
        <w:t>Assi, scribi e notai,</w:t>
      </w:r>
      <w:r>
        <w:rPr>
          <w:sz w:val="24"/>
          <w:szCs w:val="24"/>
          <w:rtl w:val="0"/>
          <w:lang w:val="it-IT"/>
        </w:rPr>
        <w:t xml:space="preserve">” </w:t>
      </w:r>
      <w:r>
        <w:rPr>
          <w:sz w:val="24"/>
          <w:szCs w:val="24"/>
          <w:rtl w:val="0"/>
          <w:lang w:val="it-IT"/>
        </w:rPr>
        <w:t>Archivum mentis 10</w:t>
      </w:r>
      <w:r>
        <w:rPr>
          <w:sz w:val="24"/>
          <w:szCs w:val="24"/>
          <w:rtl w:val="0"/>
          <w:lang w:val="de-DE"/>
        </w:rPr>
        <w:t>:</w:t>
      </w:r>
      <w:r>
        <w:rPr>
          <w:sz w:val="24"/>
          <w:szCs w:val="24"/>
          <w:rtl w:val="0"/>
          <w:lang w:val="it-IT"/>
        </w:rPr>
        <w:t xml:space="preserve"> 9</w:t>
      </w:r>
      <w:r>
        <w:rPr>
          <w:sz w:val="24"/>
          <w:szCs w:val="24"/>
          <w:rtl w:val="0"/>
          <w:lang w:val="it-IT"/>
        </w:rPr>
        <w:t>–</w:t>
      </w:r>
      <w:r>
        <w:rPr>
          <w:sz w:val="24"/>
          <w:szCs w:val="24"/>
          <w:rtl w:val="0"/>
          <w:lang w:val="it-IT"/>
        </w:rPr>
        <w:t>15</w:t>
      </w:r>
      <w:r>
        <w:rPr>
          <w:sz w:val="24"/>
          <w:szCs w:val="24"/>
          <w:rtl w:val="0"/>
          <w:lang w:val="de-DE"/>
        </w:rPr>
        <w:t>.</w:t>
      </w:r>
    </w:p>
    <w:p>
      <w:pPr>
        <w:pStyle w:val="footnote text"/>
        <w:rPr>
          <w:sz w:val="24"/>
          <w:szCs w:val="24"/>
        </w:rPr>
      </w:pPr>
    </w:p>
    <w:p>
      <w:pPr>
        <w:pStyle w:val="footnote text"/>
        <w:rPr>
          <w:rFonts w:ascii="IFAO-Grec Unicode" w:cs="IFAO-Grec Unicode" w:hAnsi="IFAO-Grec Unicode" w:eastAsia="IFAO-Grec Unicode"/>
          <w:b w:val="0"/>
          <w:bCs w:val="0"/>
          <w:i w:val="0"/>
          <w:iCs w:val="0"/>
          <w:color w:val="000000"/>
          <w:sz w:val="24"/>
          <w:szCs w:val="24"/>
          <w:u w:color="0563c1"/>
          <w:lang w:val="en-US"/>
        </w:rPr>
      </w:pPr>
      <w:r>
        <w:rPr>
          <w:rStyle w:val="Hyperlink.3"/>
          <w:color w:val="0432ff"/>
          <w:sz w:val="24"/>
          <w:szCs w:val="24"/>
        </w:rPr>
        <w:fldChar w:fldCharType="begin" w:fldLock="0"/>
      </w:r>
      <w:r>
        <w:rPr>
          <w:rStyle w:val="Hyperlink.3"/>
          <w:color w:val="0432ff"/>
          <w:sz w:val="24"/>
          <w:szCs w:val="24"/>
        </w:rPr>
        <w:instrText xml:space="preserve"> HYPERLINK "https://papyri.info/biblio/84465"</w:instrText>
      </w:r>
      <w:r>
        <w:rPr>
          <w:rStyle w:val="Hyperlink.3"/>
          <w:color w:val="0432ff"/>
          <w:sz w:val="24"/>
          <w:szCs w:val="24"/>
        </w:rPr>
        <w:fldChar w:fldCharType="separate" w:fldLock="0"/>
      </w:r>
      <w:r>
        <w:rPr>
          <w:rStyle w:val="Hyperlink.3"/>
          <w:color w:val="0432ff"/>
          <w:sz w:val="24"/>
          <w:szCs w:val="24"/>
          <w:rtl w:val="0"/>
          <w:lang w:val="en-US"/>
        </w:rPr>
        <w:t>Hickey, T.M. (2012)</w:t>
      </w:r>
      <w:r>
        <w:rPr>
          <w:sz w:val="24"/>
          <w:szCs w:val="24"/>
        </w:rPr>
        <w:fldChar w:fldCharType="end" w:fldLock="0"/>
      </w:r>
      <w:r>
        <w:rPr>
          <w:sz w:val="24"/>
          <w:szCs w:val="24"/>
          <w:rtl w:val="0"/>
          <w:lang w:val="de-DE"/>
        </w:rPr>
        <w:t xml:space="preserve"> </w:t>
      </w:r>
      <w:r>
        <w:rPr>
          <w:rFonts w:ascii="IFAO-Grec Unicode" w:cs="Arial Unicode MS" w:hAnsi="IFAO-Grec Unicode" w:eastAsia="Arial Unicode MS"/>
          <w:b w:val="0"/>
          <w:bCs w:val="0"/>
          <w:i w:val="0"/>
          <w:iCs w:val="0"/>
          <w:color w:val="000000"/>
          <w:sz w:val="24"/>
          <w:szCs w:val="24"/>
          <w:u w:color="0563c1"/>
          <w:rtl w:val="0"/>
          <w:lang w:val="en-US"/>
        </w:rPr>
        <w:t>Wine, Wealth, and the State</w:t>
      </w:r>
      <w:r>
        <w:rPr>
          <w:rFonts w:ascii="IFAO-Grec Unicode" w:cs="Arial Unicode MS" w:hAnsi="IFAO-Grec Unicode" w:eastAsia="Arial Unicode MS"/>
          <w:b w:val="0"/>
          <w:bCs w:val="0"/>
          <w:i w:val="0"/>
          <w:iCs w:val="0"/>
          <w:color w:val="000000"/>
          <w:sz w:val="24"/>
          <w:szCs w:val="24"/>
          <w:u w:color="0563c1"/>
          <w:rtl w:val="0"/>
          <w:lang w:val="de-DE"/>
        </w:rPr>
        <w:t>.</w:t>
      </w:r>
      <w:r>
        <w:rPr>
          <w:rFonts w:ascii="IFAO-Grec Unicode" w:cs="Arial Unicode MS" w:hAnsi="IFAO-Grec Unicode" w:eastAsia="Arial Unicode MS"/>
          <w:b w:val="0"/>
          <w:bCs w:val="0"/>
          <w:i w:val="0"/>
          <w:iCs w:val="0"/>
          <w:color w:val="000000"/>
          <w:sz w:val="24"/>
          <w:szCs w:val="24"/>
          <w:u w:color="0563c1"/>
          <w:rtl w:val="0"/>
          <w:lang w:val="en-US"/>
        </w:rPr>
        <w:t xml:space="preserve"> Ann Arbor</w:t>
      </w:r>
      <w:r>
        <w:rPr>
          <w:rFonts w:ascii="IFAO-Grec Unicode" w:cs="Arial Unicode MS" w:hAnsi="IFAO-Grec Unicode" w:eastAsia="Arial Unicode MS"/>
          <w:b w:val="0"/>
          <w:bCs w:val="0"/>
          <w:i w:val="0"/>
          <w:iCs w:val="0"/>
          <w:color w:val="000000"/>
          <w:sz w:val="24"/>
          <w:szCs w:val="24"/>
          <w:u w:color="0563c1"/>
          <w:rtl w:val="0"/>
          <w:lang w:val="de-DE"/>
        </w:rPr>
        <w:t>.</w:t>
      </w:r>
    </w:p>
    <w:p>
      <w:pPr>
        <w:pStyle w:val="footnote text"/>
        <w:rPr>
          <w:sz w:val="24"/>
          <w:szCs w:val="24"/>
          <w:lang w:val="en-US"/>
        </w:rPr>
      </w:pPr>
    </w:p>
    <w:p>
      <w:pPr>
        <w:pStyle w:val="footnote text"/>
        <w:rPr>
          <w:sz w:val="24"/>
          <w:szCs w:val="24"/>
        </w:rPr>
      </w:pPr>
      <w:r>
        <w:rPr>
          <w:rStyle w:val="Hyperlink.4"/>
          <w:color w:val="0432ff"/>
          <w:sz w:val="24"/>
          <w:szCs w:val="24"/>
          <w:lang w:val="en-US"/>
        </w:rPr>
        <w:fldChar w:fldCharType="begin" w:fldLock="0"/>
      </w:r>
      <w:r>
        <w:rPr>
          <w:rStyle w:val="Hyperlink.4"/>
          <w:color w:val="0432ff"/>
          <w:sz w:val="24"/>
          <w:szCs w:val="24"/>
          <w:lang w:val="en-US"/>
        </w:rPr>
        <w:instrText xml:space="preserve"> HYPERLINK "https://papyri.info/biblio/16557"</w:instrText>
      </w:r>
      <w:r>
        <w:rPr>
          <w:rStyle w:val="Hyperlink.4"/>
          <w:color w:val="0432ff"/>
          <w:sz w:val="24"/>
          <w:szCs w:val="24"/>
          <w:lang w:val="en-US"/>
        </w:rPr>
        <w:fldChar w:fldCharType="separate" w:fldLock="0"/>
      </w:r>
      <w:r>
        <w:rPr>
          <w:rStyle w:val="Hyperlink.4"/>
          <w:color w:val="0432ff"/>
          <w:sz w:val="24"/>
          <w:szCs w:val="24"/>
          <w:rtl w:val="0"/>
          <w:lang w:val="de-DE"/>
        </w:rPr>
        <w:t>Mazza, R. (2001)</w:t>
      </w:r>
      <w:r>
        <w:rPr>
          <w:sz w:val="24"/>
          <w:szCs w:val="24"/>
        </w:rPr>
        <w:fldChar w:fldCharType="end" w:fldLock="0"/>
      </w:r>
      <w:r>
        <w:rPr>
          <w:sz w:val="24"/>
          <w:szCs w:val="24"/>
          <w:rtl w:val="0"/>
          <w:lang w:val="de-DE"/>
        </w:rPr>
        <w:t xml:space="preserve"> </w:t>
      </w:r>
      <w:r>
        <w:rPr>
          <w:sz w:val="24"/>
          <w:szCs w:val="24"/>
          <w:rtl w:val="0"/>
        </w:rPr>
        <w:t>L</w:t>
      </w:r>
      <w:r>
        <w:rPr>
          <w:sz w:val="24"/>
          <w:szCs w:val="24"/>
          <w:rtl w:val="0"/>
        </w:rPr>
        <w:t>’</w:t>
      </w:r>
      <w:r>
        <w:rPr>
          <w:sz w:val="24"/>
          <w:szCs w:val="24"/>
          <w:rtl w:val="0"/>
          <w:lang w:val="it-IT"/>
        </w:rPr>
        <w:t>archivio degli Apioni</w:t>
      </w:r>
      <w:r>
        <w:rPr>
          <w:sz w:val="24"/>
          <w:szCs w:val="24"/>
          <w:rtl w:val="0"/>
          <w:lang w:val="de-DE"/>
        </w:rPr>
        <w:t>.</w:t>
      </w:r>
      <w:r>
        <w:rPr>
          <w:sz w:val="24"/>
          <w:szCs w:val="24"/>
          <w:rtl w:val="0"/>
          <w:lang w:val="it-IT"/>
        </w:rPr>
        <w:t xml:space="preserve"> Bari</w:t>
      </w:r>
      <w:r>
        <w:rPr>
          <w:sz w:val="24"/>
          <w:szCs w:val="24"/>
          <w:rtl w:val="0"/>
          <w:lang w:val="de-DE"/>
        </w:rPr>
        <w:t>.</w:t>
      </w:r>
    </w:p>
    <w:p>
      <w:pPr>
        <w:pStyle w:val="Text"/>
        <w:tabs>
          <w:tab w:val="left" w:pos="142"/>
        </w:tabs>
        <w:jc w:val="both"/>
        <w:rPr>
          <w:lang w:val="en-US"/>
        </w:rPr>
      </w:pPr>
    </w:p>
    <w:p>
      <w:pPr>
        <w:pStyle w:val="footnote text"/>
      </w:pPr>
      <w:r>
        <w:rPr>
          <w:rStyle w:val="Hyperlink.4"/>
          <w:color w:val="0432ff"/>
          <w:sz w:val="24"/>
          <w:szCs w:val="24"/>
          <w:lang w:val="en-US"/>
        </w:rPr>
        <w:fldChar w:fldCharType="begin" w:fldLock="0"/>
      </w:r>
      <w:r>
        <w:rPr>
          <w:rStyle w:val="Hyperlink.4"/>
          <w:color w:val="0432ff"/>
          <w:sz w:val="24"/>
          <w:szCs w:val="24"/>
          <w:lang w:val="en-US"/>
        </w:rPr>
        <w:instrText xml:space="preserve"> HYPERLINK "https://papyri.info/biblio/67851"</w:instrText>
      </w:r>
      <w:r>
        <w:rPr>
          <w:rStyle w:val="Hyperlink.4"/>
          <w:color w:val="0432ff"/>
          <w:sz w:val="24"/>
          <w:szCs w:val="24"/>
          <w:lang w:val="en-US"/>
        </w:rPr>
        <w:fldChar w:fldCharType="separate" w:fldLock="0"/>
      </w:r>
      <w:r>
        <w:rPr>
          <w:rStyle w:val="Hyperlink.4"/>
          <w:color w:val="0432ff"/>
          <w:sz w:val="24"/>
          <w:szCs w:val="24"/>
          <w:rtl w:val="0"/>
          <w:lang w:val="de-DE"/>
        </w:rPr>
        <w:t>Tacoma, L.E. (1998)</w:t>
      </w:r>
      <w:r>
        <w:rPr>
          <w:sz w:val="24"/>
          <w:szCs w:val="24"/>
          <w:lang w:val="en-US"/>
        </w:rPr>
        <w:fldChar w:fldCharType="end" w:fldLock="0"/>
      </w:r>
      <w:r>
        <w:rPr>
          <w:sz w:val="24"/>
          <w:szCs w:val="24"/>
          <w:rtl w:val="0"/>
          <w:lang w:val="de-DE"/>
        </w:rPr>
        <w:t xml:space="preserve"> </w:t>
      </w:r>
      <w:r>
        <w:rPr>
          <w:sz w:val="24"/>
          <w:szCs w:val="24"/>
          <w:rtl w:val="0"/>
          <w:lang w:val="en-US"/>
        </w:rPr>
        <w:t>“</w:t>
      </w:r>
      <w:r>
        <w:rPr>
          <w:sz w:val="24"/>
          <w:szCs w:val="24"/>
          <w:rtl w:val="0"/>
          <w:lang w:val="en-US"/>
        </w:rPr>
        <w:t>Replacement Parts for an Irrigation Machine of the Divine House at Oxyrhynchus,</w:t>
      </w:r>
      <w:r>
        <w:rPr>
          <w:sz w:val="24"/>
          <w:szCs w:val="24"/>
          <w:rtl w:val="0"/>
          <w:lang w:val="en-US"/>
        </w:rPr>
        <w:t xml:space="preserve">” </w:t>
      </w:r>
      <w:r>
        <w:rPr>
          <w:sz w:val="24"/>
          <w:szCs w:val="24"/>
          <w:rtl w:val="0"/>
          <w:lang w:val="en-US"/>
        </w:rPr>
        <w:t>ZPE 120</w:t>
      </w:r>
      <w:r>
        <w:rPr>
          <w:sz w:val="24"/>
          <w:szCs w:val="24"/>
          <w:rtl w:val="0"/>
          <w:lang w:val="de-DE"/>
        </w:rPr>
        <w:t xml:space="preserve">: </w:t>
      </w:r>
      <w:r>
        <w:rPr>
          <w:sz w:val="24"/>
          <w:szCs w:val="24"/>
          <w:rtl w:val="0"/>
          <w:lang w:val="en-US"/>
        </w:rPr>
        <w:t>123-130</w:t>
      </w:r>
      <w:r>
        <w:rPr>
          <w:sz w:val="24"/>
          <w:szCs w:val="24"/>
          <w:rtl w:val="0"/>
          <w:lang w:val="de-DE"/>
        </w:rPr>
        <w:t>.</w:t>
      </w:r>
    </w:p>
    <w:sectPr>
      <w:headerReference w:type="default" r:id="rId7"/>
      <w:footerReference w:type="default" r:id="rId8"/>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rebuchet MS">
    <w:charset w:val="00"/>
    <w:family w:val="roman"/>
    <w:pitch w:val="default"/>
  </w:font>
  <w:font w:name="Calibri">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en-US"/>
        </w:rPr>
        <w:footnoteRef/>
      </w:r>
      <w:r>
        <w:rPr>
          <w:rtl w:val="0"/>
          <w:lang w:val="en-US"/>
        </w:rPr>
        <w:t xml:space="preserve"> Cf. </w:t>
      </w:r>
      <w:r>
        <w:rPr>
          <w:rStyle w:val="Hyperlink.0"/>
          <w:lang w:val="en-US"/>
        </w:rPr>
        <w:fldChar w:fldCharType="begin" w:fldLock="0"/>
      </w:r>
      <w:r>
        <w:rPr>
          <w:rStyle w:val="Hyperlink.0"/>
          <w:lang w:val="en-US"/>
        </w:rPr>
        <w:instrText xml:space="preserve"> HYPERLINK "https://papyri.info/biblio/67851"</w:instrText>
      </w:r>
      <w:r>
        <w:rPr>
          <w:rStyle w:val="Hyperlink.0"/>
          <w:lang w:val="en-US"/>
        </w:rPr>
        <w:fldChar w:fldCharType="separate" w:fldLock="0"/>
      </w:r>
      <w:r>
        <w:rPr>
          <w:rStyle w:val="Hyperlink.0"/>
          <w:rtl w:val="0"/>
          <w:lang w:val="de-DE"/>
        </w:rPr>
        <w:t>Tacoma 1998</w:t>
      </w:r>
      <w:r>
        <w:rPr>
          <w:lang w:val="en-US"/>
        </w:rPr>
        <w:fldChar w:fldCharType="end" w:fldLock="0"/>
      </w:r>
      <w:r>
        <w:rPr>
          <w:rtl w:val="0"/>
          <w:lang w:val="en-US"/>
        </w:rPr>
        <w:t xml:space="preserve"> with a list of documents on pp. 128</w:t>
      </w:r>
      <w:r>
        <w:rPr>
          <w:rtl w:val="0"/>
          <w:lang w:val="en-US"/>
        </w:rPr>
        <w:t>–</w:t>
      </w:r>
      <w:r>
        <w:rPr>
          <w:rtl w:val="0"/>
          <w:lang w:val="en-US"/>
        </w:rPr>
        <w:t xml:space="preserve">129; updates can be found in N. Gonis, P.Oxy. 70 4780, intro. (4615 is a slip of the pen for 4616); 4783. 8 n.; P.Oxy. 83 5365, intro. (add P.Oxy. 83 5376). Cf. also the writing exercise </w:t>
      </w:r>
      <w:r>
        <w:rPr>
          <w:b w:val="1"/>
          <w:bCs w:val="1"/>
          <w:rtl w:val="0"/>
          <w:lang w:val="en-US"/>
        </w:rPr>
        <w:t>P.Capasso 6</w:t>
      </w:r>
      <w:r>
        <w:rPr>
          <w:rtl w:val="0"/>
          <w:lang w:val="en-US"/>
        </w:rPr>
        <w:t xml:space="preserve"> (second half of the 6th c., Oxy.?).  </w:t>
      </w:r>
    </w:p>
  </w:footnote>
  <w:footnote w:id="2">
    <w:p>
      <w:pPr>
        <w:pStyle w:val="footnote text"/>
      </w:pPr>
      <w:r>
        <w:rPr>
          <w:rStyle w:val="footnote reference"/>
        </w:rPr>
        <w:footnoteRef/>
      </w:r>
      <w:r>
        <w:rPr>
          <w:rtl w:val="0"/>
          <w:lang w:val="en-US"/>
        </w:rPr>
        <w:t xml:space="preserve"> On this family see </w:t>
      </w:r>
      <w:r>
        <w:rPr>
          <w:rStyle w:val="Hyperlink.0"/>
          <w:lang w:val="en-US"/>
        </w:rPr>
        <w:fldChar w:fldCharType="begin" w:fldLock="0"/>
      </w:r>
      <w:r>
        <w:rPr>
          <w:rStyle w:val="Hyperlink.0"/>
          <w:lang w:val="en-US"/>
        </w:rPr>
        <w:instrText xml:space="preserve"> HYPERLINK "https://papyri.info/biblio/16557"</w:instrText>
      </w:r>
      <w:r>
        <w:rPr>
          <w:rStyle w:val="Hyperlink.0"/>
          <w:lang w:val="en-US"/>
        </w:rPr>
        <w:fldChar w:fldCharType="separate" w:fldLock="0"/>
      </w:r>
      <w:r>
        <w:rPr>
          <w:rStyle w:val="Hyperlink.0"/>
          <w:rtl w:val="0"/>
          <w:lang w:val="de-DE"/>
        </w:rPr>
        <w:t>Mazza 2001</w:t>
      </w:r>
      <w:r>
        <w:rPr/>
        <w:fldChar w:fldCharType="end" w:fldLock="0"/>
      </w:r>
      <w:r>
        <w:rPr>
          <w:rtl w:val="0"/>
          <w:lang w:val="en-US"/>
        </w:rPr>
        <w:t xml:space="preserve">, and </w:t>
      </w:r>
      <w:r>
        <w:rPr>
          <w:rStyle w:val="Hyperlink.0"/>
          <w:lang w:val="en-US"/>
        </w:rPr>
        <w:fldChar w:fldCharType="begin" w:fldLock="0"/>
      </w:r>
      <w:r>
        <w:rPr>
          <w:rStyle w:val="Hyperlink.0"/>
          <w:lang w:val="en-US"/>
        </w:rPr>
        <w:instrText xml:space="preserve"> HYPERLINK "https://papyri.info/biblio/84465"</w:instrText>
      </w:r>
      <w:r>
        <w:rPr>
          <w:rStyle w:val="Hyperlink.0"/>
          <w:lang w:val="en-US"/>
        </w:rPr>
        <w:fldChar w:fldCharType="separate" w:fldLock="0"/>
      </w:r>
      <w:r>
        <w:rPr>
          <w:rStyle w:val="Hyperlink.0"/>
          <w:rtl w:val="0"/>
          <w:lang w:val="de-DE"/>
        </w:rPr>
        <w:t>Hickey 2012</w:t>
      </w:r>
      <w:r>
        <w:rPr/>
        <w:fldChar w:fldCharType="end" w:fldLock="0"/>
      </w:r>
      <w:r>
        <w:rPr>
          <w:rtl w:val="0"/>
          <w:lang w:val="en-US"/>
        </w:rPr>
        <w:t>; in the last years, new texts have been published by N. Gonis, P.Oxy. 83 5365</w:t>
      </w:r>
      <w:r>
        <w:rPr>
          <w:rtl w:val="0"/>
          <w:lang w:val="en-US"/>
        </w:rPr>
        <w:t>–</w:t>
      </w:r>
      <w:r>
        <w:rPr>
          <w:rtl w:val="0"/>
          <w:lang w:val="en-US"/>
        </w:rPr>
        <w:t>5400, and A. Benaissa, P.Oxy. 84 5453</w:t>
      </w:r>
      <w:r>
        <w:rPr>
          <w:rtl w:val="0"/>
          <w:lang w:val="en-US"/>
        </w:rPr>
        <w:t>–</w:t>
      </w:r>
      <w:r>
        <w:rPr>
          <w:rtl w:val="0"/>
          <w:lang w:val="en-US"/>
        </w:rPr>
        <w:t>5474, maybe 5475; see also</w:t>
      </w:r>
      <w:r>
        <w:rPr>
          <w:rtl w:val="0"/>
          <w:lang w:val="de-DE"/>
        </w:rPr>
        <w:t xml:space="preserve"> </w:t>
      </w:r>
      <w:r>
        <w:rPr>
          <w:rStyle w:val="Link"/>
        </w:rPr>
        <w:fldChar w:fldCharType="begin" w:fldLock="0"/>
      </w:r>
      <w:r>
        <w:rPr>
          <w:rStyle w:val="Link"/>
        </w:rPr>
        <w:instrText xml:space="preserve"> HYPERLINK "http://papyri.info/biblio/95935"</w:instrText>
      </w:r>
      <w:r>
        <w:rPr>
          <w:rStyle w:val="Link"/>
        </w:rPr>
        <w:fldChar w:fldCharType="separate" w:fldLock="0"/>
      </w:r>
      <w:r>
        <w:rPr>
          <w:rStyle w:val="Link"/>
          <w:rtl w:val="0"/>
          <w:lang w:val="en-US"/>
        </w:rPr>
        <w:t>Azzarello and Reiter 2020</w:t>
      </w:r>
      <w:r>
        <w:rPr/>
        <w:fldChar w:fldCharType="end" w:fldLock="0"/>
      </w:r>
      <w:r>
        <w:rPr>
          <w:rtl w:val="0"/>
          <w:lang w:val="en-US"/>
        </w:rPr>
        <w:t xml:space="preserve">.  </w:t>
      </w:r>
    </w:p>
  </w:footnote>
  <w:footnote w:id="3">
    <w:p>
      <w:pPr>
        <w:pStyle w:val="footnote text"/>
      </w:pPr>
      <w:r>
        <w:rPr>
          <w:vertAlign w:val="superscript"/>
          <w:lang w:val="en-US"/>
        </w:rPr>
        <w:footnoteRef/>
      </w:r>
      <w:r>
        <w:rPr>
          <w:rtl w:val="0"/>
        </w:rPr>
        <w:t xml:space="preserve"> Cf.</w:t>
      </w:r>
      <w:r>
        <w:rPr>
          <w:rtl w:val="0"/>
          <w:lang w:val="de-DE"/>
        </w:rPr>
        <w:t xml:space="preserve"> </w:t>
      </w:r>
      <w:r>
        <w:rPr>
          <w:rStyle w:val="Link"/>
        </w:rPr>
        <w:fldChar w:fldCharType="begin" w:fldLock="0"/>
      </w:r>
      <w:r>
        <w:rPr>
          <w:rStyle w:val="Link"/>
        </w:rPr>
        <w:instrText xml:space="preserve"> HYPERLINK "http://papyri.info/biblio/95936"</w:instrText>
      </w:r>
      <w:r>
        <w:rPr>
          <w:rStyle w:val="Link"/>
        </w:rPr>
        <w:fldChar w:fldCharType="separate" w:fldLock="0"/>
      </w:r>
      <w:r>
        <w:rPr>
          <w:rStyle w:val="Link"/>
          <w:rtl w:val="0"/>
          <w:lang w:val="en-US"/>
        </w:rPr>
        <w:t>Azzarello 2021</w:t>
      </w:r>
      <w:r>
        <w:rPr/>
        <w:fldChar w:fldCharType="end" w:fldLock="0"/>
      </w:r>
      <w:r>
        <w:rPr>
          <w:rtl w:val="0"/>
          <w:lang w:val="de-DE"/>
        </w:rPr>
        <w:t xml:space="preserve">; </w:t>
      </w:r>
      <w:r>
        <w:rPr>
          <w:i w:val="1"/>
          <w:iCs w:val="1"/>
          <w:rtl w:val="0"/>
          <w:lang w:val="it-IT"/>
        </w:rPr>
        <w:t>Le note riepilogative nelle ricevute di pezzi di ricambio per le macchine di irrigazione</w:t>
      </w:r>
      <w:r>
        <w:rPr>
          <w:rtl w:val="0"/>
        </w:rPr>
        <w:t xml:space="preserve"> (in preparation); </w:t>
      </w:r>
      <w:r>
        <w:rPr>
          <w:rtl w:val="0"/>
        </w:rPr>
        <w:t xml:space="preserve">Ἄξων </w:t>
      </w:r>
      <w:r>
        <w:rPr>
          <w:i w:val="1"/>
          <w:iCs w:val="1"/>
          <w:rtl w:val="0"/>
          <w:lang w:val="it-IT"/>
        </w:rPr>
        <w:t>e</w:t>
      </w:r>
      <w:r>
        <w:rPr>
          <w:rtl w:val="0"/>
        </w:rPr>
        <w:t xml:space="preserve"> αὔξων</w:t>
      </w:r>
      <w:r>
        <w:rPr>
          <w:i w:val="1"/>
          <w:iCs w:val="1"/>
          <w:rtl w:val="0"/>
          <w:lang w:val="it-IT"/>
        </w:rPr>
        <w:t>: ipotesi su</w:t>
      </w:r>
      <w:r>
        <w:rPr>
          <w:rtl w:val="0"/>
        </w:rPr>
        <w:t xml:space="preserve"> </w:t>
      </w:r>
      <w:r>
        <w:rPr>
          <w:i w:val="1"/>
          <w:iCs w:val="1"/>
          <w:rtl w:val="0"/>
          <w:lang w:val="it-IT"/>
        </w:rPr>
        <w:t>una strana variante grafica</w:t>
      </w:r>
      <w:r>
        <w:rPr>
          <w:rtl w:val="0"/>
        </w:rPr>
        <w:t xml:space="preserve"> (in preparation); </w:t>
      </w:r>
      <w:r>
        <w:rPr>
          <w:i w:val="1"/>
          <w:iCs w:val="1"/>
          <w:rtl w:val="0"/>
          <w:lang w:val="it-IT"/>
        </w:rPr>
        <w:t>Oxyrhynchite Byzantine Receipts for Replacement Parts for Irrigators</w:t>
      </w:r>
      <w:r>
        <w:rPr>
          <w:rtl w:val="0"/>
        </w:rPr>
        <w:t>, Tyche 2021 (accepted for publication).</w:t>
      </w:r>
    </w:p>
  </w:footnote>
  <w:footnote w:id="4">
    <w:p>
      <w:pPr>
        <w:pStyle w:val="footnote text"/>
      </w:pPr>
      <w:r>
        <w:rPr>
          <w:vertAlign w:val="superscript"/>
          <w:lang w:val="en-US"/>
        </w:rPr>
        <w:footnoteRef/>
      </w:r>
      <w:r>
        <w:rPr>
          <w:rtl w:val="0"/>
          <w:lang w:val="en-US"/>
        </w:rPr>
        <w:t xml:space="preserve"> Cf. the thorough discussion of dates in notarial signatures by N. Gonis, P.Oxy. 83 5367, comm. to l. 8, esp. p. 114. </w:t>
      </w:r>
    </w:p>
  </w:footnote>
  <w:footnote w:id="5">
    <w:p>
      <w:pPr>
        <w:pStyle w:val="footnote text"/>
      </w:pPr>
      <w:r>
        <w:rPr>
          <w:vertAlign w:val="superscript"/>
          <w:lang w:val="en-US"/>
        </w:rPr>
        <w:footnoteRef/>
      </w:r>
      <w:r>
        <w:rPr>
          <w:rtl w:val="0"/>
          <w:lang w:val="en-US"/>
        </w:rPr>
        <w:t xml:space="preserve"> The scribe is the same as in the other Sarapammon</w:t>
      </w:r>
      <w:r>
        <w:rPr>
          <w:rtl w:val="0"/>
          <w:lang w:val="en-US"/>
        </w:rPr>
        <w:t>’</w:t>
      </w:r>
      <w:r>
        <w:rPr>
          <w:rtl w:val="0"/>
          <w:lang w:val="en-US"/>
        </w:rPr>
        <w:t xml:space="preserve">s contract, </w:t>
      </w:r>
      <w:r>
        <w:rPr>
          <w:rStyle w:val="Hyperlink.0"/>
          <w:lang w:val="en-US"/>
        </w:rPr>
        <w:fldChar w:fldCharType="begin" w:fldLock="0"/>
      </w:r>
      <w:r>
        <w:rPr>
          <w:rStyle w:val="Hyperlink.0"/>
          <w:lang w:val="en-US"/>
        </w:rPr>
        <w:instrText xml:space="preserve"> HYPERLINK "https://papyri.info/ddbdp/p.oxy;19;2237"</w:instrText>
      </w:r>
      <w:r>
        <w:rPr>
          <w:rStyle w:val="Hyperlink.0"/>
          <w:lang w:val="en-US"/>
        </w:rPr>
        <w:fldChar w:fldCharType="separate" w:fldLock="0"/>
      </w:r>
      <w:r>
        <w:rPr>
          <w:rStyle w:val="Hyperlink.0"/>
          <w:rtl w:val="0"/>
          <w:lang w:val="en-US"/>
        </w:rPr>
        <w:t>P.Oxy. 19 2237</w:t>
      </w:r>
      <w:r>
        <w:rPr>
          <w:lang w:val="en-US"/>
        </w:rPr>
        <w:fldChar w:fldCharType="end" w:fldLock="0"/>
      </w:r>
      <w:r>
        <w:rPr>
          <w:rtl w:val="0"/>
          <w:lang w:val="en-US"/>
        </w:rPr>
        <w:t>.</w:t>
      </w:r>
    </w:p>
  </w:footnote>
  <w:footnote w:id="6">
    <w:p>
      <w:pPr>
        <w:pStyle w:val="Text"/>
      </w:pPr>
      <w:r>
        <w:rPr>
          <w:vertAlign w:val="superscript"/>
          <w:lang w:val="en-US"/>
        </w:rPr>
        <w:footnoteRef/>
      </w:r>
      <w:r>
        <w:rPr>
          <w:rtl w:val="0"/>
          <w:lang w:val="en-US"/>
        </w:rPr>
        <w:t xml:space="preserve"> </w:t>
      </w:r>
      <w:r>
        <w:rPr>
          <w:sz w:val="20"/>
          <w:szCs w:val="20"/>
          <w:rtl w:val="0"/>
          <w:lang w:val="en-US"/>
        </w:rPr>
        <w:t xml:space="preserve">The same applies to the </w:t>
      </w:r>
      <w:r>
        <w:rPr>
          <w:rFonts w:ascii="Trebuchet MS" w:hAnsi="Trebuchet MS"/>
          <w:i w:val="1"/>
          <w:iCs w:val="1"/>
          <w:sz w:val="20"/>
          <w:szCs w:val="20"/>
          <w:rtl w:val="0"/>
          <w:lang w:val="en-US"/>
        </w:rPr>
        <w:t>verso</w:t>
      </w:r>
      <w:r>
        <w:rPr>
          <w:sz w:val="20"/>
          <w:szCs w:val="20"/>
          <w:rtl w:val="0"/>
          <w:lang w:val="en-US"/>
        </w:rPr>
        <w:t>, which features two lines, the second one of which is almost fully abraded; of the first line, the editors transcribe the beginning (</w:t>
      </w:r>
      <w:r>
        <w:rPr>
          <w:sz w:val="20"/>
          <w:szCs w:val="20"/>
          <w:rtl w:val="0"/>
          <w:lang w:val="en-US"/>
        </w:rPr>
        <w:t>χειρογραφ</w:t>
      </w:r>
      <w:r>
        <w:rPr>
          <w:sz w:val="20"/>
          <w:szCs w:val="20"/>
          <w:rtl w:val="0"/>
        </w:rPr>
        <w:t>ία</w:t>
      </w:r>
      <w:r>
        <w:rPr>
          <w:sz w:val="20"/>
          <w:szCs w:val="20"/>
          <w:rtl w:val="0"/>
          <w:lang w:val="en-US"/>
        </w:rPr>
        <w:t>) and the end (</w:t>
      </w:r>
      <w:r>
        <w:rPr>
          <w:sz w:val="20"/>
          <w:szCs w:val="20"/>
          <w:rtl w:val="0"/>
        </w:rPr>
        <w:t>ἐναπογράφου</w:t>
      </w:r>
      <w:r>
        <w:rPr>
          <w:sz w:val="20"/>
          <w:szCs w:val="20"/>
          <w:rtl w:val="0"/>
          <w:lang w:val="en-US"/>
        </w:rPr>
        <w:t xml:space="preserve">): the shape of the letters suggest that the docket was written by the main scribe of the document (hand 1), cf. in particular the sequence </w:t>
      </w:r>
      <w:r>
        <w:rPr>
          <w:sz w:val="20"/>
          <w:szCs w:val="20"/>
          <w:rtl w:val="0"/>
          <w:lang w:val="de-DE"/>
        </w:rPr>
        <w:t>απο</w:t>
      </w:r>
      <w:r>
        <w:rPr>
          <w:sz w:val="20"/>
          <w:szCs w:val="20"/>
          <w:rtl w:val="0"/>
          <w:lang w:val="en-US"/>
        </w:rPr>
        <w:t xml:space="preserve"> (on the recto, l. 5). Based on the traces and on the parallels, a possible transcription of the whole l. 1 is: [</w:t>
      </w:r>
      <w:r>
        <w:rPr>
          <w:sz w:val="20"/>
          <w:szCs w:val="20"/>
          <w:rtl w:val="0"/>
          <w:lang w:val="en-US"/>
        </w:rPr>
        <w:t>†</w:t>
      </w:r>
      <w:r>
        <w:rPr>
          <w:sz w:val="20"/>
          <w:szCs w:val="20"/>
          <w:rtl w:val="0"/>
          <w:lang w:val="en-US"/>
        </w:rPr>
        <w:t xml:space="preserve">] </w:t>
      </w:r>
      <w:r>
        <w:rPr>
          <w:sz w:val="20"/>
          <w:szCs w:val="20"/>
          <w:rtl w:val="0"/>
          <w:lang w:val="de-DE"/>
        </w:rPr>
        <w:t>χ</w:t>
      </w:r>
      <w:r>
        <w:rPr>
          <w:sz w:val="20"/>
          <w:szCs w:val="20"/>
          <w:rtl w:val="0"/>
          <w:lang w:val="en-US"/>
        </w:rPr>
        <w:t>̣</w:t>
      </w:r>
      <w:r>
        <w:rPr>
          <w:sz w:val="20"/>
          <w:szCs w:val="20"/>
          <w:rtl w:val="0"/>
          <w:lang w:val="de-DE"/>
        </w:rPr>
        <w:t>ειρογρα</w:t>
      </w:r>
      <w:r>
        <w:rPr>
          <w:sz w:val="20"/>
          <w:szCs w:val="20"/>
          <w:rtl w:val="0"/>
          <w:lang w:val="en-US"/>
        </w:rPr>
        <w:t>̣</w:t>
      </w:r>
      <w:r>
        <w:rPr>
          <w:sz w:val="20"/>
          <w:szCs w:val="20"/>
          <w:rtl w:val="0"/>
          <w:lang w:val="de-DE"/>
        </w:rPr>
        <w:t>φ</w:t>
      </w:r>
      <w:r>
        <w:rPr>
          <w:sz w:val="20"/>
          <w:szCs w:val="20"/>
          <w:rtl w:val="0"/>
          <w:lang w:val="en-US"/>
        </w:rPr>
        <w:t>̣</w:t>
      </w:r>
      <w:r>
        <w:rPr>
          <w:sz w:val="20"/>
          <w:szCs w:val="20"/>
          <w:rtl w:val="0"/>
          <w:lang w:val="en-US"/>
        </w:rPr>
        <w:t>[(</w:t>
      </w:r>
      <w:r>
        <w:rPr>
          <w:sz w:val="20"/>
          <w:szCs w:val="20"/>
          <w:rtl w:val="0"/>
        </w:rPr>
        <w:t>ία</w:t>
      </w:r>
      <w:r>
        <w:rPr>
          <w:sz w:val="20"/>
          <w:szCs w:val="20"/>
          <w:rtl w:val="0"/>
          <w:lang w:val="pt-PT"/>
        </w:rPr>
        <w:t xml:space="preserve">)] </w:t>
      </w:r>
      <w:r>
        <w:rPr>
          <w:sz w:val="20"/>
          <w:szCs w:val="20"/>
          <w:rtl w:val="0"/>
        </w:rPr>
        <w:t xml:space="preserve">Ἰ̣ω̣σ̣ὴ̣φ̣ </w:t>
      </w:r>
      <w:r>
        <w:rPr>
          <w:sz w:val="20"/>
          <w:szCs w:val="20"/>
          <w:rtl w:val="0"/>
          <w:lang w:val="de-DE"/>
        </w:rPr>
        <w:t>υ</w:t>
      </w:r>
      <w:r>
        <w:rPr>
          <w:sz w:val="20"/>
          <w:szCs w:val="20"/>
          <w:rtl w:val="0"/>
          <w:lang w:val="en-US"/>
        </w:rPr>
        <w:t>̣</w:t>
      </w:r>
      <w:r>
        <w:rPr>
          <w:sz w:val="20"/>
          <w:szCs w:val="20"/>
          <w:rtl w:val="0"/>
        </w:rPr>
        <w:t>ἱ̣ο̣ῦ̣ Ἀ̣β̣ρ̣α̣α̣μ̣ί̣ο̣υ̣ ἀ̣</w:t>
      </w:r>
      <w:r>
        <w:rPr>
          <w:sz w:val="20"/>
          <w:szCs w:val="20"/>
          <w:rtl w:val="0"/>
          <w:lang w:val="pt-PT"/>
        </w:rPr>
        <w:t>[</w:t>
      </w:r>
      <w:r>
        <w:rPr>
          <w:sz w:val="20"/>
          <w:szCs w:val="20"/>
          <w:rtl w:val="0"/>
        </w:rPr>
        <w:t>πὸ</w:t>
      </w:r>
      <w:r>
        <w:rPr>
          <w:sz w:val="20"/>
          <w:szCs w:val="20"/>
          <w:rtl w:val="0"/>
          <w:lang w:val="pt-PT"/>
        </w:rPr>
        <w:t xml:space="preserve">] </w:t>
      </w:r>
      <w:r>
        <w:rPr>
          <w:sz w:val="20"/>
          <w:szCs w:val="20"/>
          <w:rtl w:val="0"/>
        </w:rPr>
        <w:t>ἐ̣π̣ο̣ι̣κ̣ί̣ο̣υ̣ Π̣</w:t>
      </w:r>
      <w:r>
        <w:rPr>
          <w:sz w:val="20"/>
          <w:szCs w:val="20"/>
          <w:rtl w:val="0"/>
          <w:lang w:val="de-DE"/>
        </w:rPr>
        <w:t>α</w:t>
      </w:r>
      <w:r>
        <w:rPr>
          <w:sz w:val="20"/>
          <w:szCs w:val="20"/>
          <w:rtl w:val="0"/>
          <w:lang w:val="en-US"/>
        </w:rPr>
        <w:t>̣</w:t>
      </w:r>
      <w:r>
        <w:rPr>
          <w:sz w:val="20"/>
          <w:szCs w:val="20"/>
          <w:rtl w:val="0"/>
        </w:rPr>
        <w:t>ψ̣α̣υ̣ ἐναπογράφου̣</w:t>
      </w:r>
      <w:r>
        <w:rPr>
          <w:sz w:val="20"/>
          <w:szCs w:val="20"/>
          <w:rtl w:val="0"/>
          <w:lang w:val="en-US"/>
        </w:rPr>
        <w:t xml:space="preserve">; as for l. 2, it should have contained at least </w:t>
      </w:r>
      <w:r>
        <w:rPr>
          <w:sz w:val="20"/>
          <w:szCs w:val="20"/>
          <w:rtl w:val="0"/>
        </w:rPr>
        <w:t>ὑποδοχῆς ἄξονος ἑνός</w:t>
      </w:r>
      <w:r>
        <w:rPr>
          <w:sz w:val="20"/>
          <w:szCs w:val="20"/>
          <w:rtl w:val="0"/>
          <w:lang w:val="en-US"/>
        </w:rPr>
        <w:t xml:space="preserve">, cf. e.g. </w:t>
      </w:r>
      <w:r>
        <w:rPr>
          <w:rStyle w:val="Hyperlink.2"/>
        </w:rPr>
        <w:fldChar w:fldCharType="begin" w:fldLock="0"/>
      </w:r>
      <w:r>
        <w:rPr>
          <w:rStyle w:val="Hyperlink.2"/>
        </w:rPr>
        <w:instrText xml:space="preserve"> HYPERLINK "https://papyri.info/ddbdp/p.oxy;16;1983"</w:instrText>
      </w:r>
      <w:r>
        <w:rPr>
          <w:rStyle w:val="Hyperlink.2"/>
        </w:rPr>
        <w:fldChar w:fldCharType="separate" w:fldLock="0"/>
      </w:r>
      <w:r>
        <w:rPr>
          <w:rStyle w:val="Hyperlink.2"/>
          <w:rtl w:val="0"/>
        </w:rPr>
        <w:t>P.Oxy. 16 1983</w:t>
      </w:r>
      <w:r>
        <w:rPr/>
        <w:fldChar w:fldCharType="end" w:fldLock="0"/>
      </w:r>
      <w:r>
        <w:rPr>
          <w:sz w:val="20"/>
          <w:szCs w:val="20"/>
          <w:rtl w:val="0"/>
        </w:rPr>
        <w:t xml:space="preserve"> (535) </w:t>
      </w:r>
      <w:r>
        <w:rPr>
          <w:color w:val="000000"/>
          <w:sz w:val="20"/>
          <w:szCs w:val="20"/>
          <w:u w:color="000000"/>
          <w:rtl w:val="0"/>
        </w:rPr>
        <w:t xml:space="preserve">† </w:t>
      </w:r>
      <w:r>
        <w:rPr>
          <w:color w:val="000000"/>
          <w:sz w:val="20"/>
          <w:szCs w:val="20"/>
          <w:u w:color="000000"/>
          <w:rtl w:val="0"/>
          <w:lang w:val="en-US"/>
        </w:rPr>
        <w:t>χειρογραφ</w:t>
      </w:r>
      <w:r>
        <w:rPr>
          <w:color w:val="000000"/>
          <w:sz w:val="20"/>
          <w:szCs w:val="20"/>
          <w:u w:color="000000"/>
          <w:rtl w:val="0"/>
        </w:rPr>
        <w:t>(</w:t>
      </w:r>
      <w:r>
        <w:rPr>
          <w:color w:val="000000"/>
          <w:sz w:val="20"/>
          <w:szCs w:val="20"/>
          <w:u w:color="000000"/>
          <w:rtl w:val="0"/>
          <w:lang w:val="en-US"/>
        </w:rPr>
        <w:t>ία</w:t>
      </w:r>
      <w:r>
        <w:rPr>
          <w:color w:val="000000"/>
          <w:sz w:val="20"/>
          <w:szCs w:val="20"/>
          <w:u w:color="000000"/>
          <w:rtl w:val="0"/>
        </w:rPr>
        <w:t xml:space="preserve">) </w:t>
      </w:r>
      <w:r>
        <w:rPr>
          <w:color w:val="000000"/>
          <w:sz w:val="20"/>
          <w:szCs w:val="20"/>
          <w:u w:color="000000"/>
          <w:rtl w:val="0"/>
          <w:lang w:val="en-US"/>
        </w:rPr>
        <w:t>Βίκτορος</w:t>
      </w:r>
      <w:r>
        <w:rPr>
          <w:color w:val="000000"/>
          <w:sz w:val="20"/>
          <w:szCs w:val="20"/>
          <w:u w:color="000000"/>
          <w:rtl w:val="0"/>
        </w:rPr>
        <w:t xml:space="preserve"> </w:t>
      </w:r>
      <w:r>
        <w:rPr>
          <w:color w:val="000000"/>
          <w:sz w:val="20"/>
          <w:szCs w:val="20"/>
          <w:u w:color="000000"/>
          <w:rtl w:val="0"/>
          <w:lang w:val="en-US"/>
        </w:rPr>
        <w:t>υἱοῦ</w:t>
      </w:r>
      <w:r>
        <w:rPr>
          <w:color w:val="000000"/>
          <w:sz w:val="20"/>
          <w:szCs w:val="20"/>
          <w:u w:color="000000"/>
          <w:rtl w:val="0"/>
        </w:rPr>
        <w:t xml:space="preserve"> </w:t>
      </w:r>
      <w:r>
        <w:rPr>
          <w:color w:val="000000"/>
          <w:sz w:val="20"/>
          <w:szCs w:val="20"/>
          <w:u w:color="000000"/>
          <w:rtl w:val="0"/>
          <w:lang w:val="en-US"/>
        </w:rPr>
        <w:t>Ἀνουθίου</w:t>
      </w:r>
      <w:r>
        <w:rPr>
          <w:color w:val="000000"/>
          <w:sz w:val="20"/>
          <w:szCs w:val="20"/>
          <w:u w:color="000000"/>
          <w:rtl w:val="0"/>
        </w:rPr>
        <w:t xml:space="preserve"> </w:t>
      </w:r>
      <w:r>
        <w:rPr>
          <w:color w:val="000000"/>
          <w:sz w:val="20"/>
          <w:szCs w:val="20"/>
          <w:u w:color="000000"/>
          <w:rtl w:val="0"/>
          <w:lang w:val="en-US"/>
        </w:rPr>
        <w:t>ἀπὸ</w:t>
      </w:r>
      <w:r>
        <w:rPr>
          <w:color w:val="000000"/>
          <w:sz w:val="20"/>
          <w:szCs w:val="20"/>
          <w:u w:color="000000"/>
          <w:rtl w:val="0"/>
        </w:rPr>
        <w:t xml:space="preserve"> </w:t>
      </w:r>
      <w:r>
        <w:rPr>
          <w:color w:val="000000"/>
          <w:sz w:val="20"/>
          <w:szCs w:val="20"/>
          <w:u w:color="000000"/>
          <w:rtl w:val="0"/>
          <w:lang w:val="en-US"/>
        </w:rPr>
        <w:t>ἐποικ</w:t>
      </w:r>
      <w:r>
        <w:rPr>
          <w:color w:val="000000"/>
          <w:sz w:val="20"/>
          <w:szCs w:val="20"/>
          <w:u w:color="000000"/>
          <w:rtl w:val="0"/>
        </w:rPr>
        <w:t>(</w:t>
      </w:r>
      <w:r>
        <w:rPr>
          <w:color w:val="000000"/>
          <w:sz w:val="20"/>
          <w:szCs w:val="20"/>
          <w:u w:color="000000"/>
          <w:rtl w:val="0"/>
          <w:lang w:val="en-US"/>
        </w:rPr>
        <w:t>ίου</w:t>
      </w:r>
      <w:r>
        <w:rPr>
          <w:color w:val="000000"/>
          <w:sz w:val="20"/>
          <w:szCs w:val="20"/>
          <w:u w:color="000000"/>
          <w:rtl w:val="0"/>
        </w:rPr>
        <w:t xml:space="preserve">) </w:t>
      </w:r>
      <w:r>
        <w:rPr>
          <w:color w:val="000000"/>
          <w:sz w:val="20"/>
          <w:szCs w:val="20"/>
          <w:u w:color="000000"/>
          <w:rtl w:val="0"/>
          <w:lang w:val="en-US"/>
        </w:rPr>
        <w:t>Μικρ</w:t>
      </w:r>
      <w:r>
        <w:rPr>
          <w:color w:val="000000"/>
          <w:sz w:val="20"/>
          <w:szCs w:val="20"/>
          <w:u w:color="000000"/>
          <w:rtl w:val="0"/>
        </w:rPr>
        <w:t>(</w:t>
      </w:r>
      <w:r>
        <w:rPr>
          <w:color w:val="000000"/>
          <w:sz w:val="20"/>
          <w:szCs w:val="20"/>
          <w:u w:color="000000"/>
          <w:rtl w:val="0"/>
          <w:lang w:val="en-US"/>
        </w:rPr>
        <w:t>ᾶς</w:t>
      </w:r>
      <w:r>
        <w:rPr>
          <w:color w:val="000000"/>
          <w:sz w:val="20"/>
          <w:szCs w:val="20"/>
          <w:u w:color="000000"/>
          <w:rtl w:val="0"/>
        </w:rPr>
        <w:t xml:space="preserve">) </w:t>
      </w:r>
      <w:r>
        <w:rPr>
          <w:color w:val="000000"/>
          <w:sz w:val="20"/>
          <w:szCs w:val="20"/>
          <w:u w:color="000000"/>
          <w:rtl w:val="0"/>
          <w:lang w:val="en-US"/>
        </w:rPr>
        <w:t>Τερύθεως</w:t>
      </w:r>
      <w:r>
        <w:rPr>
          <w:color w:val="000000"/>
          <w:sz w:val="20"/>
          <w:szCs w:val="20"/>
          <w:u w:color="000000"/>
          <w:rtl w:val="0"/>
        </w:rPr>
        <w:t xml:space="preserve"> </w:t>
      </w:r>
      <w:r>
        <w:rPr>
          <w:color w:val="000000"/>
          <w:sz w:val="20"/>
          <w:szCs w:val="20"/>
          <w:u w:color="000000"/>
          <w:rtl w:val="0"/>
          <w:lang w:val="en-US"/>
        </w:rPr>
        <w:t>Ἀετίου</w:t>
      </w:r>
      <w:r>
        <w:rPr>
          <w:color w:val="000000"/>
          <w:sz w:val="20"/>
          <w:szCs w:val="20"/>
          <w:u w:color="000000"/>
          <w:rtl w:val="0"/>
        </w:rPr>
        <w:t xml:space="preserve"> </w:t>
      </w:r>
      <w:r>
        <w:rPr>
          <w:color w:val="000000"/>
          <w:sz w:val="20"/>
          <w:szCs w:val="20"/>
          <w:u w:color="000000"/>
          <w:rtl w:val="0"/>
          <w:lang w:val="en-US"/>
        </w:rPr>
        <w:t>ὑποδοχ</w:t>
      </w:r>
      <w:r>
        <w:rPr>
          <w:color w:val="000000"/>
          <w:sz w:val="20"/>
          <w:szCs w:val="20"/>
          <w:u w:color="000000"/>
          <w:rtl w:val="0"/>
        </w:rPr>
        <w:t>(</w:t>
      </w:r>
      <w:r>
        <w:rPr>
          <w:color w:val="000000"/>
          <w:sz w:val="20"/>
          <w:szCs w:val="20"/>
          <w:u w:color="000000"/>
          <w:rtl w:val="0"/>
          <w:lang w:val="en-US"/>
        </w:rPr>
        <w:t>ῆς</w:t>
      </w:r>
      <w:r>
        <w:rPr>
          <w:color w:val="000000"/>
          <w:sz w:val="20"/>
          <w:szCs w:val="20"/>
          <w:u w:color="000000"/>
          <w:rtl w:val="0"/>
        </w:rPr>
        <w:t xml:space="preserve">) | </w:t>
      </w:r>
      <w:r>
        <w:rPr>
          <w:rFonts w:ascii="Cambria Math" w:cs="Cambria Math" w:hAnsi="Cambria Math" w:eastAsia="Cambria Math"/>
          <w:color w:val="000000"/>
          <w:sz w:val="20"/>
          <w:szCs w:val="20"/>
          <w:u w:color="000000"/>
          <w:rtl w:val="0"/>
          <w:lang w:val="en-US"/>
        </w:rPr>
        <w:t>⟦</w:t>
      </w:r>
      <w:r>
        <w:rPr>
          <w:color w:val="000000"/>
          <w:sz w:val="20"/>
          <w:szCs w:val="20"/>
          <w:u w:color="000000"/>
          <w:rtl w:val="0"/>
          <w:lang w:val="en-US"/>
        </w:rPr>
        <w:t>σ</w:t>
      </w:r>
      <w:r>
        <w:rPr>
          <w:color w:val="000000"/>
          <w:sz w:val="20"/>
          <w:szCs w:val="20"/>
          <w:u w:color="000000"/>
          <w:rtl w:val="0"/>
        </w:rPr>
        <w:t>̣</w:t>
      </w:r>
      <w:r>
        <w:rPr>
          <w:color w:val="000000"/>
          <w:sz w:val="20"/>
          <w:szCs w:val="20"/>
          <w:u w:color="000000"/>
          <w:rtl w:val="0"/>
          <w:lang w:val="en-US"/>
        </w:rPr>
        <w:t>τ</w:t>
      </w:r>
      <w:r>
        <w:rPr>
          <w:color w:val="000000"/>
          <w:sz w:val="20"/>
          <w:szCs w:val="20"/>
          <w:u w:color="000000"/>
          <w:rtl w:val="0"/>
        </w:rPr>
        <w:t>̣</w:t>
      </w:r>
      <w:r>
        <w:rPr>
          <w:color w:val="000000"/>
          <w:sz w:val="20"/>
          <w:szCs w:val="20"/>
          <w:u w:color="000000"/>
          <w:rtl w:val="0"/>
          <w:lang w:val="en-US"/>
        </w:rPr>
        <w:t>ρ</w:t>
      </w:r>
      <w:r>
        <w:rPr>
          <w:color w:val="000000"/>
          <w:sz w:val="20"/>
          <w:szCs w:val="20"/>
          <w:u w:color="000000"/>
          <w:rtl w:val="0"/>
        </w:rPr>
        <w:t>̣</w:t>
      </w:r>
      <w:r>
        <w:rPr>
          <w:color w:val="000000"/>
          <w:sz w:val="20"/>
          <w:szCs w:val="20"/>
          <w:u w:color="000000"/>
          <w:rtl w:val="0"/>
          <w:lang w:val="en-US"/>
        </w:rPr>
        <w:t>ο</w:t>
      </w:r>
      <w:r>
        <w:rPr>
          <w:color w:val="000000"/>
          <w:sz w:val="20"/>
          <w:szCs w:val="20"/>
          <w:u w:color="000000"/>
          <w:rtl w:val="0"/>
        </w:rPr>
        <w:t>̣</w:t>
      </w:r>
      <w:r>
        <w:rPr>
          <w:color w:val="000000"/>
          <w:sz w:val="20"/>
          <w:szCs w:val="20"/>
          <w:u w:color="000000"/>
          <w:rtl w:val="0"/>
          <w:lang w:val="en-US"/>
        </w:rPr>
        <w:t>β</w:t>
      </w:r>
      <w:r>
        <w:rPr>
          <w:color w:val="000000"/>
          <w:sz w:val="20"/>
          <w:szCs w:val="20"/>
          <w:u w:color="000000"/>
          <w:rtl w:val="0"/>
        </w:rPr>
        <w:t>̣</w:t>
      </w:r>
      <w:r>
        <w:rPr>
          <w:color w:val="000000"/>
          <w:sz w:val="20"/>
          <w:szCs w:val="20"/>
          <w:u w:color="000000"/>
          <w:rtl w:val="0"/>
          <w:lang w:val="en-US"/>
        </w:rPr>
        <w:t>ί</w:t>
      </w:r>
      <w:r>
        <w:rPr>
          <w:color w:val="000000"/>
          <w:sz w:val="20"/>
          <w:szCs w:val="20"/>
          <w:u w:color="000000"/>
          <w:rtl w:val="0"/>
        </w:rPr>
        <w:t>̣</w:t>
      </w:r>
      <w:r>
        <w:rPr>
          <w:color w:val="000000"/>
          <w:sz w:val="20"/>
          <w:szCs w:val="20"/>
          <w:u w:color="000000"/>
          <w:rtl w:val="0"/>
          <w:lang w:val="en-US"/>
        </w:rPr>
        <w:t>λλο</w:t>
      </w:r>
      <w:r>
        <w:rPr>
          <w:color w:val="000000"/>
          <w:sz w:val="20"/>
          <w:szCs w:val="20"/>
          <w:u w:color="000000"/>
          <w:rtl w:val="0"/>
        </w:rPr>
        <w:t>̣</w:t>
      </w:r>
      <w:r>
        <w:rPr>
          <w:color w:val="000000"/>
          <w:sz w:val="20"/>
          <w:szCs w:val="20"/>
          <w:u w:color="000000"/>
          <w:rtl w:val="0"/>
          <w:lang w:val="en-US"/>
        </w:rPr>
        <w:t>υ</w:t>
      </w:r>
      <w:r>
        <w:rPr>
          <w:color w:val="000000"/>
          <w:sz w:val="20"/>
          <w:szCs w:val="20"/>
          <w:u w:color="000000"/>
          <w:rtl w:val="0"/>
        </w:rPr>
        <w:t xml:space="preserve">̣ </w:t>
      </w:r>
      <w:r>
        <w:rPr>
          <w:color w:val="000000"/>
          <w:sz w:val="20"/>
          <w:szCs w:val="20"/>
          <w:u w:color="000000"/>
          <w:rtl w:val="0"/>
          <w:lang w:val="en-US"/>
        </w:rPr>
        <w:t>καὶ</w:t>
      </w:r>
      <w:r>
        <w:rPr>
          <w:rFonts w:ascii="Cambria Math" w:cs="Cambria Math" w:hAnsi="Cambria Math" w:eastAsia="Cambria Math"/>
          <w:color w:val="000000"/>
          <w:sz w:val="20"/>
          <w:szCs w:val="20"/>
          <w:u w:color="000000"/>
          <w:rtl w:val="0"/>
          <w:lang w:val="en-US"/>
        </w:rPr>
        <w:t>⟧</w:t>
      </w:r>
      <w:r>
        <w:rPr>
          <w:color w:val="000000"/>
          <w:sz w:val="20"/>
          <w:szCs w:val="20"/>
          <w:u w:color="000000"/>
          <w:rtl w:val="0"/>
        </w:rPr>
        <w:t xml:space="preserve"> </w:t>
      </w:r>
      <w:r>
        <w:rPr>
          <w:color w:val="000000"/>
          <w:sz w:val="20"/>
          <w:szCs w:val="20"/>
          <w:u w:color="000000"/>
          <w:rtl w:val="0"/>
          <w:lang w:val="en-US"/>
        </w:rPr>
        <w:t>καλάθου</w:t>
      </w:r>
      <w:r>
        <w:rPr>
          <w:color w:val="000000"/>
          <w:sz w:val="20"/>
          <w:szCs w:val="20"/>
          <w:u w:color="000000"/>
          <w:rtl w:val="0"/>
        </w:rPr>
        <w:t xml:space="preserve"> </w:t>
      </w:r>
      <w:r>
        <w:rPr>
          <w:color w:val="000000"/>
          <w:sz w:val="20"/>
          <w:szCs w:val="20"/>
          <w:u w:color="000000"/>
          <w:rtl w:val="0"/>
          <w:lang w:val="en-US"/>
        </w:rPr>
        <w:t>ἑνός</w:t>
      </w:r>
      <w:r>
        <w:rPr>
          <w:color w:val="000000"/>
          <w:sz w:val="20"/>
          <w:szCs w:val="20"/>
          <w:u w:color="000000"/>
          <w:rtl w:val="0"/>
          <w:lang w:val="en-US"/>
        </w:rPr>
        <w:t xml:space="preserve"> (the ed. marks a line change after </w:t>
      </w:r>
      <w:r>
        <w:rPr>
          <w:color w:val="000000"/>
          <w:sz w:val="20"/>
          <w:szCs w:val="20"/>
          <w:u w:color="000000"/>
          <w:rtl w:val="0"/>
          <w:lang w:val="en-US"/>
        </w:rPr>
        <w:t>Τ</w:t>
      </w:r>
      <w:r>
        <w:rPr>
          <w:color w:val="000000"/>
          <w:sz w:val="20"/>
          <w:szCs w:val="20"/>
          <w:u w:color="000000"/>
          <w:rtl w:val="0"/>
        </w:rPr>
        <w:t>ερύθεως</w:t>
      </w:r>
      <w:r>
        <w:rPr>
          <w:color w:val="000000"/>
          <w:sz w:val="20"/>
          <w:szCs w:val="20"/>
          <w:u w:color="000000"/>
          <w:rtl w:val="0"/>
          <w:lang w:val="en-US"/>
        </w:rPr>
        <w:t xml:space="preserve">, but the image available online shows that this happens after </w:t>
      </w:r>
      <w:r>
        <w:rPr>
          <w:color w:val="000000"/>
          <w:sz w:val="20"/>
          <w:szCs w:val="20"/>
          <w:u w:color="000000"/>
          <w:rtl w:val="0"/>
          <w:lang w:val="en-US"/>
        </w:rPr>
        <w:t>ὑ</w:t>
      </w:r>
      <w:r>
        <w:rPr>
          <w:color w:val="000000"/>
          <w:sz w:val="20"/>
          <w:szCs w:val="20"/>
          <w:u w:color="000000"/>
          <w:rtl w:val="0"/>
        </w:rPr>
        <w:t>ποδοχ</w:t>
      </w:r>
      <w:r>
        <w:rPr>
          <w:color w:val="000000"/>
          <w:sz w:val="20"/>
          <w:szCs w:val="20"/>
          <w:u w:color="000000"/>
          <w:rtl w:val="0"/>
        </w:rPr>
        <w:t>(</w:t>
      </w:r>
      <w:r>
        <w:rPr>
          <w:color w:val="000000"/>
          <w:sz w:val="20"/>
          <w:szCs w:val="20"/>
          <w:u w:color="000000"/>
          <w:rtl w:val="0"/>
        </w:rPr>
        <w:t>ῆς</w:t>
      </w:r>
      <w:r>
        <w:rPr>
          <w:color w:val="000000"/>
          <w:sz w:val="20"/>
          <w:szCs w:val="20"/>
          <w:u w:color="000000"/>
          <w:rtl w:val="0"/>
        </w:rPr>
        <w:t>).</w:t>
      </w:r>
    </w:p>
  </w:footnote>
  <w:footnote w:id="7">
    <w:p>
      <w:pPr>
        <w:pStyle w:val="footnote text"/>
      </w:pPr>
      <w:r>
        <w:rPr>
          <w:rFonts w:ascii="Calibri" w:cs="Calibri" w:hAnsi="Calibri" w:eastAsia="Calibri"/>
          <w:b w:val="1"/>
          <w:bCs w:val="1"/>
          <w:vertAlign w:val="superscript"/>
          <w:lang w:val="en-US"/>
        </w:rPr>
        <w:footnoteRef/>
      </w:r>
      <w:r>
        <w:rPr>
          <w:rtl w:val="0"/>
          <w:lang w:val="en-US"/>
        </w:rPr>
        <w:t xml:space="preserve"> Edited in full by N. Gonis and T. M. Hickey in P.Oxy. 70, pp. 135</w:t>
      </w:r>
      <w:r>
        <w:rPr>
          <w:rtl w:val="0"/>
          <w:lang w:val="en-US"/>
        </w:rPr>
        <w:t>–</w:t>
      </w:r>
      <w:r>
        <w:rPr>
          <w:rtl w:val="0"/>
          <w:lang w:val="en-US"/>
        </w:rPr>
        <w:t xml:space="preserve">136.  </w:t>
      </w:r>
    </w:p>
  </w:footnote>
  <w:footnote w:id="8">
    <w:p>
      <w:pPr>
        <w:pStyle w:val="footnote text"/>
      </w:pPr>
      <w:r>
        <w:rPr>
          <w:vertAlign w:val="superscript"/>
          <w:lang w:val="en-US"/>
        </w:rPr>
        <w:footnoteRef/>
      </w:r>
      <w:r>
        <w:rPr>
          <w:rtl w:val="0"/>
          <w:lang w:val="en-US"/>
        </w:rPr>
        <w:t xml:space="preserve"> On possible model contracts written on papyrus see Cl. </w:t>
      </w:r>
      <w:r>
        <w:rPr>
          <w:rtl w:val="0"/>
          <w:lang w:val="it-IT"/>
        </w:rPr>
        <w:t>Gallazzi, P.Bastianini 6, p. 59, n. 41.</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IFAO-Grec Unicode" w:cs="Arial Unicode MS" w:hAnsi="IFAO-Grec Unicode" w:eastAsia="Arial Unicode MS"/>
      <w:b w:val="0"/>
      <w:bCs w:val="0"/>
      <w:i w:val="0"/>
      <w:iCs w:val="0"/>
      <w:caps w:val="0"/>
      <w:smallCaps w:val="0"/>
      <w:strike w:val="0"/>
      <w:dstrike w:val="0"/>
      <w:outline w:val="0"/>
      <w:color w:val="c82505"/>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Link">
    <w:name w:val="Link"/>
    <w:rPr>
      <w:color w:val="0563c1"/>
      <w:u w:val="single" w:color="0563c1"/>
    </w:rPr>
  </w:style>
  <w:style w:type="character" w:styleId="Hyperlink.0">
    <w:name w:val="Hyperlink.0"/>
    <w:basedOn w:val="Link"/>
    <w:next w:val="Hyperlink.0"/>
    <w:rPr>
      <w:lang w:val="en-US"/>
    </w:rPr>
  </w:style>
  <w:style w:type="character" w:styleId="Hyperlink.1">
    <w:name w:val="Hyperlink.1"/>
    <w:basedOn w:val="Link"/>
    <w:next w:val="Hyperlink.1"/>
    <w:rPr>
      <w:rFonts w:ascii="Trebuchet MS" w:cs="Trebuchet MS" w:hAnsi="Trebuchet MS" w:eastAsia="Trebuchet MS"/>
      <w:b w:val="1"/>
      <w:bCs w:val="1"/>
      <w:lang w:val="en-US"/>
    </w:rPr>
  </w:style>
  <w:style w:type="character" w:styleId="Hyperlink.2">
    <w:name w:val="Hyperlink.2"/>
    <w:basedOn w:val="Link"/>
    <w:next w:val="Hyperlink.2"/>
    <w:rPr>
      <w:sz w:val="20"/>
      <w:szCs w:val="20"/>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3">
    <w:name w:val="Hyperlink.3"/>
    <w:basedOn w:val="Link"/>
    <w:next w:val="Hyperlink.3"/>
    <w:rPr>
      <w:rFonts w:ascii="IFAO-Grec Unicode" w:cs="IFAO-Grec Unicode" w:hAnsi="IFAO-Grec Unicode" w:eastAsia="IFAO-Grec Unicode"/>
      <w:color w:val="0432ff"/>
      <w:sz w:val="24"/>
      <w:szCs w:val="24"/>
    </w:rPr>
  </w:style>
  <w:style w:type="character" w:styleId="Hyperlink.4">
    <w:name w:val="Hyperlink.4"/>
    <w:basedOn w:val="Link"/>
    <w:next w:val="Hyperlink.4"/>
    <w:rPr>
      <w:rFonts w:ascii="IFAO-Grec Unicode" w:cs="IFAO-Grec Unicode" w:hAnsi="IFAO-Grec Unicode" w:eastAsia="IFAO-Grec Unicode"/>
      <w:color w:val="0432ff"/>
      <w:sz w:val="24"/>
      <w:szCs w:val="24"/>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