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#articleTitle</w:t>
      </w:r>
    </w:p>
    <w:p>
      <w:pPr>
        <w:pStyle w:val="Body"/>
      </w:pPr>
      <w:r>
        <w:rPr>
          <w:rtl w:val="0"/>
          <w:lang w:val="en-US"/>
        </w:rPr>
        <w:t>A Property Declaration from Theadelphia</w:t>
      </w:r>
    </w:p>
    <w:p>
      <w:pPr>
        <w:pStyle w:val="Body"/>
      </w:pPr>
      <w:r>
        <w:rPr>
          <w:rtl w:val="0"/>
          <w:lang w:val="en-US"/>
        </w:rPr>
        <w:t>#author</w:t>
      </w:r>
    </w:p>
    <w:p>
      <w:pPr>
        <w:pStyle w:val="Body"/>
      </w:pPr>
      <w:r>
        <w:rPr>
          <w:rtl w:val="0"/>
        </w:rPr>
        <w:t>Claytor, W. Graham</w:t>
      </w:r>
    </w:p>
    <w:p>
      <w:pPr>
        <w:pStyle w:val="Body"/>
      </w:pPr>
      <w:r>
        <w:rPr>
          <w:rtl w:val="0"/>
          <w:lang w:val="fr-FR"/>
        </w:rPr>
        <w:t>#affiliation</w:t>
      </w:r>
    </w:p>
    <w:p>
      <w:pPr>
        <w:pStyle w:val="Body"/>
      </w:pPr>
      <w:r>
        <w:rPr>
          <w:rtl w:val="0"/>
        </w:rPr>
        <w:t>Uniwersytet Warszawski</w:t>
      </w:r>
    </w:p>
    <w:p>
      <w:pPr>
        <w:pStyle w:val="Body"/>
        <w:rPr>
          <w:rFonts w:ascii="IFAO-Grec Unicode" w:cs="IFAO-Grec Unicode" w:hAnsi="IFAO-Grec Unicode" w:eastAsia="IFAO-Grec Unicode"/>
          <w:sz w:val="24"/>
          <w:szCs w:val="24"/>
          <w:u w:color="ff2600"/>
        </w:rPr>
      </w:pPr>
      <w:r>
        <w:rPr>
          <w:rFonts w:ascii="IFAO-Grec Unicode" w:hAnsi="IFAO-Grec Unicode"/>
          <w:sz w:val="24"/>
          <w:szCs w:val="24"/>
          <w:u w:color="ff2600"/>
          <w:rtl w:val="0"/>
          <w:lang w:val="en-US"/>
        </w:rPr>
        <w:t>#email</w:t>
      </w:r>
    </w:p>
    <w:p>
      <w:pPr>
        <w:pStyle w:val="Body"/>
        <w:rPr>
          <w:rFonts w:ascii="IFAO-Grec Unicode" w:cs="IFAO-Grec Unicode" w:hAnsi="IFAO-Grec Unicode" w:eastAsia="IFAO-Grec Unicode"/>
          <w:sz w:val="24"/>
          <w:szCs w:val="24"/>
        </w:rPr>
      </w:pPr>
      <w:r>
        <w:rPr>
          <w:rFonts w:ascii="Calibri" w:hAnsi="Calibri"/>
          <w:sz w:val="22"/>
          <w:szCs w:val="22"/>
          <w:rtl w:val="0"/>
        </w:rPr>
        <w:t>w.claytor-vi@uw.edu.pl</w:t>
      </w:r>
    </w:p>
    <w:p>
      <w:pPr>
        <w:pStyle w:val="Body"/>
        <w:rPr>
          <w:rFonts w:ascii="IFAO-Grec Unicode" w:cs="IFAO-Grec Unicode" w:hAnsi="IFAO-Grec Unicode" w:eastAsia="IFAO-Grec Unicode"/>
          <w:sz w:val="24"/>
          <w:szCs w:val="24"/>
        </w:rPr>
      </w:pPr>
    </w:p>
    <w:p>
      <w:pPr>
        <w:pStyle w:val="Body"/>
        <w:rPr>
          <w:rFonts w:ascii="IFAO-Grec Unicode" w:cs="IFAO-Grec Unicode" w:hAnsi="IFAO-Grec Unicode" w:eastAsia="IFAO-Grec Unicode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#acknowledgement</w:t>
      </w:r>
    </w:p>
    <w:p>
      <w:pPr>
        <w:pStyle w:val="Body"/>
        <w:rPr>
          <w:smallCaps w:val="1"/>
        </w:rPr>
      </w:pPr>
      <w:r>
        <w:rPr>
          <w:rtl w:val="0"/>
          <w:lang w:val="en-US"/>
        </w:rPr>
        <w:t>This edition is based on autopsy and digital images. I thank curator Eric White and the staff of Special Collections of Firestone Library, Princeton University for facilitating access to the papyrus collection. Research for this article was co-funded by Poland</w:t>
      </w:r>
      <w:r>
        <w:rPr>
          <w:rtl w:val="1"/>
        </w:rPr>
        <w:t>’</w:t>
      </w:r>
      <w:r>
        <w:rPr>
          <w:rtl w:val="0"/>
          <w:lang w:val="en-US"/>
        </w:rPr>
        <w:t>s National Science Centre and the European Union</w:t>
      </w:r>
      <w:r>
        <w:rPr>
          <w:rtl w:val="1"/>
        </w:rPr>
        <w:t>’</w:t>
      </w:r>
      <w:r>
        <w:rPr>
          <w:rtl w:val="0"/>
          <w:lang w:val="en-US"/>
        </w:rPr>
        <w:t>s Horizon 2020 research and innovation program under the Marie Sk</w:t>
      </w:r>
      <w:r>
        <w:rPr>
          <w:rtl w:val="0"/>
        </w:rPr>
        <w:t>ł</w:t>
      </w:r>
      <w:r>
        <w:rPr>
          <w:rtl w:val="0"/>
          <w:lang w:val="en-US"/>
        </w:rPr>
        <w:t>odowska-Curie grant agreement no. 945339 (project No. 2021/43/P/HS3/00651).</w:t>
      </w:r>
    </w:p>
    <w:p>
      <w:pPr>
        <w:pStyle w:val="Body"/>
      </w:pPr>
    </w:p>
    <w:p>
      <w:pPr>
        <w:pStyle w:val="Body"/>
        <w:ind w:firstLine="720"/>
      </w:pPr>
      <w:r>
        <w:rPr>
          <w:rtl w:val="0"/>
          <w:lang w:val="en-US"/>
        </w:rPr>
        <w:t xml:space="preserve">This fragment contains a property declaration submitted by a tenant of the estate of Claudia Antonia, daughter of the emperor Claudius. The </w:t>
      </w:r>
      <w:r>
        <w:rPr>
          <w:rtl w:val="0"/>
          <w:lang w:val="pt-PT"/>
        </w:rPr>
        <w:t xml:space="preserve">terminus ante quem </w:t>
      </w:r>
      <w:r>
        <w:rPr>
          <w:rtl w:val="0"/>
          <w:lang w:val="en-US"/>
        </w:rPr>
        <w:t>is her father</w:t>
      </w:r>
      <w:r>
        <w:rPr>
          <w:rtl w:val="1"/>
        </w:rPr>
        <w:t>’</w:t>
      </w:r>
      <w:r>
        <w:rPr>
          <w:rtl w:val="0"/>
          <w:lang w:val="en-US"/>
        </w:rPr>
        <w:t>s death in 54 CE (see ll. 6</w:t>
      </w:r>
      <w:r>
        <w:rPr>
          <w:rtl w:val="0"/>
        </w:rPr>
        <w:t>–</w:t>
      </w:r>
      <w:r>
        <w:rPr>
          <w:rtl w:val="0"/>
          <w:lang w:val="en-US"/>
        </w:rPr>
        <w:t>7 n.), which, combined with the formula in l. 8, suggests that the document belongs to the group of declarations submitted in 53</w:t>
      </w:r>
      <w:r>
        <w:rPr>
          <w:rtl w:val="0"/>
        </w:rPr>
        <w:t>–</w:t>
      </w:r>
      <w:r>
        <w:rPr>
          <w:rtl w:val="0"/>
          <w:lang w:val="en-US"/>
        </w:rPr>
        <w:t>54, the first of their kind in Roman Egypt. These declarations were prompted by the prefect L. Lusius Geta,</w:t>
      </w:r>
      <w:r>
        <w:rPr>
          <w:vertAlign w:val="superscript"/>
        </w:rPr>
        <w:footnoteReference w:id="1"/>
      </w:r>
      <w:r>
        <w:rPr>
          <w:rtl w:val="0"/>
          <w:lang w:val="en-US"/>
        </w:rPr>
        <w:t xml:space="preserve"> who ordered a province-wide census of property holdings.</w:t>
      </w:r>
      <w:r>
        <w:rPr>
          <w:vertAlign w:val="superscript"/>
        </w:rPr>
        <w:footnoteReference w:id="2"/>
      </w:r>
      <w:r>
        <w:rPr>
          <w:rtl w:val="0"/>
          <w:lang w:val="en-US"/>
        </w:rPr>
        <w:t xml:space="preserve"> This initiative would be followed up about 15 years later by the creation of a separate archive of real property (the </w:t>
      </w:r>
      <w:r>
        <w:rPr>
          <w:rtl w:val="0"/>
          <w:lang w:val="nl-NL"/>
        </w:rPr>
        <w:t>bibliotheke enkteseon</w:t>
      </w:r>
      <w:r>
        <w:rPr>
          <w:rtl w:val="0"/>
          <w:lang w:val="en-US"/>
        </w:rPr>
        <w:t>) in each nome, which thereafter would handle such declarations.</w:t>
      </w:r>
      <w:r>
        <w:rPr>
          <w:vertAlign w:val="superscript"/>
        </w:rPr>
        <w:footnoteReference w:id="3"/>
      </w:r>
    </w:p>
    <w:p>
      <w:pPr>
        <w:pStyle w:val="Body"/>
        <w:ind w:firstLine="720"/>
      </w:pPr>
      <w:r>
        <w:rPr>
          <w:rtl w:val="0"/>
          <w:lang w:val="en-US"/>
        </w:rPr>
        <w:t>With two recent additions from the Oxyrhynchite nome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"https://www.trismegistos.org/text/998575"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P.Harr. 3 246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"https://www.trismegistos.org/text/998576"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247</w:t>
      </w:r>
      <w:r>
        <w:rPr/>
        <w:fldChar w:fldCharType="end" w:fldLock="0"/>
      </w:r>
      <w:r>
        <w:rPr>
          <w:rtl w:val="0"/>
        </w:rPr>
        <w:t xml:space="preserve">), </w:t>
      </w:r>
      <w:r>
        <w:rPr>
          <w:rtl w:val="0"/>
          <w:lang w:val="de-DE"/>
        </w:rPr>
        <w:t>the present document</w:t>
      </w:r>
      <w:r>
        <w:rPr>
          <w:rtl w:val="0"/>
          <w:lang w:val="en-US"/>
        </w:rPr>
        <w:t xml:space="preserve"> is now the ninth declaration connected with this first general survey of property holdings in the province.</w:t>
      </w:r>
    </w:p>
    <w:p>
      <w:pPr>
        <w:pStyle w:val="Body"/>
        <w:ind w:firstLine="720"/>
      </w:pPr>
    </w:p>
    <w:p>
      <w:pPr>
        <w:pStyle w:val="Body"/>
        <w:ind w:firstLine="720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3"/>
        <w:gridCol w:w="3113"/>
        <w:gridCol w:w="3114"/>
      </w:tblGrid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"https://papyri.info/ddbdp/p.mich%3B9%3B539"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</w:rPr>
              <w:t>P.Mich. 9 539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Arsinoites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 June, 53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left="720"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"https://papyri.info/ddbdp/p.oxy%3B47%3B3332"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</w:rPr>
              <w:t>P.Oxy. 47 3332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Arsinoites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 June, 53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"https://papyri.info/ddbdp/p.mich%3B9%3B540"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</w:rPr>
              <w:t>P.Mich. 9 540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Arsinoites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P.Princ. inv. GD 7650A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Arsinoites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left="720"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"https://papyri.info/ddbdp/sb%3B20%3B14392coli"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  <w:lang w:val="de-DE"/>
              </w:rPr>
              <w:t>SB 20 14392, col. 1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Memphites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before 15 July, 53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"https://papyri.info/ddbdp/sb%3B20%3B14392colii"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  <w:lang w:val="it-IT"/>
              </w:rPr>
              <w:t>SB 20 14392, col. 2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Memphites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 July, 53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left="720"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"https://www.trismegistos.org/text/112652"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  <w:lang w:val="en-US"/>
              </w:rPr>
              <w:t>PSI 15 1521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Oxyrhynchites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 Jan. (?), 54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"https://www.trismegistos.org/text/998575"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  <w:lang w:val="de-DE"/>
              </w:rPr>
              <w:t>P.Harr. 3 246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Oxyrhynchites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</w:p>
        </w:tc>
      </w:tr>
      <w:tr>
        <w:tblPrEx>
          <w:shd w:val="clear" w:color="auto" w:fill="d0ddef"/>
        </w:tblPrEx>
        <w:trPr>
          <w:trHeight w:val="37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ind w:firstLine="720"/>
              <w:jc w:val="right"/>
            </w:pPr>
            <w:r>
              <w:rPr>
                <w:rStyle w:val="Link"/>
              </w:rPr>
              <w:fldChar w:fldCharType="begin" w:fldLock="0"/>
            </w:r>
            <w:r>
              <w:rPr>
                <w:rStyle w:val="Link"/>
              </w:rPr>
              <w:instrText xml:space="preserve"> HYPERLINK "https://www.trismegistos.org/text/998576"</w:instrText>
            </w:r>
            <w:r>
              <w:rPr>
                <w:rStyle w:val="Link"/>
              </w:rPr>
              <w:fldChar w:fldCharType="separate" w:fldLock="0"/>
            </w:r>
            <w:r>
              <w:rPr>
                <w:rStyle w:val="Link"/>
                <w:rtl w:val="0"/>
              </w:rPr>
              <w:t>P.Harr. 3 247</w:t>
            </w:r>
            <w:r>
              <w:rPr/>
              <w:fldChar w:fldCharType="end" w:fldLock="0"/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Oxyrhynchites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</w:t>
            </w:r>
          </w:p>
        </w:tc>
      </w:tr>
    </w:tbl>
    <w:p>
      <w:pPr>
        <w:pStyle w:val="Body"/>
        <w:spacing w:line="360" w:lineRule="auto"/>
        <w:rPr>
          <w:smallCaps w:val="1"/>
        </w:rPr>
      </w:pPr>
    </w:p>
    <w:p>
      <w:pPr>
        <w:pStyle w:val="Body"/>
        <w:spacing w:line="360" w:lineRule="auto"/>
        <w:rPr>
          <w:smallCaps w:val="1"/>
        </w:rPr>
      </w:pPr>
    </w:p>
    <w:p>
      <w:pPr>
        <w:pStyle w:val="Body"/>
        <w:ind w:left="720" w:hanging="720"/>
      </w:pPr>
      <w:r>
        <w:rPr>
          <w:rtl w:val="0"/>
          <w:lang w:val="de-DE"/>
        </w:rPr>
        <w:t>#editionDDB</w:t>
      </w:r>
    </w:p>
    <w:p>
      <w:pPr>
        <w:pStyle w:val="Body"/>
        <w:ind w:left="720" w:hanging="720"/>
      </w:pPr>
    </w:p>
    <w:p>
      <w:pPr>
        <w:pStyle w:val="footnote text"/>
        <w:suppressAutoHyphens w:val="1"/>
        <w:spacing w:after="160" w:line="259" w:lineRule="auto"/>
        <w:rPr>
          <w:rFonts w:ascii="IFAO-Grec Unicode" w:cs="IFAO-Grec Unicode" w:hAnsi="IFAO-Grec Unicode" w:eastAsia="IFAO-Grec Unicode"/>
          <w:kern w:val="0"/>
          <w:sz w:val="22"/>
          <w:szCs w:val="22"/>
          <w14:textOutline w14:w="12700" w14:cap="flat">
            <w14:noFill/>
            <w14:miter w14:lim="400000"/>
          </w14:textOutline>
        </w:rPr>
      </w:pPr>
      <w:r>
        <w:rPr>
          <w:rFonts w:ascii="IFAO-Grec Unicode" w:cs="Aptos" w:hAnsi="IFAO-Grec Unicode" w:eastAsia="Aptos"/>
          <w:kern w:val="0"/>
          <w:sz w:val="22"/>
          <w:szCs w:val="22"/>
          <w:rtl w:val="0"/>
          <w:lang w:val="de-DE"/>
          <w14:textOutline w14:w="12700" w14:cap="flat">
            <w14:noFill/>
            <w14:miter w14:lim="400000"/>
          </w14:textOutline>
        </w:rPr>
        <w:t>#metadata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225"/>
        <w:gridCol w:w="7115"/>
      </w:tblGrid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Located: Place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Theadelphia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TM number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566211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HGV number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566211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ddb-filename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pylon.6.7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ddb-hybrid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Pylon;6;7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Descriptive title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 xml:space="preserve">A </w:t>
            </w:r>
            <w:r>
              <w:rPr>
                <w:rtl w:val="0"/>
                <w:lang w:val="de-DE"/>
              </w:rPr>
              <w:t>p</w:t>
            </w:r>
            <w:r>
              <w:rPr>
                <w:rtl w:val="0"/>
                <w:lang w:val="en-US"/>
              </w:rPr>
              <w:t xml:space="preserve">roperty </w:t>
            </w:r>
            <w:r>
              <w:rPr>
                <w:rtl w:val="0"/>
                <w:lang w:val="de-DE"/>
              </w:rPr>
              <w:t>d</w:t>
            </w:r>
            <w:r>
              <w:rPr>
                <w:rtl w:val="0"/>
                <w:lang w:val="en-US"/>
              </w:rPr>
              <w:t>eclaration from Theadelphia</w:t>
            </w:r>
            <w:r>
              <w:rPr>
                <w:sz w:val="24"/>
                <w:szCs w:val="24"/>
                <w:u w:color="ff0000"/>
                <w:shd w:val="clear" w:color="auto" w:fill="ffffff"/>
                <w:rtl w:val="0"/>
              </w:rPr>
              <w:t xml:space="preserve"> 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Date of text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53</w:t>
            </w:r>
            <w:r>
              <w:rPr>
                <w:shd w:val="nil" w:color="auto" w:fill="auto"/>
                <w:rtl w:val="0"/>
                <w:lang w:val="en-US"/>
              </w:rPr>
              <w:t>–</w:t>
            </w:r>
            <w:r>
              <w:rPr>
                <w:shd w:val="nil" w:color="auto" w:fill="auto"/>
                <w:rtl w:val="0"/>
                <w:lang w:val="en-US"/>
              </w:rPr>
              <w:t xml:space="preserve">54 CE          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Inventory no.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P.Princ. inv. GD 7650 A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1d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ad1d7"/>
        </w:tblPrEx>
        <w:trPr>
          <w:trHeight w:val="460" w:hRule="atLeast"/>
        </w:trPr>
        <w:tc>
          <w:tcPr>
            <w:tcW w:type="dxa" w:w="22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Images: online</w:t>
            </w:r>
          </w:p>
        </w:tc>
        <w:tc>
          <w:tcPr>
            <w:tcW w:type="dxa" w:w="7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9ec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https://dpul.princeton.edu/papyri/catalog/zk51vn23j</w:t>
            </w:r>
          </w:p>
        </w:tc>
      </w:tr>
    </w:tbl>
    <w:p>
      <w:pPr>
        <w:pStyle w:val="footnote text"/>
        <w:suppressAutoHyphens w:val="1"/>
        <w:spacing w:after="160" w:line="259" w:lineRule="auto"/>
        <w:rPr>
          <w:rFonts w:ascii="IFAO-Grec Unicode" w:cs="IFAO-Grec Unicode" w:hAnsi="IFAO-Grec Unicode" w:eastAsia="IFAO-Grec Unicode"/>
          <w:kern w:val="0"/>
          <w:sz w:val="22"/>
          <w:szCs w:val="22"/>
          <w14:textOutline w14:w="12700" w14:cap="flat">
            <w14:noFill/>
            <w14:miter w14:lim="400000"/>
          </w14:textOutline>
        </w:rPr>
      </w:pPr>
    </w:p>
    <w:p>
      <w:pPr>
        <w:pStyle w:val="footnote text"/>
        <w:suppressAutoHyphens w:val="1"/>
        <w:spacing w:after="160" w:line="259" w:lineRule="auto"/>
        <w:rPr>
          <w:rFonts w:ascii="Aptos" w:cs="Aptos" w:hAnsi="Aptos" w:eastAsia="Aptos"/>
          <w:kern w:val="2"/>
          <w:sz w:val="22"/>
          <w:szCs w:val="22"/>
          <w14:textOutline w14:w="12700" w14:cap="flat">
            <w14:noFill/>
            <w14:miter w14:lim="400000"/>
          </w14:textOutline>
        </w:rPr>
      </w:pPr>
    </w:p>
    <w:p>
      <w:pPr>
        <w:pStyle w:val="Body"/>
        <w:ind w:left="720" w:hanging="720"/>
      </w:pPr>
    </w:p>
    <w:p>
      <w:pPr>
        <w:pStyle w:val="Body"/>
        <w:spacing w:line="360" w:lineRule="auto"/>
        <w:rPr>
          <w:smallCaps w:val="1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20"/>
        <w:gridCol w:w="3106"/>
        <w:gridCol w:w="3134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"https://dpul.princeton.edu/papyri/catalog/zk51vn23j"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</w:rPr>
              <w:t>P.Princ. inv. GD 7650 A</w:t>
            </w:r>
            <w:r>
              <w:rPr/>
              <w:fldChar w:fldCharType="end" w:fldLock="0"/>
            </w:r>
          </w:p>
        </w:tc>
        <w:tc>
          <w:tcPr>
            <w:tcW w:type="dxa" w:w="3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 (h) x 5 (w) cm</w:t>
            </w:r>
          </w:p>
        </w:tc>
        <w:tc>
          <w:tcPr>
            <w:tcW w:type="dxa" w:w="31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"http://www.trismegistos.org/place/2349"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Theadelphia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de-DE"/>
              </w:rPr>
              <w:t>Acquired</w:t>
            </w:r>
            <w:r>
              <w:rPr>
                <w:shd w:val="nil" w:color="auto" w:fill="auto"/>
                <w:rtl w:val="0"/>
                <w:lang w:val="en-US"/>
              </w:rPr>
              <w:t xml:space="preserve"> in 1924</w:t>
            </w:r>
          </w:p>
        </w:tc>
        <w:tc>
          <w:tcPr>
            <w:tcW w:type="dxa" w:w="31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53</w:t>
            </w:r>
            <w:r>
              <w:rPr>
                <w:shd w:val="nil" w:color="auto" w:fill="auto"/>
                <w:rtl w:val="0"/>
                <w:lang w:val="en-US"/>
              </w:rPr>
              <w:t>–</w:t>
            </w:r>
            <w:r>
              <w:rPr>
                <w:shd w:val="nil" w:color="auto" w:fill="auto"/>
                <w:rtl w:val="0"/>
                <w:lang w:val="en-US"/>
              </w:rPr>
              <w:t xml:space="preserve">54 CE          </w:t>
            </w:r>
          </w:p>
        </w:tc>
      </w:tr>
    </w:tbl>
    <w:p>
      <w:pPr>
        <w:pStyle w:val="Body"/>
        <w:widowControl w:val="0"/>
        <w:rPr>
          <w:smallCaps w:val="1"/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papyrus is broken at the top, right, and bottom. The left margin measures 1 cm. The back is blank.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ind w:left="720" w:hanging="720"/>
      </w:pPr>
      <w:r>
        <w:rPr>
          <w:rtl w:val="0"/>
          <w:lang w:val="de-DE"/>
        </w:rPr>
        <w:t>#text</w:t>
      </w:r>
    </w:p>
    <w:p>
      <w:pPr>
        <w:pStyle w:val="Body"/>
      </w:pPr>
      <w:r>
        <w:rPr>
          <w:rtl w:val="0"/>
        </w:rPr>
        <w:t>&lt;S=.grc</w:t>
      </w:r>
    </w:p>
    <w:p>
      <w:pPr>
        <w:pStyle w:val="Body"/>
      </w:pPr>
      <w:r>
        <w:rPr>
          <w:rtl w:val="0"/>
        </w:rPr>
        <w:t>&lt;=</w:t>
      </w:r>
    </w:p>
    <w:p>
      <w:pPr>
        <w:pStyle w:val="Body"/>
      </w:pPr>
      <w:r>
        <w:rPr>
          <w:rtl w:val="0"/>
          <w:lang w:val="en-US"/>
        </w:rPr>
        <w:t>1. lost.?lin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</w:rPr>
        <w:t>βυβλιοθήκ</w:t>
      </w:r>
      <w:r>
        <w:rPr>
          <w:rtl w:val="0"/>
          <w:lang w:val="pt-PT"/>
        </w:rPr>
        <w:t>[</w:t>
      </w:r>
      <w:r>
        <w:rPr>
          <w:rtl w:val="0"/>
        </w:rPr>
        <w:t>ης</w:t>
      </w:r>
      <w:r>
        <w:rPr>
          <w:rtl w:val="0"/>
          <w:lang w:val="pt-PT"/>
        </w:rPr>
        <w:t>] [vac.</w:t>
      </w:r>
      <w:r>
        <w:rPr>
          <w:rtl w:val="0"/>
          <w:lang w:val="de-DE"/>
        </w:rPr>
        <w:t xml:space="preserve">? 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 xml:space="preserve">2. </w:t>
      </w:r>
      <w:r>
        <w:rPr>
          <w:rtl w:val="0"/>
        </w:rPr>
        <w:t>παρὰ Τεῶτ</w:t>
      </w:r>
      <w:r>
        <w:rPr>
          <w:rtl w:val="0"/>
          <w:lang w:val="pt-PT"/>
        </w:rPr>
        <w:t>[</w:t>
      </w:r>
      <w:r>
        <w:rPr>
          <w:rtl w:val="0"/>
        </w:rPr>
        <w:t>ος</w:t>
      </w:r>
      <w:r>
        <w:rPr>
          <w:rtl w:val="0"/>
          <w:lang w:val="pt-PT"/>
        </w:rPr>
        <w:t>] [ca.5]</w:t>
      </w:r>
    </w:p>
    <w:p>
      <w:pPr>
        <w:pStyle w:val="Body"/>
      </w:pPr>
      <w:r>
        <w:rPr>
          <w:rtl w:val="0"/>
        </w:rPr>
        <w:t xml:space="preserve">3. </w:t>
      </w:r>
      <w:r>
        <w:rPr>
          <w:rtl w:val="0"/>
        </w:rPr>
        <w:t>τοῦ Τ̣ε̣ῶ̣τ̣ο̣</w:t>
      </w:r>
      <w:r>
        <w:rPr>
          <w:rtl w:val="0"/>
          <w:lang w:val="pt-PT"/>
        </w:rPr>
        <w:t>[</w:t>
      </w:r>
      <w:r>
        <w:rPr>
          <w:rtl w:val="0"/>
        </w:rPr>
        <w:t>ς τῶν ἀπὸ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 xml:space="preserve">4. </w:t>
      </w:r>
      <w:r>
        <w:rPr>
          <w:rtl w:val="0"/>
        </w:rPr>
        <w:t xml:space="preserve">Θεαδελφείας </w:t>
      </w:r>
      <w:r>
        <w:rPr>
          <w:rtl w:val="0"/>
          <w:lang w:val="pt-PT"/>
        </w:rPr>
        <w:t>[</w:t>
      </w:r>
      <w:r>
        <w:rPr>
          <w:rtl w:val="0"/>
        </w:rPr>
        <w:t>τῆς Θεμί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 xml:space="preserve">5.- </w:t>
      </w:r>
      <w:r>
        <w:rPr>
          <w:rtl w:val="0"/>
        </w:rPr>
        <w:t>στου μερίδ</w:t>
      </w:r>
      <w:r>
        <w:rPr>
          <w:rtl w:val="0"/>
          <w:lang w:val="pt-PT"/>
        </w:rPr>
        <w:t>[</w:t>
      </w:r>
      <w:r>
        <w:rPr>
          <w:rtl w:val="0"/>
        </w:rPr>
        <w:t>ος</w:t>
      </w:r>
      <w:r>
        <w:rPr>
          <w:rtl w:val="0"/>
          <w:lang w:val="pt-PT"/>
        </w:rPr>
        <w:t>] [(</w:t>
      </w:r>
      <w:r>
        <w:rPr>
          <w:rtl w:val="0"/>
        </w:rPr>
        <w:t>οὐσιακ</w:t>
      </w:r>
      <w:r>
        <w:rPr>
          <w:rtl w:val="0"/>
        </w:rPr>
        <w:t>(</w:t>
      </w:r>
      <w:r>
        <w:rPr>
          <w:rtl w:val="0"/>
        </w:rPr>
        <w:t>οῦ</w:t>
      </w:r>
      <w:r>
        <w:rPr>
          <w:rtl w:val="0"/>
          <w:lang w:val="pt-PT"/>
        </w:rPr>
        <w:t>))]</w:t>
      </w:r>
    </w:p>
    <w:p>
      <w:pPr>
        <w:pStyle w:val="Body"/>
      </w:pPr>
      <w:r>
        <w:rPr>
          <w:rtl w:val="0"/>
        </w:rPr>
        <w:t xml:space="preserve">6. </w:t>
      </w:r>
      <w:r>
        <w:rPr>
          <w:rtl w:val="0"/>
        </w:rPr>
        <w:t>γεωργοῦ Ἀντ̣</w:t>
      </w:r>
      <w:r>
        <w:rPr>
          <w:rtl w:val="0"/>
          <w:lang w:val="pt-PT"/>
        </w:rPr>
        <w:t>[</w:t>
      </w:r>
      <w:r>
        <w:rPr>
          <w:rtl w:val="0"/>
        </w:rPr>
        <w:t>ωνίας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 xml:space="preserve">7. </w:t>
      </w:r>
      <w:r>
        <w:rPr>
          <w:rtl w:val="0"/>
        </w:rPr>
        <w:t xml:space="preserve">θυγατρὸς </w:t>
      </w:r>
      <w:r>
        <w:rPr>
          <w:rtl w:val="0"/>
        </w:rPr>
        <w:t>o</w:t>
      </w:r>
      <w:r>
        <w:rPr>
          <w:rtl w:val="0"/>
        </w:rPr>
        <w:t>̣ὐ̣σ̣</w:t>
      </w:r>
      <w:r>
        <w:rPr>
          <w:rtl w:val="0"/>
          <w:lang w:val="pt-PT"/>
        </w:rPr>
        <w:t>[</w:t>
      </w:r>
      <w:r>
        <w:rPr>
          <w:rtl w:val="0"/>
        </w:rPr>
        <w:t>ίας</w:t>
      </w:r>
      <w:r>
        <w:rPr>
          <w:rtl w:val="0"/>
          <w:lang w:val="pt-PT"/>
        </w:rPr>
        <w:t>.]</w:t>
      </w:r>
    </w:p>
    <w:p>
      <w:pPr>
        <w:pStyle w:val="Body"/>
      </w:pPr>
      <w:r>
        <w:rPr>
          <w:rtl w:val="0"/>
        </w:rPr>
        <w:t>8. &lt;:</w:t>
      </w:r>
      <w:r>
        <w:rPr>
          <w:rtl w:val="0"/>
        </w:rPr>
        <w:t>ὑπάρχει</w:t>
      </w:r>
      <w:r>
        <w:rPr>
          <w:rtl w:val="0"/>
        </w:rPr>
        <w:t>|reg|</w:t>
      </w:r>
      <w:r>
        <w:rPr>
          <w:rtl w:val="0"/>
        </w:rPr>
        <w:t>ὑπάρχι</w:t>
      </w:r>
      <w:r>
        <w:rPr>
          <w:rtl w:val="0"/>
          <w:lang w:val="en-US"/>
        </w:rPr>
        <w:t xml:space="preserve">:&gt; </w:t>
      </w:r>
      <w:r>
        <w:rPr>
          <w:rtl w:val="0"/>
        </w:rPr>
        <w:t>μοι ἐ̣</w:t>
      </w:r>
      <w:r>
        <w:rPr>
          <w:rtl w:val="0"/>
          <w:lang w:val="pt-PT"/>
        </w:rPr>
        <w:t>[</w:t>
      </w:r>
      <w:r>
        <w:rPr>
          <w:rtl w:val="0"/>
        </w:rPr>
        <w:t>ν τῇ προκει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 xml:space="preserve">9.- </w:t>
      </w:r>
      <w:r>
        <w:rPr>
          <w:rtl w:val="0"/>
        </w:rPr>
        <w:t>μένῃ κώμ</w:t>
      </w:r>
      <w:r>
        <w:rPr>
          <w:rtl w:val="0"/>
          <w:lang w:val="pt-PT"/>
        </w:rPr>
        <w:t>[</w:t>
      </w:r>
      <w:r>
        <w:rPr>
          <w:rtl w:val="0"/>
        </w:rPr>
        <w:t>ῃ οἰκία καὶ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>10. &lt;:</w:t>
      </w:r>
      <w:r>
        <w:rPr>
          <w:rtl w:val="0"/>
        </w:rPr>
        <w:t>αὐλὴ</w:t>
      </w:r>
      <w:r>
        <w:rPr>
          <w:rtl w:val="0"/>
        </w:rPr>
        <w:t>|reg|</w:t>
      </w:r>
      <w:r>
        <w:rPr>
          <w:rtl w:val="0"/>
        </w:rPr>
        <w:t>αὐλὴν</w:t>
      </w:r>
      <w:r>
        <w:rPr>
          <w:rtl w:val="0"/>
          <w:lang w:val="en-US"/>
        </w:rPr>
        <w:t xml:space="preserve">:&gt; </w:t>
      </w:r>
      <w:r>
        <w:rPr>
          <w:rtl w:val="0"/>
        </w:rPr>
        <w:t xml:space="preserve">ἐν̣ ᾗ </w:t>
      </w:r>
      <w:r>
        <w:rPr>
          <w:rtl w:val="0"/>
          <w:lang w:val="pt-PT"/>
        </w:rPr>
        <w:t>[</w:t>
      </w:r>
      <w:r>
        <w:rPr>
          <w:rtl w:val="0"/>
        </w:rPr>
        <w:t>κατοικῶ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  <w:lang w:val="pt-PT"/>
        </w:rPr>
        <w:t>11. [.2].3[.4].1[ca.7]</w:t>
      </w:r>
    </w:p>
    <w:p>
      <w:pPr>
        <w:pStyle w:val="Body"/>
      </w:pPr>
      <w:r>
        <w:rPr>
          <w:rtl w:val="0"/>
          <w:lang w:val="en-US"/>
        </w:rPr>
        <w:t>11. lost.?lin</w:t>
      </w:r>
    </w:p>
    <w:p>
      <w:pPr>
        <w:pStyle w:val="Body"/>
      </w:pPr>
      <w:r>
        <w:rPr>
          <w:rtl w:val="0"/>
          <w:lang w:val="en-US"/>
        </w:rPr>
        <w:t>=&gt;</w:t>
      </w:r>
    </w:p>
    <w:p>
      <w:pPr>
        <w:pStyle w:val="Body"/>
      </w:pPr>
    </w:p>
    <w:p>
      <w:pPr>
        <w:pStyle w:val="Body"/>
        <w:ind w:left="720" w:hanging="720"/>
      </w:pPr>
      <w:r>
        <w:rPr>
          <w:rtl w:val="0"/>
          <w:lang w:val="de-DE"/>
        </w:rPr>
        <w:t>#translation</w:t>
      </w:r>
    </w:p>
    <w:p>
      <w:pPr>
        <w:pStyle w:val="Body"/>
        <w:spacing w:line="300" w:lineRule="exact"/>
        <w:jc w:val="both"/>
        <w:rPr>
          <w:rFonts w:ascii="Times New Roman" w:cs="Times New Roman" w:hAnsi="Times New Roman" w:eastAsia="Times New Roman"/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outline w:val="0"/>
          <w:color w:val="ff2600"/>
          <w:u w:color="d9d9d9"/>
          <w:rtl w:val="0"/>
          <w14:textFill>
            <w14:solidFill>
              <w14:srgbClr w14:val="FF2600"/>
            </w14:solidFill>
          </w14:textFill>
        </w:rPr>
        <w:t>&lt;T=.en&lt;=</w:t>
      </w:r>
    </w:p>
    <w:p>
      <w:pPr>
        <w:pStyle w:val="Body"/>
      </w:pPr>
      <w:r>
        <w:rPr>
          <w:rtl w:val="0"/>
          <w:lang w:val="en-US"/>
        </w:rPr>
        <w:t xml:space="preserve">[To Thrakidas, gymnasiarch, keeper of the] archive [in the Arsinoite nome,] from Teos, [son of NN,] grandson of Teos, [one of those from] Theadelphia [of the] Themistos division, [estate] tenant on the estate of Antonia the daughter. There belongs to me in [the] aforementioned village [a house and] a courtyard, in which I dwell </w:t>
      </w:r>
      <w:r>
        <w:rPr>
          <w:rtl w:val="0"/>
        </w:rPr>
        <w:t>…</w:t>
      </w:r>
    </w:p>
    <w:p>
      <w:pPr>
        <w:pStyle w:val="Body"/>
        <w:spacing w:line="300" w:lineRule="exact"/>
        <w:jc w:val="both"/>
        <w:rPr>
          <w:rFonts w:ascii="IFAO-Grec Unicode" w:cs="IFAO-Grec Unicode" w:hAnsi="IFAO-Grec Unicode" w:eastAsia="IFAO-Grec Unicode"/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outline w:val="0"/>
          <w:color w:val="ff2600"/>
          <w:u w:color="d9d9d9"/>
          <w:rtl w:val="0"/>
          <w:lang w:val="en-US"/>
          <w14:textFill>
            <w14:solidFill>
              <w14:srgbClr w14:val="FF2600"/>
            </w14:solidFill>
          </w14:textFill>
        </w:rPr>
        <w:t>=&gt;=T&gt;</w:t>
      </w:r>
    </w:p>
    <w:p>
      <w:pPr>
        <w:pStyle w:val="Body"/>
      </w:pPr>
    </w:p>
    <w:p>
      <w:pPr>
        <w:pStyle w:val="Body"/>
        <w:ind w:left="720" w:hanging="720"/>
      </w:pPr>
      <w:r>
        <w:rPr>
          <w:rtl w:val="0"/>
          <w:lang w:val="de-DE"/>
        </w:rPr>
        <w:t>#commentary</w:t>
      </w:r>
    </w:p>
    <w:p>
      <w:pPr>
        <w:pStyle w:val="Body"/>
        <w:ind w:left="720" w:hanging="720"/>
      </w:pPr>
      <w:r>
        <w:rPr>
          <w:rtl w:val="0"/>
        </w:rPr>
        <w:t>1</w:t>
        <w:tab/>
      </w:r>
      <w:r>
        <w:rPr>
          <w:rtl w:val="0"/>
        </w:rPr>
        <w:t>βυβλιοθήκ</w:t>
      </w:r>
      <w:r>
        <w:rPr>
          <w:rtl w:val="0"/>
          <w:lang w:val="pt-PT"/>
        </w:rPr>
        <w:t>[</w:t>
      </w:r>
      <w:r>
        <w:rPr>
          <w:rtl w:val="0"/>
        </w:rPr>
        <w:t>ης</w:t>
        <w:tab/>
      </w:r>
      <w:r>
        <w:rPr>
          <w:rtl w:val="0"/>
        </w:rPr>
        <w:t>vac.</w:t>
      </w:r>
      <w:r>
        <w:rPr>
          <w:rtl w:val="0"/>
        </w:rPr>
        <w:tab/>
        <w:t xml:space="preserve">].  The preceding lines can be restored from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"https://papyri.info/ddbdp/p.mich%3B9%3B539"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P.Mich. 9 539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"https://papyri.info/ddbdp/p.mich%3B9%3B540"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540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"https://papyri.info/ddbdp/p.oxy%3B47%3B3332"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47 3332</w:t>
      </w:r>
      <w:r>
        <w:rPr/>
        <w:fldChar w:fldCharType="end" w:fldLock="0"/>
      </w:r>
      <w:r>
        <w:rPr>
          <w:rtl w:val="0"/>
          <w:lang w:val="en-US"/>
        </w:rPr>
        <w:t xml:space="preserve"> as follows: [</w:t>
      </w:r>
      <w:r>
        <w:rPr>
          <w:rtl w:val="0"/>
        </w:rPr>
        <w:t xml:space="preserve">Θρακίδαι γυμνασιάρχωι </w:t>
      </w:r>
      <w:r>
        <w:rPr>
          <w:rtl w:val="0"/>
        </w:rPr>
        <w:t xml:space="preserve">| </w:t>
      </w:r>
      <w:r>
        <w:rPr>
          <w:rtl w:val="0"/>
        </w:rPr>
        <w:t xml:space="preserve">βυβλιοφύλακι τῆς </w:t>
      </w:r>
      <w:r>
        <w:rPr>
          <w:rtl w:val="0"/>
        </w:rPr>
        <w:t xml:space="preserve">| </w:t>
      </w:r>
      <w:r>
        <w:rPr>
          <w:rtl w:val="0"/>
        </w:rPr>
        <w:t>ἐν τῶι Ἀρσινοείτηι</w:t>
      </w:r>
      <w:r>
        <w:rPr>
          <w:rtl w:val="0"/>
        </w:rPr>
        <w:t xml:space="preserve">] | </w:t>
      </w:r>
      <w:r>
        <w:rPr>
          <w:rtl w:val="0"/>
        </w:rPr>
        <w:t>βυβλιοθήκ</w:t>
      </w:r>
      <w:r>
        <w:rPr>
          <w:rtl w:val="0"/>
          <w:lang w:val="pt-PT"/>
        </w:rPr>
        <w:t>[</w:t>
      </w:r>
      <w:r>
        <w:rPr>
          <w:rtl w:val="0"/>
        </w:rPr>
        <w:t>ης</w:t>
      </w:r>
      <w:r>
        <w:rPr>
          <w:rtl w:val="0"/>
          <w:lang w:val="en-US"/>
        </w:rPr>
        <w:t xml:space="preserve">]. Nothing is expected after </w:t>
      </w:r>
      <w:r>
        <w:rPr>
          <w:rtl w:val="0"/>
        </w:rPr>
        <w:t>βυβλιοθήκ</w:t>
      </w:r>
      <w:r>
        <w:rPr>
          <w:rtl w:val="0"/>
          <w:lang w:val="pt-PT"/>
        </w:rPr>
        <w:t>[</w:t>
      </w:r>
      <w:r>
        <w:rPr>
          <w:rtl w:val="0"/>
        </w:rPr>
        <w:t>ης</w:t>
      </w:r>
      <w:r>
        <w:rPr>
          <w:rtl w:val="0"/>
          <w:lang w:val="en-US"/>
        </w:rPr>
        <w:t xml:space="preserve">, even though there is room for about four or five letters. Writers of </w:t>
      </w:r>
      <w:r>
        <w:rPr>
          <w:rtl w:val="0"/>
        </w:rPr>
        <w:t>hypomnemata</w:t>
      </w:r>
      <w:r>
        <w:rPr>
          <w:rtl w:val="0"/>
          <w:lang w:val="en-US"/>
        </w:rPr>
        <w:t xml:space="preserve"> often left space after the addressee</w:t>
      </w:r>
      <w:r>
        <w:rPr>
          <w:rtl w:val="1"/>
        </w:rPr>
        <w:t>’</w:t>
      </w:r>
      <w:r>
        <w:rPr>
          <w:rtl w:val="0"/>
          <w:lang w:val="en-US"/>
        </w:rPr>
        <w:t xml:space="preserve">s title and began the next line with </w:t>
      </w:r>
      <w:r>
        <w:rPr>
          <w:rtl w:val="0"/>
        </w:rPr>
        <w:t xml:space="preserve">παρά </w:t>
      </w:r>
      <w:r>
        <w:rPr>
          <w:rtl w:val="0"/>
        </w:rPr>
        <w:t>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"https://papyri.info/biblio/76037"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Martin 2007</w:t>
      </w:r>
      <w:r>
        <w:rPr/>
        <w:fldChar w:fldCharType="end" w:fldLock="0"/>
      </w:r>
      <w:r>
        <w:rPr>
          <w:rtl w:val="0"/>
        </w:rPr>
        <w:t>: 668).</w:t>
      </w:r>
    </w:p>
    <w:p>
      <w:pPr>
        <w:pStyle w:val="Body"/>
        <w:ind w:left="720" w:hanging="720"/>
      </w:pPr>
      <w:r>
        <w:rPr>
          <w:rtl w:val="0"/>
        </w:rPr>
        <w:tab/>
        <w:t xml:space="preserve">The nome archive is called </w:t>
      </w:r>
      <w:r>
        <w:rPr>
          <w:rtl w:val="0"/>
        </w:rPr>
        <w:t xml:space="preserve">βυβλιοφυλάκιον </w:t>
      </w:r>
      <w:r>
        <w:rPr>
          <w:rtl w:val="0"/>
          <w:lang w:val="en-US"/>
        </w:rPr>
        <w:t xml:space="preserve">in the </w:t>
      </w:r>
      <w:r>
        <w:rPr>
          <w:rtl w:val="0"/>
          <w:lang w:val="de-DE"/>
        </w:rPr>
        <w:t xml:space="preserve">Memphite and </w:t>
      </w:r>
      <w:r>
        <w:rPr>
          <w:rtl w:val="0"/>
        </w:rPr>
        <w:t>Ox</w:t>
      </w:r>
      <w:r>
        <w:rPr>
          <w:rtl w:val="0"/>
          <w:lang w:val="de-DE"/>
        </w:rPr>
        <w:t>yrhynchite declarations of this year.</w:t>
      </w:r>
    </w:p>
    <w:p>
      <w:pPr>
        <w:pStyle w:val="Body"/>
        <w:ind w:left="720" w:hanging="720"/>
      </w:pPr>
      <w:r>
        <w:rPr>
          <w:rtl w:val="0"/>
        </w:rPr>
        <w:t>2-3</w:t>
        <w:tab/>
      </w:r>
      <w:r>
        <w:rPr>
          <w:rtl w:val="0"/>
        </w:rPr>
        <w:t>Τεῶτ</w:t>
      </w:r>
      <w:r>
        <w:rPr>
          <w:rtl w:val="0"/>
          <w:lang w:val="pt-PT"/>
        </w:rPr>
        <w:t>[</w:t>
      </w:r>
      <w:r>
        <w:rPr>
          <w:rtl w:val="0"/>
        </w:rPr>
        <w:t>ος τοῦ δεῖνος</w:t>
      </w:r>
      <w:r>
        <w:rPr>
          <w:rtl w:val="0"/>
        </w:rPr>
        <w:t xml:space="preserve">]| </w:t>
      </w:r>
      <w:r>
        <w:rPr>
          <w:rtl w:val="0"/>
        </w:rPr>
        <w:t>τοῦ Τ̣ε̣ῶ̣τ̣ο̣</w:t>
      </w:r>
      <w:r>
        <w:rPr>
          <w:rtl w:val="0"/>
          <w:lang w:val="pt-PT"/>
        </w:rPr>
        <w:t>[</w:t>
      </w:r>
      <w:r>
        <w:rPr>
          <w:rtl w:val="0"/>
        </w:rPr>
        <w:t>ς</w:t>
      </w:r>
      <w:r>
        <w:rPr>
          <w:rtl w:val="0"/>
          <w:lang w:val="en-US"/>
        </w:rPr>
        <w:t>.  An example of the common practice of papponymy. This individual does not appear to be known from other texts. A large part of Theadelphia texts from the first century of Roman rule belong to the archive of Harthotes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"http://www.trismegistos.org/archive/99"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TM Arch 99</w:t>
      </w:r>
      <w:r>
        <w:rPr/>
        <w:fldChar w:fldCharType="end" w:fldLock="0"/>
      </w:r>
      <w:r>
        <w:rPr>
          <w:rtl w:val="0"/>
          <w:lang w:val="en-US"/>
        </w:rPr>
        <w:t>), which was acquired in various purchases in the 1920s including some from the same lot as the present papyrus, but the name Teos is not associated with this family.</w:t>
      </w:r>
    </w:p>
    <w:p>
      <w:pPr>
        <w:pStyle w:val="Body"/>
        <w:ind w:left="720" w:hanging="720"/>
      </w:pPr>
      <w:r>
        <w:rPr>
          <w:rtl w:val="0"/>
          <w:lang w:val="pt-PT"/>
        </w:rPr>
        <w:t>5</w:t>
        <w:tab/>
        <w:t>[</w:t>
      </w:r>
      <w:r>
        <w:rPr>
          <w:rtl w:val="0"/>
        </w:rPr>
        <w:t>οὐσιακ</w:t>
      </w:r>
      <w:r>
        <w:rPr>
          <w:rtl w:val="0"/>
        </w:rPr>
        <w:t>(</w:t>
      </w:r>
      <w:r>
        <w:rPr>
          <w:rtl w:val="0"/>
        </w:rPr>
        <w:t>οῦ</w:t>
      </w:r>
      <w:r>
        <w:rPr>
          <w:rtl w:val="0"/>
          <w:lang w:val="en-US"/>
        </w:rPr>
        <w:t xml:space="preserve">)]. For the supplement,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"https://papyri.info/ddbdp/p.mich%3B9%3B539"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P.Mich. 9 539</w:t>
      </w:r>
      <w:r>
        <w:rPr/>
        <w:fldChar w:fldCharType="end" w:fldLock="0"/>
      </w:r>
      <w:r>
        <w:rPr>
          <w:rtl w:val="0"/>
          <w:lang w:val="en-US"/>
        </w:rPr>
        <w:t xml:space="preserve">, submitted by an </w:t>
      </w:r>
      <w:r>
        <w:rPr>
          <w:rtl w:val="0"/>
        </w:rPr>
        <w:t>οὐσιακοῦ γεωργο̣ῦ̣ καὶ ἀ̣π̣ο̣λ̣υ̣σίμου Καμηλιανῆς οὐσίας</w:t>
      </w:r>
      <w:r>
        <w:rPr>
          <w:rtl w:val="0"/>
          <w:lang w:val="it-IT"/>
        </w:rPr>
        <w:t xml:space="preserve">; in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"https://papyri.info/ddbdp/p.mich%3B9%3B540"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P.Mich.</w:t>
      </w:r>
      <w:r>
        <w:rPr>
          <w:rStyle w:val="Link"/>
          <w:rtl w:val="0"/>
        </w:rPr>
        <w:t xml:space="preserve"> </w:t>
      </w:r>
      <w:r>
        <w:rPr>
          <w:rStyle w:val="Link"/>
          <w:rtl w:val="0"/>
        </w:rPr>
        <w:t>9 540</w:t>
      </w:r>
      <w:r>
        <w:rPr/>
        <w:fldChar w:fldCharType="end" w:fldLock="0"/>
      </w:r>
      <w:r>
        <w:rPr>
          <w:rtl w:val="0"/>
          <w:lang w:val="en-US"/>
        </w:rPr>
        <w:t xml:space="preserve">, the declarant is called simply </w:t>
      </w:r>
      <w:r>
        <w:rPr>
          <w:rtl w:val="0"/>
        </w:rPr>
        <w:t xml:space="preserve">γεωργοῦ </w:t>
      </w:r>
      <w:r>
        <w:rPr>
          <w:rtl w:val="0"/>
        </w:rPr>
        <w:t>| [</w:t>
      </w:r>
      <w:r>
        <w:rPr>
          <w:rtl w:val="0"/>
        </w:rPr>
        <w:t>οὐ</w:t>
      </w:r>
      <w:r>
        <w:rPr>
          <w:rtl w:val="0"/>
          <w:lang w:val="pt-PT"/>
        </w:rPr>
        <w:t>]</w:t>
      </w:r>
      <w:r>
        <w:rPr>
          <w:rtl w:val="0"/>
        </w:rPr>
        <w:t xml:space="preserve">σίας Γερμανικιανῆς </w:t>
      </w:r>
      <w:r>
        <w:rPr>
          <w:rtl w:val="0"/>
        </w:rPr>
        <w:t>(ll. 5-6).</w:t>
      </w:r>
    </w:p>
    <w:p>
      <w:pPr>
        <w:pStyle w:val="Body"/>
        <w:ind w:left="720" w:hanging="720"/>
      </w:pPr>
      <w:r>
        <w:rPr>
          <w:rtl w:val="0"/>
          <w:lang w:val="ru-RU"/>
        </w:rPr>
        <w:t>6-7</w:t>
        <w:tab/>
      </w:r>
      <w:r>
        <w:rPr>
          <w:rtl w:val="0"/>
        </w:rPr>
        <w:t>Ἀντ̣</w:t>
      </w:r>
      <w:r>
        <w:rPr>
          <w:rtl w:val="0"/>
          <w:lang w:val="pt-PT"/>
        </w:rPr>
        <w:t>[</w:t>
      </w:r>
      <w:r>
        <w:rPr>
          <w:rtl w:val="0"/>
        </w:rPr>
        <w:t>ωνίας</w:t>
      </w:r>
      <w:r>
        <w:rPr>
          <w:rtl w:val="0"/>
        </w:rPr>
        <w:t xml:space="preserve">] | </w:t>
      </w:r>
      <w:r>
        <w:rPr>
          <w:rtl w:val="0"/>
        </w:rPr>
        <w:t>θυγατρός</w:t>
      </w:r>
      <w:r>
        <w:rPr>
          <w:rtl w:val="0"/>
          <w:lang w:val="en-US"/>
        </w:rPr>
        <w:t xml:space="preserve">.  Antonia, daughter of the emperor Claudius, is known in the papyri as </w:t>
      </w:r>
      <w:r>
        <w:rPr>
          <w:rtl w:val="0"/>
        </w:rPr>
        <w:t xml:space="preserve">Ἀντωνία θυγάτηρ </w:t>
      </w:r>
      <w:r>
        <w:rPr>
          <w:rtl w:val="0"/>
          <w:lang w:val="en-US"/>
        </w:rPr>
        <w:t xml:space="preserve">(with </w:t>
      </w:r>
      <w:r>
        <w:rPr>
          <w:rtl w:val="0"/>
        </w:rPr>
        <w:t xml:space="preserve">θεοῦ Κλαυδίου </w:t>
      </w:r>
      <w:r>
        <w:rPr>
          <w:rtl w:val="0"/>
          <w:lang w:val="en-US"/>
        </w:rPr>
        <w:t>added after her father</w:t>
      </w:r>
      <w:r>
        <w:rPr>
          <w:rtl w:val="1"/>
        </w:rPr>
        <w:t>’</w:t>
      </w:r>
      <w:r>
        <w:rPr>
          <w:rtl w:val="0"/>
          <w:lang w:val="en-US"/>
        </w:rPr>
        <w:t xml:space="preserve">s death) to distinguish her from her paternal grandmother, known as </w:t>
      </w:r>
      <w:r>
        <w:rPr>
          <w:rtl w:val="0"/>
        </w:rPr>
        <w:t>Ἀντωνία Δρούσου</w:t>
      </w:r>
      <w:r>
        <w:rPr>
          <w:rtl w:val="0"/>
          <w:lang w:val="en-US"/>
        </w:rPr>
        <w:t xml:space="preserve">, the wife of Drusus: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"https://papyri.info/biblio/53734"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Hanson 1980</w:t>
      </w:r>
      <w:r>
        <w:rPr/>
        <w:fldChar w:fldCharType="end" w:fldLock="0"/>
      </w:r>
      <w:r>
        <w:rPr>
          <w:rtl w:val="0"/>
          <w:lang w:val="en-US"/>
        </w:rPr>
        <w:t xml:space="preserve">: 245. The lack of </w:t>
      </w:r>
      <w:r>
        <w:rPr>
          <w:rtl w:val="0"/>
        </w:rPr>
        <w:t xml:space="preserve">θεοῦ Κλαυδίου </w:t>
      </w:r>
      <w:r>
        <w:rPr>
          <w:rtl w:val="0"/>
          <w:lang w:val="en-US"/>
        </w:rPr>
        <w:t>following Antonia</w:t>
      </w:r>
      <w:r>
        <w:rPr>
          <w:rtl w:val="1"/>
        </w:rPr>
        <w:t>’</w:t>
      </w:r>
      <w:r>
        <w:rPr>
          <w:rtl w:val="0"/>
          <w:lang w:val="en-US"/>
        </w:rPr>
        <w:t xml:space="preserve">s name suggests that Claudius is still alive (or thought to be), which would set the end of 54 CE as the </w:t>
      </w:r>
      <w:r>
        <w:rPr>
          <w:rtl w:val="0"/>
          <w:lang w:val="pt-PT"/>
        </w:rPr>
        <w:t xml:space="preserve">terminus ante quem </w:t>
      </w:r>
      <w:r>
        <w:rPr>
          <w:rtl w:val="0"/>
          <w:lang w:val="en-US"/>
        </w:rPr>
        <w:t>of this text. Claudia Antonia</w:t>
      </w:r>
      <w:r>
        <w:rPr>
          <w:rtl w:val="1"/>
        </w:rPr>
        <w:t>’</w:t>
      </w:r>
      <w:r>
        <w:rPr>
          <w:rtl w:val="0"/>
          <w:lang w:val="nl-NL"/>
        </w:rPr>
        <w:t>s estate in Egypt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"http://www.trismegistos.org/ousia/5"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TM Ousia 5</w:t>
      </w:r>
      <w:r>
        <w:rPr/>
        <w:fldChar w:fldCharType="end" w:fldLock="0"/>
      </w:r>
      <w:r>
        <w:rPr>
          <w:rtl w:val="0"/>
          <w:lang w:val="en-US"/>
        </w:rPr>
        <w:t xml:space="preserve">) included an </w:t>
      </w:r>
      <w:r>
        <w:rPr>
          <w:rtl w:val="0"/>
        </w:rPr>
        <w:t xml:space="preserve">epoikion </w:t>
      </w:r>
      <w:r>
        <w:rPr>
          <w:rtl w:val="0"/>
          <w:lang w:val="en-US"/>
        </w:rPr>
        <w:t>named after her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"http://www.trismegistos.org/place/209"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TM Geo 209</w:t>
      </w:r>
      <w:r>
        <w:rPr/>
        <w:fldChar w:fldCharType="end" w:fldLock="0"/>
      </w:r>
      <w:r>
        <w:rPr>
          <w:rtl w:val="0"/>
          <w:lang w:val="en-US"/>
        </w:rPr>
        <w:t>) and holdings around several villages of the Fayum, to which list Theadelphia can perhaps now be added (the location of the estate land on which Teos worked is not stated): Hiera Nesos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"https://papyri.info/ddbdp/p.bour%3B%3B42"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P.Bour. 42</w:t>
      </w:r>
      <w:r>
        <w:rPr/>
        <w:fldChar w:fldCharType="end" w:fldLock="0"/>
      </w:r>
      <w:r>
        <w:rPr>
          <w:rtl w:val="0"/>
        </w:rPr>
        <w:t>.89, 111,</w:t>
      </w:r>
      <w:r>
        <w:rPr>
          <w:rtl w:val="0"/>
          <w:lang w:val="de-DE"/>
        </w:rPr>
        <w:t xml:space="preserve"> 117, and 201</w:t>
      </w:r>
      <w:r>
        <w:rPr>
          <w:rtl w:val="0"/>
        </w:rPr>
        <w:t>), Karanis (?)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"https://papyri.info/ddbdp/p.sijp%3B%3B44"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>P.Sijp. 44</w:t>
      </w:r>
      <w:r>
        <w:rPr/>
        <w:fldChar w:fldCharType="end" w:fldLock="0"/>
      </w:r>
      <w:r>
        <w:rPr>
          <w:rtl w:val="0"/>
          <w:lang w:val="nl-NL"/>
        </w:rPr>
        <w:t>.4), Kerkeesis/Perkeesis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"https://papyri.info/ddbdp/p.bour%3B%3B42"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P.Bour. 42</w:t>
      </w:r>
      <w:r>
        <w:rPr/>
        <w:fldChar w:fldCharType="end" w:fldLock="0"/>
      </w:r>
      <w:r>
        <w:rPr>
          <w:rtl w:val="0"/>
          <w:lang w:val="en-US"/>
        </w:rPr>
        <w:t>.140-141), and Theoxenis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"https://papyri.info/ddbdp/p.fay%3B%3B40"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P.Fay.</w:t>
      </w:r>
      <w:r>
        <w:rPr>
          <w:rStyle w:val="Link"/>
          <w:rtl w:val="0"/>
        </w:rPr>
        <w:t xml:space="preserve"> </w:t>
      </w:r>
      <w:r>
        <w:rPr>
          <w:rStyle w:val="Link"/>
          <w:rtl w:val="0"/>
        </w:rPr>
        <w:t>40</w:t>
      </w:r>
      <w:r>
        <w:rPr/>
        <w:fldChar w:fldCharType="end" w:fldLock="0"/>
      </w:r>
      <w:r>
        <w:rPr>
          <w:rtl w:val="0"/>
        </w:rPr>
        <w:t>.7).</w:t>
      </w:r>
    </w:p>
    <w:p>
      <w:pPr>
        <w:pStyle w:val="Body"/>
        <w:ind w:left="720" w:hanging="720"/>
      </w:pPr>
      <w:r>
        <w:rPr>
          <w:rtl w:val="0"/>
        </w:rPr>
        <w:t>8</w:t>
        <w:tab/>
      </w:r>
      <w:r>
        <w:rPr>
          <w:rtl w:val="0"/>
        </w:rPr>
        <w:t>ὑπάρχι μοι</w:t>
      </w:r>
      <w:r>
        <w:rPr>
          <w:rtl w:val="0"/>
          <w:lang w:val="en-US"/>
        </w:rPr>
        <w:t xml:space="preserve">.  This formula, taken over from census declarations, only appears in the Arsinoite property declarations from 53. It corresponds to </w:t>
      </w:r>
      <w:r>
        <w:rPr>
          <w:rtl w:val="0"/>
        </w:rPr>
        <w:t xml:space="preserve">ἀπογράφομαι … τὸ ὑπάρχον </w:t>
      </w:r>
      <w:r>
        <w:rPr>
          <w:rtl w:val="0"/>
          <w:lang w:val="en-US"/>
        </w:rPr>
        <w:t xml:space="preserve">in the </w:t>
      </w:r>
      <w:r>
        <w:rPr>
          <w:rtl w:val="0"/>
          <w:lang w:val="de-DE"/>
        </w:rPr>
        <w:t xml:space="preserve">Memphite and </w:t>
      </w:r>
      <w:r>
        <w:rPr>
          <w:rtl w:val="0"/>
        </w:rPr>
        <w:t>Ox</w:t>
      </w:r>
      <w:r>
        <w:rPr>
          <w:rtl w:val="0"/>
          <w:lang w:val="de-DE"/>
        </w:rPr>
        <w:t xml:space="preserve">yrhynchite declarations of this year, </w:t>
      </w:r>
      <w:r>
        <w:rPr>
          <w:rtl w:val="0"/>
          <w:lang w:val="en-US"/>
        </w:rPr>
        <w:t xml:space="preserve">a formula followed in later general declarations, including those from the Arsinoite (see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"https://papyri.info/ddbdp/p.oxy%3B47%3B3332"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47 3332</w:t>
      </w:r>
      <w:r>
        <w:rPr/>
        <w:fldChar w:fldCharType="end" w:fldLock="0"/>
      </w:r>
      <w:r>
        <w:rPr>
          <w:rtl w:val="0"/>
          <w:lang w:val="en-US"/>
        </w:rPr>
        <w:t xml:space="preserve"> introduction with l. 4 n.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"https://papyri.info/biblio/9194"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>Wolff 1978</w:t>
      </w:r>
      <w:r>
        <w:rPr/>
        <w:fldChar w:fldCharType="end" w:fldLock="0"/>
      </w:r>
      <w:r>
        <w:rPr>
          <w:rtl w:val="0"/>
        </w:rPr>
        <w:t>: 231).</w:t>
      </w:r>
    </w:p>
    <w:p>
      <w:pPr>
        <w:pStyle w:val="Body"/>
        <w:ind w:left="720" w:hanging="720"/>
      </w:pPr>
    </w:p>
    <w:p>
      <w:pPr>
        <w:pStyle w:val="Body"/>
        <w:ind w:left="720" w:hanging="720"/>
      </w:pPr>
      <w:r>
        <w:rPr>
          <w:rtl w:val="0"/>
          <w:lang w:val="de-DE"/>
        </w:rPr>
        <w:t>#b</w:t>
      </w:r>
      <w:r>
        <w:rPr>
          <w:rtl w:val="0"/>
          <w:lang w:val="fr-FR"/>
        </w:rPr>
        <w:t>ibliography</w:t>
      </w:r>
    </w:p>
    <w:p>
      <w:pPr>
        <w:pStyle w:val="Body"/>
        <w:ind w:left="720" w:hanging="72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"https://papyri.info/biblio/95803"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Claytor, W.G. (2020)</w:t>
      </w:r>
      <w:r>
        <w:rPr/>
        <w:fldChar w:fldCharType="end" w:fldLock="0"/>
      </w:r>
      <w:r>
        <w:rPr>
          <w:rtl w:val="1"/>
          <w:lang w:val="ar-SA" w:bidi="ar-SA"/>
        </w:rPr>
        <w:t xml:space="preserve"> “</w:t>
      </w:r>
      <w:r>
        <w:rPr>
          <w:rtl w:val="0"/>
          <w:lang w:val="en-US"/>
        </w:rPr>
        <w:t xml:space="preserve">Two Papyri from the Archive of Mikkalos and the Establishment of the </w:t>
      </w:r>
      <w:r>
        <w:rPr>
          <w:rtl w:val="0"/>
          <w:lang w:val="nl-NL"/>
        </w:rPr>
        <w:t>bibliotheke enkteseon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</w:rPr>
        <w:t>BASP</w:t>
      </w:r>
      <w:r>
        <w:rPr>
          <w:rtl w:val="0"/>
        </w:rPr>
        <w:t xml:space="preserve"> </w:t>
      </w:r>
      <w:r>
        <w:rPr>
          <w:rtl w:val="0"/>
          <w:lang w:val="ru-RU"/>
        </w:rPr>
        <w:t>57: 19</w:t>
      </w:r>
      <w:r>
        <w:rPr>
          <w:rtl w:val="0"/>
        </w:rPr>
        <w:t>–</w:t>
      </w:r>
      <w:r>
        <w:rPr>
          <w:rtl w:val="0"/>
        </w:rPr>
        <w:t>42.</w:t>
      </w:r>
    </w:p>
    <w:p>
      <w:pPr>
        <w:pStyle w:val="Body"/>
        <w:ind w:left="720" w:hanging="72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"https://papyri.info/biblio/96049"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Faoro, D. (2015)</w:t>
      </w:r>
      <w:r>
        <w:rPr/>
        <w:fldChar w:fldCharType="end" w:fldLock="0"/>
      </w:r>
      <w:r>
        <w:rPr>
          <w:rtl w:val="0"/>
          <w:lang w:val="it-IT"/>
        </w:rPr>
        <w:t xml:space="preserve"> I prefetti d</w:t>
      </w:r>
      <w:r>
        <w:rPr>
          <w:rtl w:val="1"/>
        </w:rPr>
        <w:t>’</w:t>
      </w:r>
      <w:r>
        <w:rPr>
          <w:rtl w:val="0"/>
          <w:lang w:val="it-IT"/>
        </w:rPr>
        <w:t>Egitto da Augusto a Commodo (Bologna).</w:t>
      </w:r>
    </w:p>
    <w:p>
      <w:pPr>
        <w:pStyle w:val="Body"/>
        <w:ind w:left="720" w:hanging="72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"https://papyri.info/biblio/53734"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Hanson, A.E. (1980)</w:t>
      </w:r>
      <w:r>
        <w:rPr/>
        <w:fldChar w:fldCharType="end" w:fldLock="0"/>
      </w:r>
      <w:r>
        <w:rPr>
          <w:rtl w:val="1"/>
          <w:lang w:val="ar-SA" w:bidi="ar-SA"/>
        </w:rPr>
        <w:t xml:space="preserve"> “</w:t>
      </w:r>
      <w:r>
        <w:rPr>
          <w:rtl w:val="0"/>
          <w:lang w:val="en-US"/>
        </w:rPr>
        <w:t>P. Princeton I 11 and P. Cornell 21v.,</w:t>
      </w:r>
      <w:r>
        <w:rPr>
          <w:rtl w:val="0"/>
        </w:rPr>
        <w:t xml:space="preserve">” </w:t>
      </w:r>
      <w:r>
        <w:rPr>
          <w:rtl w:val="0"/>
        </w:rPr>
        <w:t>ZPE 37: 241</w:t>
      </w:r>
      <w:r>
        <w:rPr>
          <w:rtl w:val="0"/>
        </w:rPr>
        <w:t>–</w:t>
      </w:r>
      <w:r>
        <w:rPr>
          <w:rtl w:val="0"/>
        </w:rPr>
        <w:t>248.</w:t>
      </w:r>
    </w:p>
    <w:p>
      <w:pPr>
        <w:pStyle w:val="Body"/>
        <w:ind w:left="720" w:hanging="72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"https://papyri.info/biblio/76037"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Martin, A. (2007)</w:t>
      </w:r>
      <w:r>
        <w:rPr/>
        <w:fldChar w:fldCharType="end" w:fldLock="0"/>
      </w:r>
      <w:r>
        <w:rPr>
          <w:rtl w:val="0"/>
        </w:rPr>
        <w:t xml:space="preserve"> “Τῷ δεῖνι παρὰ τοῦ δεῖνος</w:t>
      </w:r>
      <w:r>
        <w:rPr>
          <w:rtl w:val="0"/>
        </w:rPr>
        <w:t>.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flexions </w:t>
      </w:r>
      <w:r>
        <w:rPr>
          <w:rtl w:val="0"/>
        </w:rPr>
        <w:t xml:space="preserve">à </w:t>
      </w:r>
      <w:r>
        <w:rPr>
          <w:rtl w:val="0"/>
          <w:lang w:val="fr-FR"/>
        </w:rPr>
        <w:t>propos d'un type documentaire,</w:t>
      </w:r>
      <w:r>
        <w:rPr>
          <w:rtl w:val="0"/>
        </w:rPr>
        <w:t xml:space="preserve">” </w:t>
      </w:r>
      <w:r>
        <w:rPr>
          <w:rtl w:val="0"/>
        </w:rPr>
        <w:t>in Pap.Congr. 24: 661</w:t>
      </w:r>
      <w:r>
        <w:rPr>
          <w:rtl w:val="0"/>
        </w:rPr>
        <w:t>–</w:t>
      </w:r>
      <w:r>
        <w:rPr>
          <w:rtl w:val="0"/>
        </w:rPr>
        <w:t>675.</w:t>
      </w:r>
    </w:p>
    <w:p>
      <w:pPr>
        <w:pStyle w:val="Body"/>
        <w:ind w:left="720" w:hanging="720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"https://papyri.info/biblio/9194"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Wolff, H.J. (1978)</w:t>
      </w:r>
      <w:r>
        <w:rPr/>
        <w:fldChar w:fldCharType="end" w:fldLock="0"/>
      </w:r>
      <w:r>
        <w:rPr>
          <w:rtl w:val="0"/>
          <w:lang w:val="de-DE"/>
        </w:rPr>
        <w:t xml:space="preserve"> Das Recht der griechischen Papyri </w:t>
      </w:r>
      <w:r>
        <w:rPr>
          <w:rtl w:val="0"/>
          <w:lang w:val="sv-SE"/>
        </w:rPr>
        <w:t>Ä</w:t>
      </w:r>
      <w:r>
        <w:rPr>
          <w:rtl w:val="0"/>
          <w:lang w:val="de-DE"/>
        </w:rPr>
        <w:t>gytens in der Zeit der Ptolemaeer und des Prinzipats, Vol. 2 (Munich).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PIR</w:t>
      </w:r>
      <w:r>
        <w:rPr>
          <w:vertAlign w:val="superscript"/>
          <w:rtl w:val="0"/>
          <w:lang w:val="en-US"/>
        </w:rPr>
        <w:t>2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L 435.</w:t>
      </w:r>
      <w:r>
        <w:rPr>
          <w:rtl w:val="0"/>
          <w:lang w:val="en-US"/>
        </w:rPr>
        <w:t xml:space="preserve"> Cf.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"https://papyri.info/biblio/96049"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Faoro 2015</w:t>
      </w:r>
      <w:r>
        <w:rPr/>
        <w:fldChar w:fldCharType="end" w:fldLock="0"/>
      </w:r>
      <w:r>
        <w:rPr>
          <w:rtl w:val="0"/>
          <w:lang w:val="en-US"/>
        </w:rPr>
        <w:t>: 42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43.</w:t>
      </w:r>
    </w:p>
  </w:footnote>
  <w:footnote w:id="2">
    <w:p>
      <w:pPr>
        <w:pStyle w:val="footnote text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The order is mentioned in the Memphite and Oxyrhynchite declarations, but not those from the Arsinoite. At PSI 15 1521.1</w:t>
      </w:r>
      <w:r>
        <w:rPr>
          <w:rFonts w:cs="Arial Unicode MS" w:eastAsia="Arial Unicode MS" w:hint="default"/>
          <w:rtl w:val="0"/>
          <w:lang w:val="en-US"/>
        </w:rPr>
        <w:t>–</w:t>
      </w:r>
      <w:r>
        <w:rPr>
          <w:rFonts w:cs="Arial Unicode MS" w:eastAsia="Arial Unicode MS"/>
          <w:rtl w:val="0"/>
          <w:lang w:val="en-US"/>
        </w:rPr>
        <w:t>3 n., the editor unnecessarily speculates about the possibility of two successive orders in Claudius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>year 13 (52/3) and 14 (53/4).</w:t>
      </w:r>
    </w:p>
  </w:footnote>
  <w:footnote w:id="3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 xml:space="preserve">See most recently </w:t>
      </w:r>
      <w:r>
        <w:rPr>
          <w:rStyle w:val="Hyperlink.1"/>
          <w:lang w:val="de-DE"/>
        </w:rPr>
        <w:fldChar w:fldCharType="begin" w:fldLock="0"/>
      </w:r>
      <w:r>
        <w:rPr>
          <w:rStyle w:val="Hyperlink.1"/>
          <w:lang w:val="de-DE"/>
        </w:rPr>
        <w:instrText xml:space="preserve"> HYPERLINK "https://papyri.info/biblio/95803"</w:instrText>
      </w:r>
      <w:r>
        <w:rPr>
          <w:rStyle w:val="Hyperlink.1"/>
          <w:lang w:val="de-DE"/>
        </w:rPr>
        <w:fldChar w:fldCharType="separate" w:fldLock="0"/>
      </w:r>
      <w:r>
        <w:rPr>
          <w:rStyle w:val="Hyperlink.1"/>
          <w:rtl w:val="0"/>
          <w:lang w:val="de-DE"/>
        </w:rPr>
        <w:t>Claytor 2020</w:t>
      </w:r>
      <w:r>
        <w:rPr/>
        <w:fldChar w:fldCharType="end" w:fldLock="0"/>
      </w:r>
      <w:r>
        <w:rPr>
          <w:rtl w:val="0"/>
          <w:lang w:val="de-DE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IFAO-Grec Unicode" w:hAnsi="IFAO-Grec Unicode" w:eastAsia="IFAO-Grec Unicod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:rFonts w:ascii="IFAO-Grec Unicode" w:cs="IFAO-Grec Unicode" w:hAnsi="IFAO-Grec Unicode" w:eastAsia="IFAO-Grec Unicode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