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Times New Roman" w:hAnsi="Times New Roman"/>
          <w:rtl w:val="0"/>
          <w:lang w:val="en-US"/>
        </w:rPr>
        <w:t>#articleTitle</w:t>
      </w:r>
    </w:p>
    <w:p>
      <w:pPr>
        <w:pStyle w:val="Body"/>
        <w:bidi w:val="0"/>
        <w:rPr>
          <w:rFonts w:ascii="Times New Roman" w:cs="Times New Roman" w:hAnsi="Times New Roman" w:eastAsia="Times New Roman"/>
          <w:lang w:val="en-US"/>
        </w:rPr>
      </w:pPr>
      <w:bookmarkStart w:name="_Hlk89687817" w:id="0"/>
      <w:bookmarkEnd w:id="0"/>
      <w:r>
        <w:rPr>
          <w:rFonts w:ascii="Times New Roman" w:hAnsi="Times New Roman"/>
          <w:rtl w:val="0"/>
          <w:lang w:val="en-US"/>
        </w:rPr>
        <w:t>M</w:t>
      </w:r>
      <w:r>
        <w:rPr>
          <w:rFonts w:ascii="Times New Roman" w:hAnsi="Times New Roman"/>
          <w:rtl w:val="0"/>
          <w:lang w:val="en-US"/>
        </w:rPr>
        <w:t>ixed inks in two Coptic documents from the Hermopolite region relating to lease business</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Berkes, Lajos</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Humboldt-Universit</w:t>
      </w:r>
      <w:r>
        <w:rPr>
          <w:rFonts w:ascii="Times New Roman" w:hAnsi="Times New Roman" w:hint="default"/>
          <w:rtl w:val="0"/>
          <w:lang w:val="en-US"/>
        </w:rPr>
        <w:t>ä</w:t>
      </w:r>
      <w:r>
        <w:rPr>
          <w:rFonts w:ascii="Times New Roman" w:hAnsi="Times New Roman"/>
          <w:rtl w:val="0"/>
          <w:lang w:val="en-US"/>
        </w:rPr>
        <w:t>t zu Berlin, Burgstra</w:t>
      </w:r>
      <w:r>
        <w:rPr>
          <w:rFonts w:ascii="Times New Roman" w:hAnsi="Times New Roman" w:hint="default"/>
          <w:rtl w:val="0"/>
          <w:lang w:val="en-US"/>
        </w:rPr>
        <w:t>ß</w:t>
      </w:r>
      <w:r>
        <w:rPr>
          <w:rFonts w:ascii="Times New Roman" w:hAnsi="Times New Roman"/>
          <w:rtl w:val="0"/>
          <w:lang w:val="en-US"/>
        </w:rPr>
        <w:t>e 26, D-10099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berkesla@hu-berlin.de;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Nehring, Grzegorz</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grzegorz.nehring@bam.de;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 xml:space="preserve">#author </w:t>
      </w:r>
    </w:p>
    <w:p>
      <w:pPr>
        <w:pStyle w:val="Body"/>
        <w:bidi w:val="0"/>
        <w:rPr>
          <w:rFonts w:ascii="Times New Roman" w:cs="Times New Roman" w:hAnsi="Times New Roman" w:eastAsia="Times New Roman"/>
          <w:lang w:val="en-US"/>
        </w:rPr>
      </w:pPr>
      <w:r>
        <w:rPr>
          <w:rFonts w:ascii="Times New Roman" w:hAnsi="Times New Roman"/>
          <w:rtl w:val="0"/>
          <w:lang w:val="en-US"/>
        </w:rPr>
        <w:t>Bonnerot, Olivier</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olivier.bonnerot@uni-hamburg.de;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Krutzsch, Myriam</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hint="default"/>
          <w:rtl w:val="0"/>
          <w:lang w:val="en-US"/>
        </w:rPr>
        <w:t>Ä</w:t>
      </w:r>
      <w:r>
        <w:rPr>
          <w:rFonts w:ascii="Times New Roman" w:hAnsi="Times New Roman"/>
          <w:rtl w:val="0"/>
          <w:lang w:val="en-US"/>
        </w:rPr>
        <w:t>gyptisches Museum Berlin und Papyrussammlung SMB, Geschwister-Scholl-Str. 6, D-10117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m.krutzsch@smb.spk-berlin.de;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Rabin, Ira</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Universit</w:t>
      </w:r>
      <w:r>
        <w:rPr>
          <w:rFonts w:ascii="Times New Roman" w:hAnsi="Times New Roman" w:hint="default"/>
          <w:rtl w:val="0"/>
          <w:lang w:val="en-US"/>
        </w:rPr>
        <w:t>ä</w:t>
      </w:r>
      <w:r>
        <w:rPr>
          <w:rFonts w:ascii="Times New Roman" w:hAnsi="Times New Roman"/>
          <w:rtl w:val="0"/>
          <w:lang w:val="en-US"/>
        </w:rPr>
        <w:t>t Hamburg, Warburgstra</w:t>
      </w:r>
      <w:r>
        <w:rPr>
          <w:rFonts w:ascii="Times New Roman" w:hAnsi="Times New Roman" w:hint="default"/>
          <w:rtl w:val="0"/>
          <w:lang w:val="en-US"/>
        </w:rPr>
        <w:t>ß</w:t>
      </w:r>
      <w:r>
        <w:rPr>
          <w:rFonts w:ascii="Times New Roman" w:hAnsi="Times New Roman"/>
          <w:rtl w:val="0"/>
          <w:lang w:val="en-US"/>
        </w:rPr>
        <w:t>e 26, D-20354 Hamburg; Bundesanstalt f</w:t>
      </w:r>
      <w:r>
        <w:rPr>
          <w:rFonts w:ascii="Times New Roman" w:hAnsi="Times New Roman" w:hint="default"/>
          <w:rtl w:val="0"/>
          <w:lang w:val="en-US"/>
        </w:rPr>
        <w:t>ü</w:t>
      </w:r>
      <w:r>
        <w:rPr>
          <w:rFonts w:ascii="Times New Roman" w:hAnsi="Times New Roman"/>
          <w:rtl w:val="0"/>
          <w:lang w:val="en-US"/>
        </w:rPr>
        <w:t>r Materialforschung; Unter den Eichen 44</w:t>
      </w:r>
      <w:r>
        <w:rPr>
          <w:rFonts w:ascii="Times New Roman" w:hAnsi="Times New Roman" w:hint="default"/>
          <w:rtl w:val="0"/>
          <w:lang w:val="en-US"/>
        </w:rPr>
        <w:t>–</w:t>
      </w:r>
      <w:r>
        <w:rPr>
          <w:rFonts w:ascii="Times New Roman" w:hAnsi="Times New Roman"/>
          <w:rtl w:val="0"/>
          <w:lang w:val="en-US"/>
        </w:rPr>
        <w:t>46, D-12203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 xml:space="preserve">ira.rabin@bam.de; </w:t>
      </w:r>
    </w:p>
    <w:p>
      <w:pPr>
        <w:pStyle w:val="Body"/>
        <w:bidi w:val="0"/>
        <w:rPr>
          <w:rFonts w:ascii="Times New Roman" w:cs="Times New Roman" w:hAnsi="Times New Roman" w:eastAsia="Times New Roman"/>
          <w:lang w:val="en-US"/>
        </w:rPr>
      </w:pPr>
    </w:p>
    <w:p>
      <w:pPr>
        <w:pStyle w:val="Body"/>
        <w:bidi w:val="0"/>
        <w:rPr>
          <w:rFonts w:ascii="Times New Roman" w:cs="Times New Roman" w:hAnsi="Times New Roman" w:eastAsia="Times New Roman"/>
          <w:lang w:val="en-US"/>
        </w:rPr>
      </w:pPr>
      <w:r>
        <w:rPr>
          <w:rFonts w:ascii="Times New Roman" w:hAnsi="Times New Roman"/>
          <w:rtl w:val="0"/>
          <w:lang w:val="en-US"/>
        </w:rPr>
        <w:t>#author</w:t>
      </w:r>
    </w:p>
    <w:p>
      <w:pPr>
        <w:pStyle w:val="Body"/>
        <w:bidi w:val="0"/>
        <w:rPr>
          <w:rFonts w:ascii="Times New Roman" w:cs="Times New Roman" w:hAnsi="Times New Roman" w:eastAsia="Times New Roman"/>
          <w:lang w:val="en-US"/>
        </w:rPr>
      </w:pPr>
      <w:r>
        <w:rPr>
          <w:rFonts w:ascii="Times New Roman" w:hAnsi="Times New Roman"/>
          <w:rtl w:val="0"/>
          <w:lang w:val="en-US"/>
        </w:rPr>
        <w:t>Richter, Tonio Sebastian</w:t>
      </w:r>
    </w:p>
    <w:p>
      <w:pPr>
        <w:pStyle w:val="Body"/>
        <w:bidi w:val="0"/>
        <w:rPr>
          <w:rFonts w:ascii="Times New Roman" w:cs="Times New Roman" w:hAnsi="Times New Roman" w:eastAsia="Times New Roman"/>
          <w:lang w:val="en-US"/>
        </w:rPr>
      </w:pPr>
      <w:r>
        <w:rPr>
          <w:rFonts w:ascii="Times New Roman" w:hAnsi="Times New Roman"/>
          <w:rtl w:val="0"/>
          <w:lang w:val="en-US"/>
        </w:rPr>
        <w:t>#affiliation</w:t>
      </w:r>
    </w:p>
    <w:p>
      <w:pPr>
        <w:pStyle w:val="Body"/>
        <w:bidi w:val="0"/>
        <w:rPr>
          <w:rFonts w:ascii="Times New Roman" w:cs="Times New Roman" w:hAnsi="Times New Roman" w:eastAsia="Times New Roman"/>
          <w:lang w:val="en-US"/>
        </w:rPr>
      </w:pPr>
      <w:r>
        <w:rPr>
          <w:rFonts w:ascii="Times New Roman" w:hAnsi="Times New Roman"/>
          <w:rtl w:val="0"/>
          <w:lang w:val="en-US"/>
        </w:rPr>
        <w:t>Berlin-Brandenburgische Akademie der Wissenschaften, J</w:t>
      </w:r>
      <w:r>
        <w:rPr>
          <w:rFonts w:ascii="Times New Roman" w:hAnsi="Times New Roman" w:hint="default"/>
          <w:rtl w:val="0"/>
          <w:lang w:val="en-US"/>
        </w:rPr>
        <w:t>ä</w:t>
      </w:r>
      <w:r>
        <w:rPr>
          <w:rFonts w:ascii="Times New Roman" w:hAnsi="Times New Roman"/>
          <w:rtl w:val="0"/>
          <w:lang w:val="en-US"/>
        </w:rPr>
        <w:t>gerstr. 22/23, D-10117 Berlin; Freie Universit</w:t>
      </w:r>
      <w:r>
        <w:rPr>
          <w:rFonts w:ascii="Times New Roman" w:hAnsi="Times New Roman" w:hint="default"/>
          <w:rtl w:val="0"/>
          <w:lang w:val="en-US"/>
        </w:rPr>
        <w:t>ä</w:t>
      </w:r>
      <w:r>
        <w:rPr>
          <w:rFonts w:ascii="Times New Roman" w:hAnsi="Times New Roman"/>
          <w:rtl w:val="0"/>
          <w:lang w:val="en-US"/>
        </w:rPr>
        <w:t>t Berlin, Fabeckstr. 23</w:t>
      </w:r>
      <w:r>
        <w:rPr>
          <w:rFonts w:ascii="Times New Roman" w:hAnsi="Times New Roman" w:hint="default"/>
          <w:rtl w:val="0"/>
          <w:lang w:val="en-US"/>
        </w:rPr>
        <w:t>–</w:t>
      </w:r>
      <w:r>
        <w:rPr>
          <w:rFonts w:ascii="Times New Roman" w:hAnsi="Times New Roman"/>
          <w:rtl w:val="0"/>
          <w:lang w:val="en-US"/>
        </w:rPr>
        <w:t>25, D-14195 Berlin</w:t>
      </w:r>
    </w:p>
    <w:p>
      <w:pPr>
        <w:pStyle w:val="Body"/>
        <w:bidi w:val="0"/>
        <w:rPr>
          <w:rFonts w:ascii="Times New Roman" w:cs="Times New Roman" w:hAnsi="Times New Roman" w:eastAsia="Times New Roman"/>
          <w:lang w:val="en-US"/>
        </w:rPr>
      </w:pPr>
      <w:r>
        <w:rPr>
          <w:rFonts w:ascii="Times New Roman" w:hAnsi="Times New Roman"/>
          <w:rtl w:val="0"/>
          <w:lang w:val="en-US"/>
        </w:rPr>
        <w:t>#email</w:t>
      </w:r>
    </w:p>
    <w:p>
      <w:pPr>
        <w:pStyle w:val="Body"/>
        <w:bidi w:val="0"/>
        <w:rPr>
          <w:rFonts w:ascii="Times New Roman" w:cs="Times New Roman" w:hAnsi="Times New Roman" w:eastAsia="Times New Roman"/>
          <w:lang w:val="en-US"/>
        </w:rPr>
      </w:pPr>
      <w:r>
        <w:rPr>
          <w:rFonts w:ascii="Times New Roman" w:hAnsi="Times New Roman"/>
          <w:rtl w:val="0"/>
          <w:lang w:val="en-US"/>
        </w:rPr>
        <w:t>sebastian.richter@fu-berlin.de.</w:t>
      </w:r>
    </w:p>
    <w:p>
      <w:pPr>
        <w:pStyle w:val="APF-Z Abstract_Keywords"/>
        <w:spacing w:line="240" w:lineRule="auto"/>
      </w:pPr>
    </w:p>
    <w:p>
      <w:pPr>
        <w:pStyle w:val="Normal.0"/>
        <w:spacing w:line="360" w:lineRule="auto"/>
        <w:jc w:val="center"/>
        <w:rPr>
          <w:sz w:val="20"/>
          <w:szCs w:val="20"/>
        </w:rPr>
      </w:pPr>
      <w:r>
        <w:rPr>
          <w:sz w:val="20"/>
          <w:szCs w:val="20"/>
        </w:rPr>
        <w:drawing xmlns:a="http://schemas.openxmlformats.org/drawingml/2006/main">
          <wp:inline distT="0" distB="0" distL="0" distR="0">
            <wp:extent cx="3463925" cy="6567170"/>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4">
                      <a:extLst/>
                    </a:blip>
                    <a:stretch>
                      <a:fillRect/>
                    </a:stretch>
                  </pic:blipFill>
                  <pic:spPr>
                    <a:xfrm>
                      <a:off x="0" y="0"/>
                      <a:ext cx="3463925" cy="6567170"/>
                    </a:xfrm>
                    <a:prstGeom prst="rect">
                      <a:avLst/>
                    </a:prstGeom>
                    <a:ln w="12700" cap="flat">
                      <a:noFill/>
                      <a:miter lim="400000"/>
                    </a:ln>
                    <a:effectLst/>
                  </pic:spPr>
                </pic:pic>
              </a:graphicData>
            </a:graphic>
          </wp:inline>
        </w:drawing>
      </w:r>
    </w:p>
    <w:p>
      <w:pPr>
        <w:pStyle w:val="Normal.0"/>
        <w:spacing w:line="360" w:lineRule="auto"/>
        <w:jc w:val="center"/>
        <w:rPr>
          <w:sz w:val="20"/>
          <w:szCs w:val="20"/>
        </w:rPr>
      </w:pPr>
      <w:r>
        <w:rPr>
          <w:sz w:val="20"/>
          <w:szCs w:val="20"/>
        </w:rPr>
        <w:drawing xmlns:a="http://schemas.openxmlformats.org/drawingml/2006/main">
          <wp:inline distT="0" distB="0" distL="0" distR="0">
            <wp:extent cx="4183253" cy="5578941"/>
            <wp:effectExtent l="0" t="0" r="0" b="0"/>
            <wp:docPr id="1073741826" name="officeArt object" descr="Grafik 5"/>
            <wp:cNvGraphicFramePr/>
            <a:graphic xmlns:a="http://schemas.openxmlformats.org/drawingml/2006/main">
              <a:graphicData uri="http://schemas.openxmlformats.org/drawingml/2006/picture">
                <pic:pic xmlns:pic="http://schemas.openxmlformats.org/drawingml/2006/picture">
                  <pic:nvPicPr>
                    <pic:cNvPr id="1073741826" name="Grafik 5" descr="Grafik 5"/>
                    <pic:cNvPicPr>
                      <a:picLocks noChangeAspect="1"/>
                    </pic:cNvPicPr>
                  </pic:nvPicPr>
                  <pic:blipFill>
                    <a:blip r:embed="rId5">
                      <a:extLst/>
                    </a:blip>
                    <a:stretch>
                      <a:fillRect/>
                    </a:stretch>
                  </pic:blipFill>
                  <pic:spPr>
                    <a:xfrm>
                      <a:off x="0" y="0"/>
                      <a:ext cx="4183253" cy="557894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1. </w:t>
      </w:r>
      <w:r>
        <w:rPr>
          <w:sz w:val="20"/>
          <w:szCs w:val="20"/>
          <w:rtl w:val="0"/>
          <w:lang w:val="en-US"/>
        </w:rPr>
        <w:t xml:space="preserve">Photographs in reflected and transmitted light: a-b) P 11934, c-d) 11935. </w:t>
      </w:r>
      <w:r>
        <w:rPr>
          <w:sz w:val="20"/>
          <w:szCs w:val="20"/>
          <w:rtl w:val="0"/>
          <w:lang w:val="en-US"/>
        </w:rPr>
        <w:t xml:space="preserve">© </w:t>
      </w:r>
      <w:r>
        <w:rPr>
          <w:sz w:val="20"/>
          <w:szCs w:val="20"/>
          <w:rtl w:val="0"/>
          <w:lang w:val="en-US"/>
        </w:rPr>
        <w:t>M. Krutzsch.</w:t>
      </w:r>
    </w:p>
    <w:p>
      <w:pPr>
        <w:pStyle w:val="Body"/>
        <w:bidi w:val="0"/>
        <w:rPr>
          <w:sz w:val="20"/>
          <w:szCs w:val="20"/>
        </w:rPr>
      </w:pPr>
    </w:p>
    <w:p>
      <w:pPr>
        <w:pStyle w:val="Body"/>
        <w:bidi w:val="0"/>
        <w:rPr>
          <w:sz w:val="20"/>
          <w:szCs w:val="20"/>
        </w:rPr>
      </w:pPr>
      <w:r>
        <w:rPr>
          <w:sz w:val="20"/>
          <w:szCs w:val="20"/>
          <w:rtl w:val="0"/>
          <w:lang w:val="de-DE"/>
        </w:rPr>
        <w:t>#articleHeader</w:t>
      </w:r>
    </w:p>
    <w:p>
      <w:pPr>
        <w:pStyle w:val="Body"/>
        <w:bidi w:val="0"/>
        <w:rPr>
          <w:lang w:val="en-US"/>
        </w:rPr>
      </w:pPr>
      <w:r>
        <w:rPr>
          <w:sz w:val="20"/>
          <w:szCs w:val="20"/>
          <w:rtl w:val="0"/>
          <w:lang w:val="de-DE"/>
        </w:rPr>
        <w:t xml:space="preserve">1. </w:t>
      </w:r>
      <w:r>
        <w:rPr>
          <w:rtl w:val="0"/>
          <w:lang w:val="en-US"/>
        </w:rPr>
        <w:t>Introduction</w:t>
      </w:r>
    </w:p>
    <w:p>
      <w:pPr>
        <w:pStyle w:val="Normal.0"/>
        <w:spacing w:line="360" w:lineRule="auto"/>
        <w:jc w:val="both"/>
        <w:rPr>
          <w:rFonts w:ascii="Calibri" w:cs="Calibri" w:hAnsi="Calibri" w:eastAsia="Calibri"/>
          <w:outline w:val="0"/>
          <w:color w:val="000000"/>
          <w:u w:color="000000"/>
          <w:shd w:val="clear" w:color="auto" w:fill="ffffff"/>
          <w14:textFill>
            <w14:solidFill>
              <w14:srgbClr w14:val="000000"/>
            </w14:solidFill>
          </w14:textFill>
        </w:rPr>
      </w:pPr>
      <w:r>
        <w:rPr>
          <w:rFonts w:ascii="Calibri" w:hAnsi="Calibri"/>
          <w:rtl w:val="0"/>
          <w:lang w:val="en-US"/>
        </w:rPr>
        <w:t>In this article, we present t</w:t>
      </w:r>
      <w:r>
        <w:rPr>
          <w:rtl w:val="0"/>
          <w:lang w:val="en-US"/>
        </w:rPr>
        <w:t>wo Coptic papyri, P 11934 and P 11935 from the Berlin collection (Fig. 1)</w:t>
      </w:r>
      <w:r>
        <w:rPr>
          <w:rFonts w:ascii="Calibri" w:hAnsi="Calibri"/>
          <w:outline w:val="0"/>
          <w:color w:val="000000"/>
          <w:u w:color="000000"/>
          <w:shd w:val="clear" w:color="auto" w:fill="ffffff"/>
          <w:rtl w:val="0"/>
          <w:lang w:val="en-US"/>
          <w14:textFill>
            <w14:solidFill>
              <w14:srgbClr w14:val="000000"/>
            </w14:solidFill>
          </w14:textFill>
        </w:rPr>
        <w:t xml:space="preserve"> excavated in Ashmunein (ancient Hermopolis) by Otto Rubensohn in 1906. We</w:t>
      </w:r>
      <w:r>
        <w:rPr>
          <w:rtl w:val="0"/>
          <w:lang w:val="en-US"/>
        </w:rPr>
        <w:t xml:space="preserve"> employ a multi-disciplinary approach that takes into account both their materiality </w:t>
      </w:r>
      <w:r>
        <w:rPr>
          <w:rtl w:val="0"/>
          <w:lang w:val="en-US"/>
        </w:rPr>
        <w:t xml:space="preserve">– </w:t>
      </w:r>
      <w:r>
        <w:rPr>
          <w:rtl w:val="0"/>
          <w:lang w:val="en-US"/>
        </w:rPr>
        <w:t xml:space="preserve">writing support as well as ink </w:t>
      </w:r>
      <w:r>
        <w:rPr>
          <w:rtl w:val="0"/>
          <w:lang w:val="en-US"/>
        </w:rPr>
        <w:t xml:space="preserve">– </w:t>
      </w:r>
      <w:r>
        <w:rPr>
          <w:rtl w:val="0"/>
          <w:lang w:val="en-US"/>
        </w:rPr>
        <w:t>and their content. We aim at presenting the papyri, which were selected because of the ink corrosion during conservation work at the Berlin collection, in a format, which is exhaustive both for material and textual aspects. T</w:t>
      </w:r>
      <w:r>
        <w:rPr>
          <w:rFonts w:ascii="Calibri" w:hAnsi="Calibri"/>
          <w:outline w:val="0"/>
          <w:color w:val="000000"/>
          <w:u w:color="000000"/>
          <w:shd w:val="clear" w:color="auto" w:fill="ffffff"/>
          <w:rtl w:val="0"/>
          <w:lang w:val="en-US"/>
          <w14:textFill>
            <w14:solidFill>
              <w14:srgbClr w14:val="000000"/>
            </w14:solidFill>
          </w14:textFill>
        </w:rPr>
        <w:t>he inks from both papyri were analysed using a combination of techniques, contributing to our better understanding of the development of ink technology in Late Antiquity.</w:t>
      </w:r>
    </w:p>
    <w:p>
      <w:pPr>
        <w:pStyle w:val="Body"/>
        <w:bidi w:val="0"/>
        <w:rPr>
          <w:rFonts w:ascii="Calibri" w:cs="Calibri" w:hAnsi="Calibri" w:eastAsia="Calibri"/>
          <w:sz w:val="20"/>
          <w:szCs w:val="20"/>
          <w:u w:color="000000"/>
          <w:shd w:val="clear" w:color="auto" w:fill="ffffff"/>
        </w:rPr>
      </w:pPr>
      <w:r>
        <w:rPr>
          <w:sz w:val="20"/>
          <w:szCs w:val="20"/>
          <w:rtl w:val="0"/>
          <w:lang w:val="de-DE"/>
        </w:rPr>
        <w:t>#articleHeader</w:t>
      </w:r>
    </w:p>
    <w:p>
      <w:pPr>
        <w:pStyle w:val="Body"/>
        <w:bidi w:val="0"/>
        <w:rPr>
          <w:rFonts w:ascii="Calibri" w:cs="Calibri" w:hAnsi="Calibri" w:eastAsia="Calibri"/>
        </w:rPr>
      </w:pPr>
      <w:r>
        <w:rPr>
          <w:rFonts w:ascii="Calibri" w:hAnsi="Calibri"/>
          <w:sz w:val="20"/>
          <w:szCs w:val="20"/>
          <w:u w:color="000000"/>
          <w:shd w:val="clear" w:color="auto" w:fill="ffffff"/>
          <w:rtl w:val="0"/>
          <w:lang w:val="de-DE"/>
        </w:rPr>
        <w:t xml:space="preserve">2. </w:t>
      </w:r>
      <w:r>
        <w:rPr>
          <w:rFonts w:ascii="Calibri" w:hAnsi="Calibri"/>
          <w:rtl w:val="0"/>
          <w:lang w:val="en-US"/>
        </w:rPr>
        <w:t>Material Description (Myriam Krutzsch)</w:t>
      </w:r>
    </w:p>
    <w:p>
      <w:pPr>
        <w:pStyle w:val="Body"/>
        <w:bidi w:val="0"/>
        <w:rPr>
          <w:outline w:val="0"/>
          <w:color w:val="000000"/>
          <w:u w:color="000000"/>
          <w:shd w:val="clear" w:color="auto" w:fill="ffffff"/>
          <w14:textFill>
            <w14:solidFill>
              <w14:srgbClr w14:val="000000"/>
            </w14:solidFill>
          </w14:textFill>
        </w:rPr>
      </w:pPr>
    </w:p>
    <w:p>
      <w:pPr>
        <w:pStyle w:val="Normal.0"/>
        <w:spacing w:line="360" w:lineRule="auto"/>
        <w:jc w:val="both"/>
      </w:pPr>
      <w:r>
        <w:rPr>
          <w:rtl w:val="0"/>
          <w:lang w:val="en-US"/>
        </w:rPr>
        <w:t>Both documents consist of a completely preserved single sheet, except for a small part missing in P 11935. The state of preservation of both papyri can be defined as stable. The texts run parallel to the fibres on the recto. The stains on the verso of P 11935 are the result of ink that has bled through.</w:t>
      </w:r>
    </w:p>
    <w:p>
      <w:pPr>
        <w:pStyle w:val="Normal.0"/>
        <w:spacing w:line="360" w:lineRule="auto"/>
        <w:jc w:val="both"/>
      </w:pPr>
      <w:r>
        <w:rPr>
          <w:rtl w:val="0"/>
          <w:lang w:val="en-US"/>
        </w:rPr>
        <w:t>The papyri differ in their materiality, not only in terms of colour, but also in shape (almost square for P 11934 and elongated for P 11935) and other properties as listed in Table 1. It is noteworthy that both documents have cut edges.</w:t>
      </w:r>
      <w:r>
        <w:rPr>
          <w:vertAlign w:val="superscript"/>
        </w:rPr>
        <w:footnoteReference w:id="1"/>
      </w:r>
    </w:p>
    <w:p>
      <w:pPr>
        <w:pStyle w:val="Normal.0"/>
        <w:spacing w:line="360" w:lineRule="auto"/>
        <w:rPr>
          <w:sz w:val="20"/>
          <w:szCs w:val="20"/>
        </w:rPr>
      </w:pPr>
      <w:r>
        <w:drawing xmlns:a="http://schemas.openxmlformats.org/drawingml/2006/main">
          <wp:inline distT="0" distB="0" distL="0" distR="0">
            <wp:extent cx="4182746" cy="1815465"/>
            <wp:effectExtent l="0" t="0" r="0" b="0"/>
            <wp:docPr id="1073741827" name="officeArt object" descr="Picture 2"/>
            <wp:cNvGraphicFramePr/>
            <a:graphic xmlns:a="http://schemas.openxmlformats.org/drawingml/2006/main">
              <a:graphicData uri="http://schemas.openxmlformats.org/drawingml/2006/picture">
                <pic:pic xmlns:pic="http://schemas.openxmlformats.org/drawingml/2006/picture">
                  <pic:nvPicPr>
                    <pic:cNvPr id="1073741827" name="Picture 2" descr="Picture 2"/>
                    <pic:cNvPicPr>
                      <a:picLocks noChangeAspect="1"/>
                    </pic:cNvPicPr>
                  </pic:nvPicPr>
                  <pic:blipFill>
                    <a:blip r:embed="rId6">
                      <a:extLst/>
                    </a:blip>
                    <a:stretch>
                      <a:fillRect/>
                    </a:stretch>
                  </pic:blipFill>
                  <pic:spPr>
                    <a:xfrm>
                      <a:off x="0" y="0"/>
                      <a:ext cx="4182746" cy="1815465"/>
                    </a:xfrm>
                    <a:prstGeom prst="rect">
                      <a:avLst/>
                    </a:prstGeom>
                    <a:ln w="12700" cap="flat">
                      <a:noFill/>
                      <a:miter lim="400000"/>
                    </a:ln>
                    <a:effectLst/>
                  </pic:spPr>
                </pic:pic>
              </a:graphicData>
            </a:graphic>
          </wp:inline>
        </w:drawing>
      </w:r>
    </w:p>
    <w:p>
      <w:pPr>
        <w:pStyle w:val="Normal.0"/>
        <w:spacing w:line="360" w:lineRule="auto"/>
        <w:rPr>
          <w:sz w:val="20"/>
          <w:szCs w:val="20"/>
        </w:rPr>
      </w:pPr>
      <w:r>
        <w:rPr>
          <w:sz w:val="20"/>
          <w:szCs w:val="20"/>
          <w:rtl w:val="0"/>
          <w:lang w:val="en-US"/>
        </w:rPr>
        <w:t xml:space="preserve">Fig. 2. </w:t>
      </w:r>
      <w:r>
        <w:rPr>
          <w:sz w:val="20"/>
          <w:szCs w:val="20"/>
          <w:rtl w:val="0"/>
          <w:lang w:val="en-US"/>
        </w:rPr>
        <w:t xml:space="preserve">Detail of the papyrus structure: a) P 11934, b) 11935. </w:t>
      </w:r>
    </w:p>
    <w:p>
      <w:pPr>
        <w:pStyle w:val="Normal.0"/>
        <w:spacing w:line="360" w:lineRule="auto"/>
        <w:jc w:val="both"/>
      </w:pPr>
    </w:p>
    <w:p>
      <w:pPr>
        <w:pStyle w:val="Normal.0"/>
        <w:spacing w:line="360" w:lineRule="auto"/>
        <w:jc w:val="both"/>
      </w:pPr>
      <w:r>
        <w:rPr>
          <w:rtl w:val="0"/>
          <w:lang w:val="en-US"/>
        </w:rPr>
        <w:t>The study of the fibre structure using photography and microscopy in transmitted light helps identify the higher quality of the papyrus of P 11935 as compared to that of P 11934. Note the contrast between the extremely dense fibre structure of P 11934, leading to a compact and opaque appearance (cf. fig. 1b and 2a), as opposed to the regularly spaced and quasi-transparent appearance of P 11935 (cf. fig. 1d and 2b). Table 1 summarizes the properties of the papyri determined during the preparative stage of the conservation work.</w:t>
      </w:r>
    </w:p>
    <w:p>
      <w:pPr>
        <w:pStyle w:val="Normal.0"/>
        <w:spacing w:line="360" w:lineRule="auto"/>
        <w:jc w:val="center"/>
      </w:pPr>
      <w:r>
        <w:rPr>
          <w:rtl w:val="0"/>
          <w:lang w:val="en-US"/>
        </w:rPr>
        <w:t xml:space="preserve"> </w:t>
      </w:r>
    </w:p>
    <w:p>
      <w:pPr>
        <w:pStyle w:val="Normal.0"/>
        <w:spacing w:line="360" w:lineRule="auto"/>
        <w:jc w:val="both"/>
      </w:pPr>
      <w:r>
        <w:rPr>
          <w:rtl w:val="0"/>
          <w:lang w:val="en-US"/>
        </w:rPr>
        <w:t>Table 1. Physical description of the papyri.</w:t>
      </w:r>
    </w:p>
    <w:p>
      <w:pPr>
        <w:pStyle w:val="Normal.0"/>
        <w:jc w:val="both"/>
        <w:rPr>
          <w:sz w:val="20"/>
          <w:szCs w:val="20"/>
        </w:rPr>
      </w:pPr>
    </w:p>
    <w:tbl>
      <w:tblPr>
        <w:tblW w:w="651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22"/>
        <w:gridCol w:w="2268"/>
        <w:gridCol w:w="2126"/>
      </w:tblGrid>
      <w:tr>
        <w:tblPrEx>
          <w:shd w:val="clear" w:color="auto" w:fill="ced7e7"/>
        </w:tblPrEx>
        <w:trPr>
          <w:trHeight w:val="220" w:hRule="atLeast"/>
        </w:trPr>
        <w:tc>
          <w:tcPr>
            <w:tcW w:type="dxa" w:w="2122"/>
            <w:tcBorders>
              <w:top w:val="single" w:color="000000" w:sz="4" w:space="0" w:shadow="0" w:frame="0"/>
              <w:left w:val="single" w:color="000000" w:sz="4" w:space="0" w:shadow="0" w:frame="0"/>
              <w:bottom w:val="single" w:color="000000" w:sz="18" w:space="0" w:shadow="0" w:frame="0"/>
              <w:right w:val="single" w:color="000000" w:sz="18" w:space="0" w:shadow="0" w:frame="0"/>
            </w:tcBorders>
            <w:shd w:val="clear" w:color="auto" w:fill="auto"/>
            <w:tcMar>
              <w:top w:type="dxa" w:w="80"/>
              <w:left w:type="dxa" w:w="80"/>
              <w:bottom w:type="dxa" w:w="80"/>
              <w:right w:type="dxa" w:w="80"/>
            </w:tcMar>
            <w:vAlign w:val="top"/>
          </w:tcPr>
          <w:p/>
        </w:tc>
        <w:tc>
          <w:tcPr>
            <w:tcW w:type="dxa" w:w="2268"/>
            <w:tcBorders>
              <w:top w:val="single" w:color="000000" w:sz="4" w:space="0" w:shadow="0" w:frame="0"/>
              <w:left w:val="single" w:color="000000" w:sz="18"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11934</w:t>
            </w:r>
          </w:p>
        </w:tc>
        <w:tc>
          <w:tcPr>
            <w:tcW w:type="dxa" w:w="2126"/>
            <w:tcBorders>
              <w:top w:val="single" w:color="000000" w:sz="4" w:space="0" w:shadow="0" w:frame="0"/>
              <w:left w:val="single" w:color="000000" w:sz="4" w:space="0" w:shadow="0" w:frame="0"/>
              <w:bottom w:val="single" w:color="000000" w:sz="18"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b w:val="1"/>
                <w:bCs w:val="1"/>
                <w:sz w:val="18"/>
                <w:szCs w:val="18"/>
                <w:shd w:val="nil" w:color="auto" w:fill="auto"/>
                <w:rtl w:val="0"/>
                <w:lang w:val="en-US"/>
              </w:rPr>
              <w:t>P 11935</w:t>
            </w:r>
          </w:p>
        </w:tc>
      </w:tr>
      <w:tr>
        <w:tblPrEx>
          <w:shd w:val="clear" w:color="auto" w:fill="ced7e7"/>
        </w:tblPrEx>
        <w:trPr>
          <w:trHeight w:val="430" w:hRule="atLeast"/>
        </w:trPr>
        <w:tc>
          <w:tcPr>
            <w:tcW w:type="dxa" w:w="2122"/>
            <w:tcBorders>
              <w:top w:val="single" w:color="000000" w:sz="18"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rPr>
                <w:b w:val="1"/>
                <w:bCs w:val="1"/>
                <w:sz w:val="18"/>
                <w:szCs w:val="18"/>
                <w:shd w:val="nil" w:color="auto" w:fill="auto"/>
              </w:rPr>
            </w:pPr>
            <w:r>
              <w:rPr>
                <w:b w:val="1"/>
                <w:bCs w:val="1"/>
                <w:sz w:val="18"/>
                <w:szCs w:val="18"/>
                <w:shd w:val="nil" w:color="auto" w:fill="auto"/>
                <w:rtl w:val="0"/>
                <w:lang w:val="en-US"/>
              </w:rPr>
              <w:t xml:space="preserve">Dimensions </w:t>
            </w:r>
          </w:p>
          <w:p>
            <w:pPr>
              <w:pStyle w:val="Normal.0"/>
              <w:bidi w:val="0"/>
              <w:ind w:left="0" w:right="0" w:firstLine="0"/>
              <w:jc w:val="left"/>
              <w:rPr>
                <w:rtl w:val="0"/>
              </w:rPr>
            </w:pPr>
            <w:r>
              <w:rPr>
                <w:sz w:val="18"/>
                <w:szCs w:val="18"/>
                <w:shd w:val="nil" w:color="auto" w:fill="auto"/>
                <w:rtl w:val="0"/>
                <w:lang w:val="en-US"/>
              </w:rPr>
              <w:t xml:space="preserve">   (H x W x thickness)</w:t>
            </w:r>
          </w:p>
        </w:tc>
        <w:tc>
          <w:tcPr>
            <w:tcW w:type="dxa" w:w="2268"/>
            <w:tcBorders>
              <w:top w:val="single" w:color="000000" w:sz="18"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113 x 130 x 0.28-0.35 mm</w:t>
            </w:r>
          </w:p>
        </w:tc>
        <w:tc>
          <w:tcPr>
            <w:tcW w:type="dxa" w:w="2126"/>
            <w:tcBorders>
              <w:top w:val="single" w:color="000000" w:sz="18"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276 x 87 x 0.29-0.36 mm</w:t>
            </w:r>
          </w:p>
        </w:tc>
      </w:tr>
      <w:tr>
        <w:tblPrEx>
          <w:shd w:val="clear" w:color="auto" w:fill="ced7e7"/>
        </w:tblPrEx>
        <w:trPr>
          <w:trHeight w:val="622" w:hRule="atLeast"/>
        </w:trPr>
        <w:tc>
          <w:tcPr>
            <w:tcW w:type="dxa" w:w="2122"/>
            <w:tcBorders>
              <w:top w:val="single" w:color="000000" w:sz="12"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Preservation state</w:t>
            </w:r>
          </w:p>
        </w:tc>
        <w:tc>
          <w:tcPr>
            <w:tcW w:type="dxa" w:w="2268"/>
            <w:tcBorders>
              <w:top w:val="single" w:color="000000" w:sz="12"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completely preserved; firm;</w:t>
            </w:r>
          </w:p>
          <w:p>
            <w:pPr>
              <w:pStyle w:val="Normal.0"/>
              <w:bidi w:val="0"/>
              <w:ind w:left="0" w:right="0" w:firstLine="0"/>
              <w:jc w:val="center"/>
              <w:rPr>
                <w:rtl w:val="0"/>
              </w:rPr>
            </w:pPr>
            <w:r>
              <w:rPr>
                <w:sz w:val="18"/>
                <w:szCs w:val="18"/>
                <w:shd w:val="nil" w:color="auto" w:fill="auto"/>
                <w:rtl w:val="0"/>
                <w:lang w:val="en-US"/>
              </w:rPr>
              <w:t>only individual small holes</w:t>
            </w:r>
          </w:p>
        </w:tc>
        <w:tc>
          <w:tcPr>
            <w:tcW w:type="dxa" w:w="2126"/>
            <w:tcBorders>
              <w:top w:val="single" w:color="000000" w:sz="12"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rPr>
                <w:sz w:val="18"/>
                <w:szCs w:val="18"/>
                <w:shd w:val="nil" w:color="auto" w:fill="auto"/>
              </w:rPr>
            </w:pPr>
            <w:r>
              <w:rPr>
                <w:sz w:val="18"/>
                <w:szCs w:val="18"/>
                <w:shd w:val="nil" w:color="auto" w:fill="auto"/>
                <w:rtl w:val="0"/>
                <w:lang w:val="en-US"/>
              </w:rPr>
              <w:t>flexible; tears and breaks; one small missing part;</w:t>
            </w:r>
          </w:p>
          <w:p>
            <w:pPr>
              <w:pStyle w:val="Normal.0"/>
              <w:bidi w:val="0"/>
              <w:ind w:left="0" w:right="0" w:firstLine="0"/>
              <w:jc w:val="center"/>
              <w:rPr>
                <w:rtl w:val="0"/>
              </w:rPr>
            </w:pPr>
            <w:r>
              <w:rPr>
                <w:sz w:val="18"/>
                <w:szCs w:val="18"/>
                <w:shd w:val="nil" w:color="auto" w:fill="auto"/>
                <w:rtl w:val="0"/>
                <w:lang w:val="en-US"/>
              </w:rPr>
              <w:t>left edge slightly frayed</w:t>
            </w:r>
          </w:p>
        </w:tc>
      </w:tr>
      <w:tr>
        <w:tblPrEx>
          <w:shd w:val="clear" w:color="auto" w:fill="ced7e7"/>
        </w:tblPrEx>
        <w:trPr>
          <w:trHeight w:val="212" w:hRule="atLeast"/>
        </w:trPr>
        <w:tc>
          <w:tcPr>
            <w:tcW w:type="dxa" w:w="2122"/>
            <w:tcBorders>
              <w:top w:val="single" w:color="000000" w:sz="12"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1"/>
                <w:bCs w:val="1"/>
                <w:sz w:val="18"/>
                <w:szCs w:val="18"/>
                <w:shd w:val="nil" w:color="auto" w:fill="auto"/>
                <w:rtl w:val="0"/>
                <w:lang w:val="en-US"/>
              </w:rPr>
              <w:t xml:space="preserve">Sheet </w:t>
            </w:r>
          </w:p>
        </w:tc>
        <w:tc>
          <w:tcPr>
            <w:tcW w:type="dxa" w:w="4394"/>
            <w:gridSpan w:val="2"/>
            <w:tcBorders>
              <w:top w:val="single" w:color="000000" w:sz="12"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sheet joins could be found;</w:t>
            </w:r>
          </w:p>
        </w:tc>
      </w:tr>
      <w:tr>
        <w:tblPrEx>
          <w:shd w:val="clear" w:color="auto" w:fill="ced7e7"/>
        </w:tblPrEx>
        <w:trPr>
          <w:trHeight w:val="6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Type</w:t>
            </w:r>
          </w:p>
        </w:tc>
        <w:tc>
          <w:tcPr>
            <w:tcW w:type="dxa" w:w="4394"/>
            <w:gridSpan w:val="2"/>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no information can be given about the type of the original sheets, because the present documents present cut-outs of the larger sheets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Opacity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opaque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mostly transparent</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Surface texture </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and verso: smooth and matt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striped</w:t>
            </w: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Colour</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middle yellow ochre</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de-DE"/>
              </w:rPr>
              <w:t>verso: ochre, dark ochre, and dark brown ochre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vivid yellow ochre, and dark ochre</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b w:val="0"/>
                <w:bCs w:val="0"/>
                <w:sz w:val="18"/>
                <w:szCs w:val="18"/>
                <w:shd w:val="nil" w:color="auto" w:fill="auto"/>
                <w:rtl w:val="0"/>
                <w:lang w:val="en-US"/>
              </w:rPr>
              <w:t xml:space="preserve"> </w:t>
            </w:r>
            <w:r>
              <w:rPr>
                <w:b w:val="1"/>
                <w:bCs w:val="1"/>
                <w:sz w:val="18"/>
                <w:szCs w:val="18"/>
                <w:shd w:val="nil" w:color="auto" w:fill="auto"/>
                <w:rtl w:val="0"/>
                <w:lang w:val="en-US"/>
              </w:rPr>
              <w:t>Fibres</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402" w:hRule="atLeast"/>
        </w:trPr>
        <w:tc>
          <w:tcPr>
            <w:tcW w:type="dxa" w:w="2122"/>
            <w:vMerge w:val="restart"/>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Type  (number / 7 mm)</w:t>
            </w:r>
            <w:r>
              <w:rPr>
                <w:sz w:val="18"/>
                <w:szCs w:val="18"/>
                <w:shd w:val="nil" w:color="auto" w:fill="auto"/>
              </w:rPr>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7 fine and 4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3 fine and 6 medium fibres</w:t>
            </w:r>
          </w:p>
        </w:tc>
      </w:tr>
      <w:tr>
        <w:tblPrEx>
          <w:shd w:val="clear" w:color="auto" w:fill="ced7e7"/>
        </w:tblPrEx>
        <w:trPr>
          <w:trHeight w:val="402" w:hRule="atLeast"/>
        </w:trPr>
        <w:tc>
          <w:tcPr>
            <w:tcW w:type="dxa" w:w="2122"/>
            <w:vMerge w:val="continue"/>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5 fine and 6 medium fibres</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6 fine and 5 medium fibres</w:t>
            </w:r>
          </w:p>
        </w:tc>
      </w:tr>
      <w:tr>
        <w:tblPrEx>
          <w:shd w:val="clear" w:color="auto" w:fill="ced7e7"/>
        </w:tblPrEx>
        <w:trPr>
          <w:trHeight w:val="202" w:hRule="atLeast"/>
        </w:trPr>
        <w:tc>
          <w:tcPr>
            <w:tcW w:type="dxa" w:w="2122"/>
            <w:tcBorders>
              <w:top w:val="single" w:color="000000" w:sz="4" w:space="0" w:shadow="0" w:frame="0"/>
              <w:left w:val="single" w:color="000000" w:sz="4" w:space="0" w:shadow="0" w:frame="0"/>
              <w:bottom w:val="single" w:color="000000" w:sz="4"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Density</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dense</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loose</w:t>
            </w:r>
          </w:p>
        </w:tc>
      </w:tr>
      <w:tr>
        <w:tblPrEx>
          <w:shd w:val="clear" w:color="auto" w:fill="ced7e7"/>
        </w:tblPrEx>
        <w:trPr>
          <w:trHeight w:val="202" w:hRule="atLeast"/>
        </w:trPr>
        <w:tc>
          <w:tcPr>
            <w:tcW w:type="dxa" w:w="2122"/>
            <w:vMerge w:val="restart"/>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Mar>
              <w:top w:type="dxa" w:w="80"/>
              <w:left w:type="dxa" w:w="80"/>
              <w:bottom w:type="dxa" w:w="80"/>
              <w:right w:type="dxa" w:w="80"/>
            </w:tcMar>
            <w:vAlign w:val="top"/>
          </w:tcPr>
          <w:p>
            <w:pPr>
              <w:pStyle w:val="Normal.0"/>
            </w:pPr>
            <w:r>
              <w:rPr>
                <w:sz w:val="18"/>
                <w:szCs w:val="18"/>
                <w:shd w:val="nil" w:color="auto" w:fill="auto"/>
                <w:rtl w:val="0"/>
                <w:lang w:val="en-US"/>
              </w:rPr>
              <w:t xml:space="preserve">   Course</w:t>
            </w: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slightly wavy</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recto: straight</w:t>
            </w:r>
          </w:p>
        </w:tc>
      </w:tr>
      <w:tr>
        <w:tblPrEx>
          <w:shd w:val="clear" w:color="auto" w:fill="ced7e7"/>
        </w:tblPrEx>
        <w:trPr>
          <w:trHeight w:val="20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almost straight</w:t>
            </w:r>
          </w:p>
        </w:tc>
        <w:tc>
          <w:tcPr>
            <w:tcW w:type="dxa" w:w="21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verso: slightly slanted</w:t>
            </w:r>
          </w:p>
        </w:tc>
      </w:tr>
      <w:tr>
        <w:tblPrEx>
          <w:shd w:val="clear" w:color="auto" w:fill="ced7e7"/>
        </w:tblPrEx>
        <w:trPr>
          <w:trHeight w:val="412" w:hRule="atLeast"/>
        </w:trPr>
        <w:tc>
          <w:tcPr>
            <w:tcW w:type="dxa" w:w="2122"/>
            <w:vMerge w:val="continue"/>
            <w:tcBorders>
              <w:top w:val="single" w:color="000000" w:sz="4" w:space="0" w:shadow="0" w:frame="0"/>
              <w:left w:val="single" w:color="000000" w:sz="4" w:space="0" w:shadow="0" w:frame="0"/>
              <w:bottom w:val="single" w:color="000000" w:sz="12" w:space="0" w:shadow="0" w:frame="0"/>
              <w:right w:val="single" w:color="000000" w:sz="18" w:space="0" w:shadow="0" w:frame="0"/>
            </w:tcBorders>
            <w:shd w:val="clear" w:color="auto" w:fill="auto"/>
          </w:tcPr>
          <w:p/>
        </w:tc>
        <w:tc>
          <w:tcPr>
            <w:tcW w:type="dxa" w:w="2268"/>
            <w:tcBorders>
              <w:top w:val="single" w:color="000000" w:sz="4" w:space="0" w:shadow="0" w:frame="0"/>
              <w:left w:val="single" w:color="000000" w:sz="18"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slightly oblique</w:t>
            </w:r>
          </w:p>
        </w:tc>
        <w:tc>
          <w:tcPr>
            <w:tcW w:type="dxa" w:w="2126"/>
            <w:tcBorders>
              <w:top w:val="single" w:color="000000" w:sz="4" w:space="0" w:shadow="0" w:frame="0"/>
              <w:left w:val="single" w:color="000000" w:sz="4" w:space="0" w:shadow="0" w:frame="0"/>
              <w:bottom w:val="single" w:color="000000" w:sz="12" w:space="0" w:shadow="0" w:frame="0"/>
              <w:right w:val="single" w:color="000000" w:sz="4" w:space="0" w:shadow="0" w:frame="0"/>
            </w:tcBorders>
            <w:shd w:val="clear" w:color="auto" w:fill="auto"/>
            <w:tcMar>
              <w:top w:type="dxa" w:w="80"/>
              <w:left w:type="dxa" w:w="80"/>
              <w:bottom w:type="dxa" w:w="80"/>
              <w:right w:type="dxa" w:w="80"/>
            </w:tcMar>
            <w:vAlign w:val="top"/>
          </w:tcPr>
          <w:p>
            <w:pPr>
              <w:pStyle w:val="Normal.0"/>
              <w:jc w:val="center"/>
            </w:pPr>
            <w:r>
              <w:rPr>
                <w:sz w:val="18"/>
                <w:szCs w:val="18"/>
                <w:shd w:val="nil" w:color="auto" w:fill="auto"/>
                <w:rtl w:val="0"/>
                <w:lang w:val="en-US"/>
              </w:rPr>
              <w:t>in relation to each other: almost 90</w:t>
            </w:r>
            <w:r>
              <w:rPr>
                <w:sz w:val="18"/>
                <w:szCs w:val="18"/>
                <w:shd w:val="nil" w:color="auto" w:fill="auto"/>
                <w:rtl w:val="0"/>
                <w:lang w:val="en-US"/>
              </w:rPr>
              <w:t>°</w:t>
            </w:r>
          </w:p>
        </w:tc>
      </w:tr>
    </w:tbl>
    <w:p>
      <w:pPr>
        <w:pStyle w:val="Normal.0"/>
        <w:widowControl w:val="0"/>
        <w:jc w:val="both"/>
        <w:rPr>
          <w:sz w:val="20"/>
          <w:szCs w:val="20"/>
        </w:rPr>
      </w:pPr>
    </w:p>
    <w:p>
      <w:pPr>
        <w:pStyle w:val="Normal.0"/>
        <w:jc w:val="both"/>
        <w:rPr>
          <w:sz w:val="18"/>
          <w:szCs w:val="18"/>
        </w:rPr>
      </w:pPr>
    </w:p>
    <w:p>
      <w:pPr>
        <w:pStyle w:val="Normal.0"/>
        <w:jc w:val="both"/>
      </w:pPr>
    </w:p>
    <w:p>
      <w:pPr>
        <w:pStyle w:val="Normal.0"/>
        <w:jc w:val="both"/>
      </w:pPr>
    </w:p>
    <w:p>
      <w:pPr>
        <w:pStyle w:val="Normal.0"/>
        <w:spacing w:line="360" w:lineRule="auto"/>
        <w:jc w:val="center"/>
      </w:pPr>
      <w:r>
        <w:drawing xmlns:a="http://schemas.openxmlformats.org/drawingml/2006/main">
          <wp:inline distT="0" distB="0" distL="0" distR="0">
            <wp:extent cx="2396847" cy="3600001"/>
            <wp:effectExtent l="0" t="0" r="0" b="0"/>
            <wp:docPr id="1073741828" name="officeArt object" descr="Grafik 6"/>
            <wp:cNvGraphicFramePr/>
            <a:graphic xmlns:a="http://schemas.openxmlformats.org/drawingml/2006/main">
              <a:graphicData uri="http://schemas.openxmlformats.org/drawingml/2006/picture">
                <pic:pic xmlns:pic="http://schemas.openxmlformats.org/drawingml/2006/picture">
                  <pic:nvPicPr>
                    <pic:cNvPr id="1073741828" name="Grafik 6" descr="Grafik 6"/>
                    <pic:cNvPicPr>
                      <a:picLocks noChangeAspect="1"/>
                    </pic:cNvPicPr>
                  </pic:nvPicPr>
                  <pic:blipFill>
                    <a:blip r:embed="rId7">
                      <a:extLst/>
                    </a:blip>
                    <a:stretch>
                      <a:fillRect/>
                    </a:stretch>
                  </pic:blipFill>
                  <pic:spPr>
                    <a:xfrm>
                      <a:off x="0" y="0"/>
                      <a:ext cx="2396847" cy="3600001"/>
                    </a:xfrm>
                    <a:prstGeom prst="rect">
                      <a:avLst/>
                    </a:prstGeom>
                    <a:ln w="12700" cap="flat">
                      <a:noFill/>
                      <a:miter lim="400000"/>
                    </a:ln>
                    <a:effectLst/>
                  </pic:spPr>
                </pic:pic>
              </a:graphicData>
            </a:graphic>
          </wp:inline>
        </w:drawing>
      </w:r>
    </w:p>
    <w:p>
      <w:pPr>
        <w:pStyle w:val="Normal.0"/>
        <w:jc w:val="both"/>
        <w:rPr>
          <w:sz w:val="20"/>
          <w:szCs w:val="20"/>
        </w:rPr>
      </w:pPr>
      <w:r>
        <w:rPr>
          <w:sz w:val="20"/>
          <w:szCs w:val="20"/>
          <w:lang w:val="en-US"/>
        </w:rP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-2617987</wp:posOffset>
                </wp:positionH>
                <wp:positionV relativeFrom="line">
                  <wp:posOffset>2623709</wp:posOffset>
                </wp:positionV>
                <wp:extent cx="0" cy="148857"/>
                <wp:effectExtent l="0" t="0" r="0" b="0"/>
                <wp:wrapNone/>
                <wp:docPr id="1073741829" name="officeArt object" descr="Gerade Verbindung mit Pfeil 32"/>
                <wp:cNvGraphicFramePr/>
                <a:graphic xmlns:a="http://schemas.openxmlformats.org/drawingml/2006/main">
                  <a:graphicData uri="http://schemas.microsoft.com/office/word/2010/wordprocessingShape">
                    <wps:wsp>
                      <wps:cNvSpPr/>
                      <wps:spPr>
                        <a:xfrm flipV="1">
                          <a:off x="0" y="0"/>
                          <a:ext cx="0" cy="148857"/>
                        </a:xfrm>
                        <a:prstGeom prst="line">
                          <a:avLst/>
                        </a:prstGeom>
                        <a:noFill/>
                        <a:ln w="6350" cap="flat">
                          <a:solidFill>
                            <a:srgbClr val="5B9BD5"/>
                          </a:solidFill>
                          <a:prstDash val="solid"/>
                          <a:miter lim="800000"/>
                          <a:tailEnd type="triangle" w="med" len="med"/>
                        </a:ln>
                        <a:effectLst/>
                      </wps:spPr>
                      <wps:bodyPr/>
                    </wps:wsp>
                  </a:graphicData>
                </a:graphic>
              </wp:anchor>
            </w:drawing>
          </mc:Choice>
          <mc:Fallback>
            <w:pict>
              <v:line id="_x0000_s1026" style="visibility:visible;position:absolute;margin-left:-206.1pt;margin-top:206.6pt;width:0.0pt;height:11.7pt;z-index:251660288;mso-position-horizontal:absolute;mso-position-horizontal-relative:text;mso-position-vertical:absolute;mso-position-vertical-relative:line;mso-wrap-distance-left:0.0pt;mso-wrap-distance-top:0.0pt;mso-wrap-distance-right:0.0pt;mso-wrap-distance-bottom:0.0pt;flip:y;">
                <v:fill on="f"/>
                <v:stroke filltype="solid" color="#5B9BD5" opacity="100.0%" weight="0.5pt" dashstyle="solid" endcap="flat" miterlimit="800.0%" joinstyle="miter" linestyle="single" startarrow="none" startarrowwidth="medium" startarrowlength="medium" endarrow="block" endarrowwidth="medium" endarrowlength="medium"/>
                <w10:wrap type="none" side="bothSides" anchorx="text"/>
              </v:line>
            </w:pict>
          </mc:Fallback>
        </mc:AlternateContent>
      </w:r>
      <w:r>
        <w:rPr>
          <w:sz w:val="20"/>
          <w:szCs w:val="20"/>
          <w:rtl w:val="0"/>
          <w:lang w:val="en-US"/>
        </w:rPr>
        <w:t xml:space="preserve"> </w:t>
      </w:r>
    </w:p>
    <w:p>
      <w:pPr>
        <w:pStyle w:val="Normal.0"/>
        <w:jc w:val="both"/>
        <w:rPr>
          <w:sz w:val="20"/>
          <w:szCs w:val="20"/>
        </w:rPr>
      </w:pPr>
      <w:r>
        <w:rPr>
          <w:sz w:val="20"/>
          <w:szCs w:val="20"/>
          <w:rtl w:val="0"/>
          <w:lang w:val="en-US"/>
        </w:rPr>
        <w:t xml:space="preserve">Fig. 3. P 11935: </w:t>
      </w:r>
      <w:r>
        <w:rPr>
          <w:sz w:val="20"/>
          <w:szCs w:val="20"/>
          <w:rtl w:val="0"/>
          <w:lang w:val="en-US"/>
        </w:rPr>
        <w:t xml:space="preserve">a) Outline drawing with folding lines and the sequence of folds; </w:t>
      </w:r>
      <w:r>
        <w:rPr>
          <w:sz w:val="20"/>
          <w:szCs w:val="20"/>
          <w:rtl w:val="0"/>
          <w:lang w:val="en-US"/>
        </w:rPr>
        <w:t xml:space="preserve">b) cross section of the proposed folding. </w:t>
      </w:r>
      <w:r>
        <w:rPr>
          <w:sz w:val="20"/>
          <w:szCs w:val="20"/>
          <w:rtl w:val="0"/>
          <w:lang w:val="en-US"/>
        </w:rPr>
        <w:t xml:space="preserve">© </w:t>
      </w:r>
      <w:r>
        <w:rPr>
          <w:sz w:val="20"/>
          <w:szCs w:val="20"/>
          <w:rtl w:val="0"/>
          <w:lang w:val="en-US"/>
        </w:rPr>
        <w:t>M. Krutzsch.</w:t>
      </w:r>
    </w:p>
    <w:p>
      <w:pPr>
        <w:pStyle w:val="Normal.0"/>
        <w:spacing w:line="360" w:lineRule="auto"/>
        <w:jc w:val="both"/>
      </w:pPr>
    </w:p>
    <w:p>
      <w:pPr>
        <w:pStyle w:val="Normal.0"/>
        <w:spacing w:line="360" w:lineRule="auto"/>
        <w:jc w:val="both"/>
      </w:pPr>
      <w:r>
        <w:rPr>
          <w:rtl w:val="0"/>
          <w:lang w:val="en-US"/>
        </w:rPr>
        <w:t>Single sheet documents such as letters were usually folded in one or in two directions.</w:t>
      </w:r>
      <w:r>
        <w:rPr>
          <w:vertAlign w:val="superscript"/>
        </w:rPr>
        <w:footnoteReference w:id="2"/>
      </w:r>
      <w:r>
        <w:rPr>
          <w:rtl w:val="0"/>
          <w:lang w:val="en-US"/>
        </w:rPr>
        <w:t xml:space="preserve"> The horizontal fold lines found on the present documents indicate that they were folded in one direction only. No folding could be reconstructed from the three faintly seen horizontal fold lines on P 11934.</w:t>
      </w:r>
    </w:p>
    <w:p>
      <w:pPr>
        <w:pStyle w:val="Normal.0"/>
        <w:spacing w:line="360" w:lineRule="auto"/>
        <w:jc w:val="both"/>
      </w:pPr>
      <w:r>
        <w:rPr>
          <w:rtl w:val="0"/>
          <w:lang w:val="en-US"/>
        </w:rPr>
        <w:t>In contrast to P 11934, there are traces of eight horizontal folds on P 11935 (see fig. 3a). Based on the shape of the folding lines, their distances from each other and whether they run in the recto in the recto or verso direction, the folding can sometimes be reconstructed with certainty. In the present case, the reconstruction results in a rod folding</w:t>
      </w:r>
      <w:r>
        <w:rPr>
          <w:vertAlign w:val="superscript"/>
        </w:rPr>
        <w:footnoteReference w:id="3"/>
      </w:r>
      <w:r>
        <w:rPr>
          <w:rtl w:val="0"/>
          <w:lang w:val="en-US"/>
        </w:rPr>
        <w:t xml:space="preserve"> of a rather unconventional form (see fig. 3b). The lower half of the sheet was probably folded three times from bottom up to the middle of the sheet. The folds in the upper half of the sheet, on the other hand, run from the top to the middle. There are fourfold breaks, but they have left fivefold lines, because the third fold goes over two sheet layers. The fourth fold is, so to speak, the end of the rod folding, since this last fold causes the upper part to rest on the lower one.</w:t>
      </w:r>
    </w:p>
    <w:p>
      <w:pPr>
        <w:pStyle w:val="Normal.0"/>
        <w:spacing w:line="360" w:lineRule="auto"/>
        <w:ind w:left="360" w:firstLine="0"/>
        <w:jc w:val="both"/>
        <w:rPr>
          <w:rFonts w:ascii="Calibri" w:cs="Calibri" w:hAnsi="Calibri" w:eastAsia="Calibri"/>
          <w:b w:val="1"/>
          <w:bCs w:val="1"/>
        </w:rPr>
      </w:pPr>
    </w:p>
    <w:p>
      <w:pPr>
        <w:pStyle w:val="Body"/>
        <w:bidi w:val="0"/>
        <w:rPr>
          <w:rFonts w:ascii="Calibri" w:cs="Calibri" w:hAnsi="Calibri" w:eastAsia="Calibri"/>
          <w:sz w:val="20"/>
          <w:szCs w:val="20"/>
        </w:rPr>
      </w:pPr>
      <w:r>
        <w:rPr>
          <w:sz w:val="20"/>
          <w:szCs w:val="20"/>
          <w:rtl w:val="0"/>
          <w:lang w:val="de-DE"/>
        </w:rPr>
        <w:t>#articleHeader</w:t>
      </w:r>
    </w:p>
    <w:p>
      <w:pPr>
        <w:pStyle w:val="Body"/>
        <w:bidi w:val="0"/>
        <w:rPr>
          <w:lang w:val="en-US"/>
        </w:rPr>
      </w:pPr>
      <w:r>
        <w:rPr>
          <w:rFonts w:ascii="Calibri" w:hAnsi="Calibri"/>
          <w:sz w:val="20"/>
          <w:szCs w:val="20"/>
          <w:rtl w:val="0"/>
          <w:lang w:val="de-DE"/>
        </w:rPr>
        <w:t xml:space="preserve">3. </w:t>
      </w:r>
      <w:r>
        <w:rPr>
          <w:rtl w:val="0"/>
          <w:lang w:val="en-US"/>
        </w:rPr>
        <w:t xml:space="preserve">Edition of the documents (Lajos Berkes </w:t>
      </w:r>
      <w:r>
        <w:rPr>
          <w:rtl w:val="0"/>
          <w:lang w:val="en-US"/>
        </w:rPr>
        <w:t xml:space="preserve">– </w:t>
      </w:r>
      <w:r>
        <w:rPr>
          <w:rtl w:val="0"/>
          <w:lang w:val="en-US"/>
        </w:rPr>
        <w:t>T. Sebastian Richter)</w:t>
      </w:r>
    </w:p>
    <w:p>
      <w:pPr>
        <w:pStyle w:val="Normal.0"/>
        <w:spacing w:line="360" w:lineRule="auto"/>
        <w:ind w:left="360" w:firstLine="0"/>
        <w:rPr>
          <w:lang w:val="en-US"/>
        </w:rPr>
      </w:pPr>
    </w:p>
    <w:p>
      <w:pPr>
        <w:pStyle w:val="Body"/>
        <w:bidi w:val="0"/>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rtl w:val="0"/>
        </w:rPr>
        <w:t>3.1</w:t>
      </w:r>
      <w:r>
        <w:rPr>
          <w:rFonts w:ascii="Calibri" w:hAnsi="Calibri"/>
          <w:rtl w:val="0"/>
          <w:lang w:val="de-DE"/>
        </w:rPr>
        <w:t xml:space="preserve">. </w:t>
      </w:r>
      <w:r>
        <w:rPr>
          <w:rFonts w:ascii="Calibri" w:hAnsi="Calibri"/>
          <w:rtl w:val="0"/>
          <w:lang w:val="en-US"/>
        </w:rPr>
        <w:t xml:space="preserve">Document declaring exemption from rent </w:t>
      </w:r>
      <w:r>
        <w:rPr>
          <w:rFonts w:ascii="Times New Roman" w:hAnsi="Times New Roman"/>
          <w:rtl w:val="0"/>
        </w:rPr>
        <w:t>(</w:t>
      </w:r>
      <w:r>
        <w:rPr>
          <w:rFonts w:ascii="Times New Roman" w:hAnsi="Times New Roman"/>
          <w:i w:val="1"/>
          <w:iCs w:val="1"/>
          <w:rtl w:val="0"/>
          <w:lang w:val="it-IT"/>
        </w:rPr>
        <w:t>remissio mercedis</w:t>
      </w:r>
      <w:r>
        <w:rPr>
          <w:rFonts w:ascii="Times New Roman" w:hAnsi="Times New Roman"/>
          <w:rtl w:val="0"/>
        </w:rPr>
        <w:t>)</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11934</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outline w:val="0"/>
                <w:color w:val="000000"/>
                <w:sz w:val="18"/>
                <w:szCs w:val="18"/>
                <w:u w:color="000000"/>
                <w:shd w:val="clear" w:color="auto" w:fill="ffffff"/>
                <w:rtl w:val="0"/>
                <w:lang w:val="en-US"/>
                <w14:textFill>
                  <w14:solidFill>
                    <w14:srgbClr w14:val="000000"/>
                  </w14:solidFill>
                </w14:textFill>
              </w:rPr>
              <w:t>6</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hint="default"/>
                <w:outline w:val="0"/>
                <w:color w:val="000000"/>
                <w:sz w:val="18"/>
                <w:szCs w:val="18"/>
                <w:u w:color="000000"/>
                <w:shd w:val="clear" w:color="auto" w:fill="ffffff"/>
                <w:rtl w:val="0"/>
                <w:lang w:val="en-US"/>
                <w14:textFill>
                  <w14:solidFill>
                    <w14:srgbClr w14:val="000000"/>
                  </w14:solidFill>
                </w14:textFill>
              </w:rPr>
              <w:t>–</w:t>
            </w:r>
            <w:r>
              <w:rPr>
                <w:rFonts w:ascii="Calibri" w:hAnsi="Calibri"/>
                <w:outline w:val="0"/>
                <w:color w:val="000000"/>
                <w:sz w:val="18"/>
                <w:szCs w:val="18"/>
                <w:u w:color="000000"/>
                <w:shd w:val="clear" w:color="auto" w:fill="ffffff"/>
                <w:rtl w:val="0"/>
                <w:lang w:val="en-US"/>
                <w14:textFill>
                  <w14:solidFill>
                    <w14:srgbClr w14:val="000000"/>
                  </w14:solidFill>
                </w14:textFill>
              </w:rPr>
              <w:t>7</w:t>
            </w:r>
            <w:r>
              <w:rPr>
                <w:rFonts w:ascii="Calibri" w:hAnsi="Calibri"/>
                <w:outline w:val="0"/>
                <w:color w:val="000000"/>
                <w:sz w:val="18"/>
                <w:szCs w:val="18"/>
                <w:u w:color="000000"/>
                <w:shd w:val="clear" w:color="auto" w:fill="ffffff"/>
                <w:vertAlign w:val="superscript"/>
                <w:rtl w:val="0"/>
                <w:lang w:val="en-US"/>
                <w14:textFill>
                  <w14:solidFill>
                    <w14:srgbClr w14:val="000000"/>
                  </w14:solidFill>
                </w14:textFill>
              </w:rPr>
              <w:t>th</w:t>
            </w:r>
            <w:r>
              <w:rPr>
                <w:rFonts w:ascii="Calibri" w:hAnsi="Calibri"/>
                <w:outline w:val="0"/>
                <w:color w:val="000000"/>
                <w:sz w:val="18"/>
                <w:szCs w:val="18"/>
                <w:u w:color="000000"/>
                <w:shd w:val="clear" w:color="auto" w:fill="ffffff"/>
                <w:rtl w:val="0"/>
                <w:lang w:val="en-US"/>
                <w14:textFill>
                  <w14:solidFill>
                    <w14:srgbClr w14:val="000000"/>
                  </w14:solidFill>
                </w14:textFill>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outline w:val="0"/>
                <w:color w:val="000000"/>
                <w:sz w:val="18"/>
                <w:szCs w:val="18"/>
                <w:u w:color="000000"/>
                <w:rtl w:val="0"/>
                <w:lang w:val="en-US"/>
                <w14:textFill>
                  <w14:solidFill>
                    <w14:srgbClr w14:val="000000"/>
                  </w14:solidFill>
                </w14:textFill>
              </w:rPr>
              <w:t xml:space="preserve">Text area: ca. </w:t>
            </w:r>
            <w:r>
              <w:rPr>
                <w:sz w:val="18"/>
                <w:szCs w:val="18"/>
                <w:rtl w:val="0"/>
                <w:lang w:val="en-US"/>
              </w:rPr>
              <w:t>10,5 x 12,3 cm</w:t>
            </w:r>
          </w:p>
        </w:tc>
      </w:tr>
    </w:tbl>
    <w:p>
      <w:pPr>
        <w:pStyle w:val="Normal.0"/>
        <w:spacing w:line="360" w:lineRule="auto"/>
      </w:pPr>
    </w:p>
    <w:p>
      <w:pPr>
        <w:pStyle w:val="Normal.0"/>
        <w:spacing w:line="360" w:lineRule="auto"/>
        <w:rPr>
          <w:rFonts w:ascii="Calibri" w:cs="Calibri" w:hAnsi="Calibri" w:eastAsia="Calibri"/>
          <w:lang w:val="en-US"/>
        </w:rPr>
      </w:pPr>
    </w:p>
    <w:p>
      <w:pPr>
        <w:pStyle w:val="Normal.0"/>
        <w:spacing w:line="360" w:lineRule="auto"/>
        <w:jc w:val="both"/>
      </w:pPr>
      <w:r>
        <w:rPr>
          <w:rtl w:val="0"/>
          <w:lang w:val="en-US"/>
        </w:rPr>
        <w:t>A few spots on the upper part of the papyrus are abraded and thus unreadable. The text was written parallel to the fibres. The back is blank. The somewhat clumsy handwriting tends to be quadrilinear and slightly sloping to the right. The document seems to have been written by a single scribe, probably the reader (</w:t>
      </w:r>
      <w:r>
        <w:rPr>
          <w:rFonts w:ascii="IFAO-Grec Unicode" w:hAnsi="IFAO-Grec Unicode" w:hint="default"/>
          <w:rtl w:val="0"/>
          <w:lang w:val="en-US"/>
        </w:rPr>
        <w:t>ἀναγνώστης</w:t>
      </w:r>
      <w:r>
        <w:rPr>
          <w:rFonts w:ascii="IFAO-Grec Unicode" w:hAnsi="IFAO-Grec Unicode"/>
          <w:rtl w:val="0"/>
          <w:lang w:val="en-US"/>
        </w:rPr>
        <w:t xml:space="preserve">) </w:t>
      </w:r>
      <w:r>
        <w:rPr>
          <w:rtl w:val="0"/>
          <w:lang w:val="en-US"/>
        </w:rPr>
        <w:t>Ioannes, son of Colluthus, who added his subscription in Greek at the bottom. He employs supralinear strokes and tremas. The two supralinear corrections, idiosyncratic spellings, as well as the succinct formulation show that we are dealing with a semi-professional scribe. The handwriting of the document would be difficult to date on its own, but parallels for the Greek formula at the bottom and the abbreviations used,</w:t>
      </w:r>
      <w:r>
        <w:rPr>
          <w:vertAlign w:val="superscript"/>
        </w:rPr>
        <w:footnoteReference w:id="4"/>
      </w:r>
      <w:r>
        <w:rPr>
          <w:rtl w:val="0"/>
          <w:lang w:val="en-US"/>
        </w:rPr>
        <w:t xml:space="preserve"> suggest a date in </w:t>
      </w:r>
      <w:r>
        <w:rPr>
          <w:outline w:val="0"/>
          <w:color w:val="000000"/>
          <w:u w:color="000000"/>
          <w:rtl w:val="0"/>
          <w:lang w:val="en-US"/>
          <w14:textFill>
            <w14:solidFill>
              <w14:srgbClr w14:val="000000"/>
            </w14:solidFill>
          </w14:textFill>
        </w:rPr>
        <w:t>the second half of the 6</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or early 7</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w:t>
      </w:r>
      <w:r>
        <w:rPr>
          <w:rtl w:val="0"/>
          <w:lang w:val="en-US"/>
        </w:rPr>
        <w:t>century. An earlier date is unlikely, since Coptic legal documents only appear around the mid-6</w:t>
      </w:r>
      <w:r>
        <w:rPr>
          <w:vertAlign w:val="superscript"/>
          <w:rtl w:val="0"/>
          <w:lang w:val="en-US"/>
        </w:rPr>
        <w:t>th</w:t>
      </w:r>
      <w:r>
        <w:rPr>
          <w:rtl w:val="0"/>
          <w:lang w:val="en-US"/>
        </w:rPr>
        <w:t xml:space="preserve"> century.</w:t>
      </w:r>
      <w:r>
        <w:rPr>
          <w:vertAlign w:val="superscript"/>
        </w:rPr>
        <w:footnoteReference w:id="5"/>
      </w:r>
    </w:p>
    <w:p>
      <w:pPr>
        <w:pStyle w:val="Normal.0"/>
        <w:spacing w:line="360" w:lineRule="auto"/>
        <w:ind w:firstLine="709"/>
        <w:jc w:val="both"/>
        <w:rPr>
          <w:rFonts w:ascii="Calibri" w:cs="Calibri" w:hAnsi="Calibri" w:eastAsia="Calibri"/>
        </w:rPr>
      </w:pPr>
      <w:r>
        <w:rPr>
          <w:rFonts w:ascii="Calibri" w:hAnsi="Calibri"/>
          <w:rtl w:val="0"/>
          <w:lang w:val="en-US"/>
        </w:rPr>
        <w:t xml:space="preserve">The background of this document can be reconstructed as follows: Ioannes, son of Colluthus, reader of an unnamed church in the city of Hermopolis, </w:t>
      </w:r>
      <w:r>
        <w:rPr>
          <w:rFonts w:ascii="Calibri" w:hAnsi="Calibri"/>
          <w:outline w:val="0"/>
          <w:color w:val="000000"/>
          <w:u w:color="000000"/>
          <w:rtl w:val="0"/>
          <w:lang w:val="en-US"/>
          <w14:textFill>
            <w14:solidFill>
              <w14:srgbClr w14:val="000000"/>
            </w14:solidFill>
          </w14:textFill>
        </w:rPr>
        <w:t>owned an aroura (ca. 2756 m</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of irrigated land called Hibou. He leased it to a son of Petra whose name is lost. The lease document (l. 3 mentions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your </w:t>
      </w:r>
      <w:r>
        <w:rPr>
          <w:rFonts w:ascii="Calibri" w:hAnsi="Calibri"/>
          <w:i w:val="1"/>
          <w:iCs w:val="1"/>
          <w:outline w:val="0"/>
          <w:color w:val="000000"/>
          <w:u w:color="000000"/>
          <w:rtl w:val="0"/>
          <w:lang w:val="en-US"/>
          <w14:textFill>
            <w14:solidFill>
              <w14:srgbClr w14:val="000000"/>
            </w14:solidFill>
          </w14:textFill>
        </w:rPr>
        <w:t>misth</w:t>
      </w:r>
      <w:r>
        <w:rPr>
          <w:rFonts w:ascii="Calibri" w:hAnsi="Calibri" w:hint="default"/>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that you wrote me</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must have included a clause for the reduction of rent (</w:t>
      </w:r>
      <w:r>
        <w:rPr>
          <w:rFonts w:ascii="Calibri" w:hAnsi="Calibri"/>
          <w:i w:val="1"/>
          <w:iCs w:val="1"/>
          <w:outline w:val="0"/>
          <w:color w:val="000000"/>
          <w:u w:color="000000"/>
          <w:rtl w:val="0"/>
          <w:lang w:val="en-US"/>
          <w14:textFill>
            <w14:solidFill>
              <w14:srgbClr w14:val="000000"/>
            </w14:solidFill>
          </w14:textFill>
        </w:rPr>
        <w:t>remissio mercedis</w:t>
      </w:r>
      <w:r>
        <w:rPr>
          <w:rFonts w:ascii="Calibri" w:hAnsi="Calibri"/>
          <w:outline w:val="0"/>
          <w:color w:val="000000"/>
          <w:u w:color="000000"/>
          <w:rtl w:val="0"/>
          <w:lang w:val="en-US"/>
          <w14:textFill>
            <w14:solidFill>
              <w14:srgbClr w14:val="000000"/>
            </w14:solidFill>
          </w14:textFill>
        </w:rPr>
        <w:t>) in case some</w:t>
      </w:r>
      <w:r>
        <w:rPr>
          <w:rFonts w:ascii="Calibri" w:hAnsi="Calibri"/>
          <w:sz w:val="16"/>
          <w:szCs w:val="16"/>
          <w:rtl w:val="0"/>
          <w:lang w:val="en-US"/>
        </w:rPr>
        <w:t xml:space="preserve"> </w:t>
      </w:r>
      <w:r>
        <w:rPr>
          <w:rFonts w:ascii="Calibri" w:hAnsi="Calibri"/>
          <w:outline w:val="0"/>
          <w:color w:val="000000"/>
          <w:u w:color="000000"/>
          <w:rtl w:val="0"/>
          <w:lang w:val="en-US"/>
          <w14:textFill>
            <w14:solidFill>
              <w14:srgbClr w14:val="000000"/>
            </w14:solidFill>
          </w14:textFill>
        </w:rPr>
        <w:t xml:space="preserve">circumstance prevented the sowing of the land.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The Roman law of </w:t>
      </w:r>
      <w:r>
        <w:rPr>
          <w:i w:val="1"/>
          <w:iCs w:val="1"/>
          <w:outline w:val="0"/>
          <w:color w:val="000000"/>
          <w:u w:color="000000"/>
          <w:rtl w:val="0"/>
          <w:lang w:val="en-US"/>
          <w14:textFill>
            <w14:solidFill>
              <w14:srgbClr w14:val="000000"/>
            </w14:solidFill>
          </w14:textFill>
        </w:rPr>
        <w:t>locatio conductio</w:t>
      </w:r>
      <w:r>
        <w:rPr>
          <w:outline w:val="0"/>
          <w:color w:val="000000"/>
          <w:u w:color="000000"/>
          <w:rtl w:val="0"/>
          <w:lang w:val="en-US"/>
          <w14:textFill>
            <w14:solidFill>
              <w14:srgbClr w14:val="000000"/>
            </w14:solidFill>
          </w14:textFill>
        </w:rPr>
        <w:t xml:space="preserve"> allowed for risk assumption by the lessor (</w:t>
      </w:r>
      <w:r>
        <w:rPr>
          <w:i w:val="1"/>
          <w:iCs w:val="1"/>
          <w:outline w:val="0"/>
          <w:color w:val="000000"/>
          <w:u w:color="000000"/>
          <w:rtl w:val="0"/>
          <w:lang w:val="en-US"/>
          <w14:textFill>
            <w14:solidFill>
              <w14:srgbClr w14:val="000000"/>
            </w14:solidFill>
          </w14:textFill>
        </w:rPr>
        <w:t>periculum locatoris</w:t>
      </w:r>
      <w:r>
        <w:rPr>
          <w:outline w:val="0"/>
          <w:color w:val="000000"/>
          <w:u w:color="000000"/>
          <w:rtl w:val="0"/>
          <w:lang w:val="en-US"/>
          <w14:textFill>
            <w14:solidFill>
              <w14:srgbClr w14:val="000000"/>
            </w14:solidFill>
          </w14:textFill>
        </w:rPr>
        <w:t>) in cases of force majeure (</w:t>
      </w:r>
      <w:r>
        <w:rPr>
          <w:i w:val="1"/>
          <w:iCs w:val="1"/>
          <w:outline w:val="0"/>
          <w:color w:val="000000"/>
          <w:u w:color="000000"/>
          <w:rtl w:val="0"/>
          <w:lang w:val="en-US"/>
          <w14:textFill>
            <w14:solidFill>
              <w14:srgbClr w14:val="000000"/>
            </w14:solidFill>
          </w14:textFill>
        </w:rPr>
        <w:t>vis maior</w:t>
      </w:r>
      <w:r>
        <w:rPr>
          <w:outline w:val="0"/>
          <w:color w:val="000000"/>
          <w:u w:color="000000"/>
          <w:rtl w:val="0"/>
          <w:lang w:val="en-US"/>
          <w14:textFill>
            <w14:solidFill>
              <w14:srgbClr w14:val="000000"/>
            </w14:solidFill>
          </w14:textFill>
        </w:rPr>
        <w:t>), and by the lessee (</w:t>
      </w:r>
      <w:r>
        <w:rPr>
          <w:i w:val="1"/>
          <w:iCs w:val="1"/>
          <w:outline w:val="0"/>
          <w:color w:val="000000"/>
          <w:u w:color="000000"/>
          <w:rtl w:val="0"/>
          <w:lang w:val="en-US"/>
          <w14:textFill>
            <w14:solidFill>
              <w14:srgbClr w14:val="000000"/>
            </w14:solidFill>
          </w14:textFill>
        </w:rPr>
        <w:t>periculum conductoris</w:t>
      </w:r>
      <w:r>
        <w:rPr>
          <w:outline w:val="0"/>
          <w:color w:val="000000"/>
          <w:u w:color="000000"/>
          <w:rtl w:val="0"/>
          <w:lang w:val="en-US"/>
          <w14:textFill>
            <w14:solidFill>
              <w14:srgbClr w14:val="000000"/>
            </w14:solidFill>
          </w14:textFill>
        </w:rPr>
        <w:t>) in cases of minor accident (</w:t>
      </w:r>
      <w:r>
        <w:rPr>
          <w:i w:val="1"/>
          <w:iCs w:val="1"/>
          <w:outline w:val="0"/>
          <w:color w:val="000000"/>
          <w:u w:color="000000"/>
          <w:rtl w:val="0"/>
          <w:lang w:val="en-US"/>
          <w14:textFill>
            <w14:solidFill>
              <w14:srgbClr w14:val="000000"/>
            </w14:solidFill>
          </w14:textFill>
        </w:rPr>
        <w:t>causa minor</w:t>
      </w:r>
      <w:r>
        <w:rPr>
          <w:outline w:val="0"/>
          <w:color w:val="000000"/>
          <w:u w:color="000000"/>
          <w:rtl w:val="0"/>
          <w:lang w:val="en-US"/>
          <w14:textFill>
            <w14:solidFill>
              <w14:srgbClr w14:val="000000"/>
            </w14:solidFill>
          </w14:textFill>
        </w:rPr>
        <w:t>).</w:t>
      </w:r>
      <w:r>
        <w:rPr>
          <w:outline w:val="0"/>
          <w:color w:val="000000"/>
          <w:u w:color="000000"/>
          <w:vertAlign w:val="superscript"/>
          <w:lang w:val="en-US"/>
          <w14:textFill>
            <w14:solidFill>
              <w14:srgbClr w14:val="000000"/>
            </w14:solidFill>
          </w14:textFill>
        </w:rPr>
        <w:footnoteReference w:id="6"/>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In the realm of land leases, a discount or suspension of rent payments (</w:t>
      </w:r>
      <w:r>
        <w:rPr>
          <w:i w:val="1"/>
          <w:iCs w:val="1"/>
          <w:outline w:val="0"/>
          <w:color w:val="000000"/>
          <w:u w:color="000000"/>
          <w:rtl w:val="0"/>
          <w:lang w:val="en-US"/>
          <w14:textFill>
            <w14:solidFill>
              <w14:srgbClr w14:val="000000"/>
            </w14:solidFill>
          </w14:textFill>
        </w:rPr>
        <w:t>remissio mercedis</w:t>
      </w:r>
      <w:r>
        <w:rPr>
          <w:outline w:val="0"/>
          <w:color w:val="000000"/>
          <w:u w:color="000000"/>
          <w:rtl w:val="0"/>
          <w:lang w:val="en-US"/>
          <w14:textFill>
            <w14:solidFill>
              <w14:srgbClr w14:val="000000"/>
            </w14:solidFill>
          </w14:textFill>
        </w:rPr>
        <w:t>) could be granted.</w:t>
      </w:r>
      <w:r>
        <w:rPr>
          <w:outline w:val="0"/>
          <w:color w:val="000000"/>
          <w:u w:color="000000"/>
          <w:vertAlign w:val="superscript"/>
          <w:lang w:val="de-DE"/>
          <w14:textFill>
            <w14:solidFill>
              <w14:srgbClr w14:val="000000"/>
            </w14:solidFill>
          </w14:textFill>
        </w:rPr>
        <w:footnoteReference w:id="7"/>
      </w:r>
      <w:r>
        <w:rPr>
          <w:outline w:val="0"/>
          <w:color w:val="000000"/>
          <w:u w:color="000000"/>
          <w:rtl w:val="0"/>
          <w:lang w:val="en-US"/>
          <w14:textFill>
            <w14:solidFill>
              <w14:srgbClr w14:val="000000"/>
            </w14:solidFill>
          </w14:textFill>
        </w:rPr>
        <w:t xml:space="preserve"> Egyptian papyri attest a practice following similar principles,</w:t>
      </w:r>
      <w:r>
        <w:rPr>
          <w:outline w:val="0"/>
          <w:color w:val="000000"/>
          <w:u w:color="000000"/>
          <w:vertAlign w:val="superscript"/>
          <w:lang w:val="en-US"/>
          <w14:textFill>
            <w14:solidFill>
              <w14:srgbClr w14:val="000000"/>
            </w14:solidFill>
          </w14:textFill>
        </w:rPr>
        <w:footnoteReference w:id="8"/>
      </w:r>
      <w:r>
        <w:rPr>
          <w:outline w:val="0"/>
          <w:color w:val="000000"/>
          <w:u w:color="000000"/>
          <w:rtl w:val="0"/>
          <w:lang w:val="en-US"/>
          <w14:textFill>
            <w14:solidFill>
              <w14:srgbClr w14:val="000000"/>
            </w14:solidFill>
          </w14:textFill>
        </w:rPr>
        <w:t xml:space="preserve"> and some Byzantine Greek and the Coptic lease documents (e.g., P.Ryl.Copt. 158, P.Lond.Copt. 1 1067, O.CrumVC 33) provide special clauses to envisage the possibility of absent inundation. </w:t>
      </w:r>
    </w:p>
    <w:p>
      <w:pPr>
        <w:pStyle w:val="Normal.0"/>
        <w:spacing w:line="360" w:lineRule="auto"/>
        <w:ind w:firstLine="720"/>
        <w:jc w:val="both"/>
        <w:rPr>
          <w:outline w:val="0"/>
          <w:color w:val="000000"/>
          <w:u w:color="000000"/>
          <w14:textFill>
            <w14:solidFill>
              <w14:srgbClr w14:val="000000"/>
            </w14:solidFill>
          </w14:textFill>
        </w:rPr>
      </w:pPr>
      <w:r>
        <w:rPr>
          <w:rtl w:val="0"/>
          <w:lang w:val="en-US"/>
        </w:rPr>
        <w:t xml:space="preserve">Our document does not specify the cause </w:t>
      </w:r>
      <w:r>
        <w:rPr>
          <w:outline w:val="0"/>
          <w:color w:val="000000"/>
          <w:u w:color="000000"/>
          <w:rtl w:val="0"/>
          <w:lang w:val="en-US"/>
          <w14:textFill>
            <w14:solidFill>
              <w14:srgbClr w14:val="000000"/>
            </w14:solidFill>
          </w14:textFill>
        </w:rPr>
        <w:t>impeding agricultural work</w:t>
      </w:r>
      <w:r>
        <w:rPr>
          <w:rtl w:val="0"/>
          <w:lang w:val="en-US"/>
        </w:rPr>
        <w:t xml:space="preserve"> but simply states in lines 8</w:t>
      </w:r>
      <w:r>
        <w:rPr>
          <w:rtl w:val="0"/>
          <w:lang w:val="en-US"/>
        </w:rPr>
        <w:t>–</w:t>
      </w:r>
      <w:r>
        <w:rPr>
          <w:rtl w:val="0"/>
          <w:lang w:val="en-US"/>
        </w:rPr>
        <w:t xml:space="preserve">9: </w:t>
      </w:r>
      <w:r>
        <w:rPr>
          <w:rFonts w:ascii="Calibri" w:hAnsi="Calibri"/>
          <w:i w:val="1"/>
          <w:iCs w:val="1"/>
          <w:rtl w:val="0"/>
          <w:lang w:val="en-US"/>
        </w:rPr>
        <w:t xml:space="preserve">because you have not tilled it </w:t>
      </w:r>
      <w:r>
        <w:rPr>
          <w:rFonts w:ascii="Calibri" w:hAnsi="Calibri"/>
          <w:rtl w:val="0"/>
          <w:lang w:val="en-US"/>
        </w:rPr>
        <w:t>(</w:t>
      </w:r>
      <w:r>
        <w:rPr>
          <w:rFonts w:ascii="Antinoou" w:hAnsi="Antinoou" w:hint="default"/>
          <w:rtl w:val="0"/>
          <w:lang w:val="en-US"/>
        </w:rPr>
        <w:t>ⲡⲉⲕϫⲟⲥ</w:t>
      </w:r>
      <w:r>
        <w:rPr>
          <w:rFonts w:ascii="Calibri" w:hAnsi="Calibri"/>
          <w:rtl w:val="0"/>
          <w:lang w:val="en-US"/>
        </w:rPr>
        <w:t xml:space="preserve"> for </w:t>
      </w:r>
      <w:r>
        <w:rPr>
          <w:rFonts w:ascii="Antinoou" w:hAnsi="Antinoou" w:hint="default"/>
          <w:rtl w:val="0"/>
          <w:lang w:val="en-US"/>
        </w:rPr>
        <w:t>ⲙⲡⲉⲕϫⲟⲥ</w:t>
      </w:r>
      <w:r>
        <w:rPr>
          <w:rFonts w:ascii="Calibri" w:hAnsi="Calibri"/>
          <w:rtl w:val="0"/>
          <w:lang w:val="en-US"/>
        </w:rPr>
        <w:t xml:space="preserve">) </w:t>
      </w:r>
      <w:r>
        <w:rPr>
          <w:rFonts w:ascii="Calibri" w:hAnsi="Calibri"/>
          <w:i w:val="1"/>
          <w:iCs w:val="1"/>
          <w:rtl w:val="0"/>
          <w:lang w:val="en-US"/>
        </w:rPr>
        <w:t>this year for which you leased it</w:t>
      </w:r>
      <w:r>
        <w:rPr>
          <w:rFonts w:ascii="Calibri" w:hAnsi="Calibri"/>
          <w:rtl w:val="0"/>
          <w:lang w:val="en-US"/>
        </w:rPr>
        <w:t xml:space="preserve">. </w:t>
      </w:r>
      <w:r>
        <w:rPr>
          <w:rFonts w:ascii="Calibri" w:hAnsi="Calibri"/>
          <w:outline w:val="0"/>
          <w:color w:val="000000"/>
          <w:u w:color="000000"/>
          <w:rtl w:val="0"/>
          <w:lang w:val="en-US"/>
          <w14:textFill>
            <w14:solidFill>
              <w14:srgbClr w14:val="000000"/>
            </w14:solidFill>
          </w14:textFill>
        </w:rPr>
        <w:t xml:space="preserve">Some Coptic and Greek lease documents mention reduction by a half (e.g. P.Ryl.Copt. 158, </w:t>
      </w:r>
      <w:r>
        <w:rPr>
          <w:outline w:val="0"/>
          <w:color w:val="000000"/>
          <w:u w:color="000000"/>
          <w:rtl w:val="0"/>
          <w:lang w:val="en-US"/>
          <w14:textFill>
            <w14:solidFill>
              <w14:srgbClr w14:val="000000"/>
            </w14:solidFill>
          </w14:textFill>
        </w:rPr>
        <w:t>P.Lond.Copt. 1 1067</w:t>
      </w:r>
      <w:r>
        <w:rPr>
          <w:rFonts w:ascii="Calibri" w:hAnsi="Calibri"/>
          <w:outline w:val="0"/>
          <w:color w:val="000000"/>
          <w:u w:color="000000"/>
          <w:rtl w:val="0"/>
          <w:lang w:val="en-US"/>
          <w14:textFill>
            <w14:solidFill>
              <w14:srgbClr w14:val="000000"/>
            </w14:solidFill>
          </w14:textFill>
        </w:rPr>
        <w:t>) or a third (e.g. P.Lond. 5 1770)</w:t>
      </w:r>
      <w:r>
        <w:rPr>
          <w:rFonts w:ascii="Calibri" w:cs="Calibri" w:hAnsi="Calibri" w:eastAsia="Calibri"/>
          <w:outline w:val="0"/>
          <w:color w:val="000000"/>
          <w:u w:color="000000"/>
          <w:vertAlign w:val="superscript"/>
          <w:lang w:val="en-US"/>
          <w14:textFill>
            <w14:solidFill>
              <w14:srgbClr w14:val="000000"/>
            </w14:solidFill>
          </w14:textFill>
        </w:rPr>
        <w:footnoteReference w:id="9"/>
      </w:r>
      <w:r>
        <w:rPr>
          <w:rFonts w:ascii="Calibri" w:hAnsi="Calibri"/>
          <w:outline w:val="0"/>
          <w:color w:val="000000"/>
          <w:u w:color="000000"/>
          <w:rtl w:val="0"/>
          <w:lang w:val="en-US"/>
          <w14:textFill>
            <w14:solidFill>
              <w14:srgbClr w14:val="000000"/>
            </w14:solidFill>
          </w14:textFill>
        </w:rPr>
        <w:t xml:space="preserve"> of the originally agreed sum, and our document explicitly confirms the lessor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s claim to receive a third share. </w:t>
      </w:r>
      <w:r>
        <w:rPr>
          <w:rFonts w:ascii="Calibri" w:hAnsi="Calibri"/>
          <w:rtl w:val="0"/>
          <w:lang w:val="en-US"/>
        </w:rPr>
        <w:t>Since, then, 1.5 artabs of wheat and 1.5 artabs of barley are being remitted, the full rent must have originally been 4.5 artabas of wheat and barley respectively, which would be in line with the usual range of rents for an aroura in Coptic lease documents</w:t>
      </w:r>
      <w:r>
        <w:rPr>
          <w:rFonts w:ascii="Calibri" w:hAnsi="Calibri"/>
          <w:outline w:val="0"/>
          <w:color w:val="000000"/>
          <w:u w:color="000000"/>
          <w:rtl w:val="0"/>
          <w:lang w:val="en-US"/>
          <w14:textFill>
            <w14:solidFill>
              <w14:srgbClr w14:val="000000"/>
            </w14:solidFill>
          </w14:textFill>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8</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6_1</w:t>
            </w:r>
          </w:p>
        </w:tc>
      </w:tr>
      <w:tr>
        <w:tblPrEx>
          <w:shd w:val="clear" w:color="auto" w:fill="auto"/>
        </w:tblPrEx>
        <w:trPr>
          <w:trHeight w:val="308"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Calibri" w:hAnsi="Calibri"/>
                <w:sz w:val="24"/>
                <w:szCs w:val="24"/>
                <w:u w:color="000000"/>
                <w:rtl w:val="0"/>
                <w:lang w:val="en-US"/>
              </w:rPr>
              <w:t xml:space="preserve">Document declaring exemption from rent </w:t>
            </w:r>
            <w:r>
              <w:rPr>
                <w:rFonts w:ascii="Times New Roman" w:hAnsi="Times New Roman"/>
                <w:sz w:val="24"/>
                <w:szCs w:val="24"/>
                <w:u w:color="000000"/>
                <w:rtl w:val="0"/>
              </w:rPr>
              <w:t>(</w:t>
            </w:r>
            <w:r>
              <w:rPr>
                <w:rFonts w:ascii="Times New Roman" w:hAnsi="Times New Roman"/>
                <w:i w:val="1"/>
                <w:iCs w:val="1"/>
                <w:sz w:val="24"/>
                <w:szCs w:val="24"/>
                <w:u w:color="000000"/>
                <w:rtl w:val="0"/>
                <w:lang w:val="it-IT"/>
              </w:rPr>
              <w:t>remissio mercedis</w:t>
            </w:r>
            <w:r>
              <w:rPr>
                <w:rFonts w:ascii="Times New Roman" w:hAnsi="Times New Roman"/>
                <w:sz w:val="24"/>
                <w:szCs w:val="24"/>
                <w:u w:color="000000"/>
                <w:rtl w:val="0"/>
              </w:rPr>
              <w:t>)</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6th-7th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11934</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Vertrag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Pacht</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Minderung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Weizen</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Normal.0"/>
        <w:spacing w:line="360" w:lineRule="auto"/>
        <w:rPr>
          <w:outline w:val="0"/>
          <w:color w:val="000000"/>
          <w:u w:color="000000"/>
          <w14:textFill>
            <w14:solidFill>
              <w14:srgbClr w14:val="000000"/>
            </w14:solidFill>
          </w14:textFill>
        </w:rPr>
      </w:pPr>
      <w:r>
        <w:rPr>
          <w:outline w:val="0"/>
          <w:color w:val="000000"/>
          <w:u w:color="000000"/>
          <w:rtl w:val="0"/>
          <w:lang w:val="de-DE"/>
          <w14:textFill>
            <w14:solidFill>
              <w14:srgbClr w14:val="000000"/>
            </w14:solidFill>
          </w14:textFill>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*rho-cross*  </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ⲱⲁⲛⲛⲏⲥ ⲡϣⲉ ⲕ̣ⲟ̣ⲗ̣ⲗⲟⲩⲑⲟⲩ ⲡⲣⲱⲙ ϣⲙⲟⲩ</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ⲡⲉϥ</w:t>
      </w:r>
      <w:r>
        <w:rPr>
          <w:rFonts w:ascii="IFAO-Grec Unicode" w:hAnsi="IFAO-Grec Unicode"/>
          <w:rtl w:val="0"/>
          <w:lang w:val="de-DE"/>
        </w:rPr>
        <w:t>&lt;:</w:t>
      </w:r>
      <w:r>
        <w:rPr>
          <w:rFonts w:ascii="IFAO-Grec Unicode" w:hAnsi="IFAO-Grec Unicode" w:hint="default"/>
          <w:rtl w:val="0"/>
          <w:lang w:val="de-DE"/>
        </w:rPr>
        <w:t>ⲥϩⲁⲓ</w:t>
      </w:r>
      <w:r>
        <w:rPr>
          <w:rFonts w:ascii="IFAO-Grec Unicode" w:hAnsi="IFAO-Grec Unicode"/>
          <w:rtl w:val="0"/>
          <w:lang w:val="de-DE"/>
        </w:rPr>
        <w:t>|reg|</w:t>
      </w:r>
      <w:r>
        <w:rPr>
          <w:rFonts w:ascii="IFAO-Grec Unicode" w:hAnsi="IFAO-Grec Unicode" w:hint="default"/>
          <w:rtl w:val="0"/>
          <w:lang w:val="de-DE"/>
        </w:rPr>
        <w:t>ⲥⲁⲓ̄</w:t>
      </w:r>
      <w:r>
        <w:rPr>
          <w:rFonts w:ascii="IFAO-Grec Unicode" w:hAnsi="IFAO-Grec Unicode"/>
          <w:rtl w:val="0"/>
          <w:lang w:val="de-DE"/>
        </w:rPr>
        <w:t xml:space="preserve">:&gt; </w:t>
      </w:r>
      <w:r>
        <w:rPr>
          <w:rFonts w:ascii="IFAO-Grec Unicode" w:hAnsi="IFAO-Grec Unicode" w:hint="default"/>
          <w:rtl w:val="0"/>
          <w:lang w:val="de-DE"/>
        </w:rPr>
        <w:t>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).1[.1].2 </w:t>
      </w:r>
      <w:r>
        <w:rPr>
          <w:rFonts w:ascii="IFAO-Grec Unicode" w:hAnsi="IFAO-Grec Unicode" w:hint="default"/>
          <w:rtl w:val="0"/>
          <w:lang w:val="de-DE"/>
        </w:rPr>
        <w:t xml:space="preserve">ⲡ̣ϣⲉ ⲡⲉⲧⲣⲁ ϫⲉ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3. &lt;:</w:t>
      </w:r>
      <w:r>
        <w:rPr>
          <w:rFonts w:ascii="IFAO-Grec Unicode" w:hAnsi="IFAO-Grec Unicode" w:hint="default"/>
          <w:rtl w:val="0"/>
          <w:lang w:val="de-DE"/>
        </w:rPr>
        <w:t>δύναμις</w:t>
      </w:r>
      <w:r>
        <w:rPr>
          <w:rFonts w:ascii="IFAO-Grec Unicode" w:hAnsi="IFAO-Grec Unicode"/>
          <w:rtl w:val="0"/>
          <w:lang w:val="de-DE"/>
        </w:rPr>
        <w:t>=grc|reg|</w:t>
      </w:r>
      <w:r>
        <w:rPr>
          <w:rFonts w:ascii="IFAO-Grec Unicode" w:hAnsi="IFAO-Grec Unicode" w:hint="default"/>
          <w:rtl w:val="0"/>
          <w:lang w:val="de-DE"/>
        </w:rPr>
        <w:t>ⲧⲏⲛⲁⲙⲓⲥ</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ⲧ</w:t>
      </w:r>
      <w:r>
        <w:rPr>
          <w:rFonts w:ascii="IFAO-Grec Unicode" w:hAnsi="IFAO-Grec Unicode"/>
          <w:rtl w:val="0"/>
          <w:lang w:val="de-DE"/>
        </w:rPr>
        <w:t>]</w:t>
      </w:r>
      <w:r>
        <w:rPr>
          <w:rFonts w:ascii="IFAO-Grec Unicode" w:hAnsi="IFAO-Grec Unicode" w:hint="default"/>
          <w:rtl w:val="0"/>
          <w:lang w:val="de-DE"/>
        </w:rPr>
        <w:t>ⲉⲕ</w:t>
      </w:r>
      <w:r>
        <w:rPr>
          <w:rFonts w:ascii="IFAO-Grec Unicode" w:hAnsi="IFAO-Grec Unicode"/>
          <w:rtl w:val="0"/>
          <w:lang w:val="de-DE"/>
        </w:rPr>
        <w:t>&lt;:</w:t>
      </w:r>
      <w:r>
        <w:rPr>
          <w:rFonts w:ascii="IFAO-Grec Unicode" w:hAnsi="IFAO-Grec Unicode" w:hint="default"/>
          <w:rtl w:val="0"/>
          <w:lang w:val="de-DE"/>
        </w:rPr>
        <w:t>μίσθωσις</w:t>
      </w:r>
      <w:r>
        <w:rPr>
          <w:rFonts w:ascii="IFAO-Grec Unicode" w:hAnsi="IFAO-Grec Unicode"/>
          <w:rtl w:val="0"/>
          <w:lang w:val="de-DE"/>
        </w:rPr>
        <w:t>=grc|reg|</w:t>
      </w:r>
      <w:r>
        <w:rPr>
          <w:rFonts w:ascii="IFAO-Grec Unicode" w:hAnsi="IFAO-Grec Unicode" w:hint="default"/>
          <w:rtl w:val="0"/>
          <w:lang w:val="de-DE"/>
        </w:rPr>
        <w:t>ⲙⲓⲥⲧⲏⲥ</w:t>
      </w:r>
      <w:r>
        <w:rPr>
          <w:rFonts w:ascii="IFAO-Grec Unicode" w:hAnsi="IFAO-Grec Unicode"/>
          <w:rtl w:val="0"/>
          <w:lang w:val="de-DE"/>
        </w:rPr>
        <w:t xml:space="preserve">:&gt; </w:t>
      </w:r>
      <w:r>
        <w:rPr>
          <w:rFonts w:ascii="IFAO-Grec Unicode" w:hAnsi="IFAO-Grec Unicode" w:hint="default"/>
          <w:rtl w:val="0"/>
          <w:lang w:val="de-DE"/>
        </w:rPr>
        <w:t>ⲛ̄ⲧⲁⲕ</w:t>
      </w:r>
      <w:r>
        <w:rPr>
          <w:rFonts w:ascii="IFAO-Grec Unicode" w:hAnsi="IFAO-Grec Unicode"/>
          <w:rtl w:val="0"/>
          <w:lang w:val="de-DE"/>
        </w:rPr>
        <w:t>&lt;:</w:t>
      </w:r>
      <w:r>
        <w:rPr>
          <w:rFonts w:ascii="IFAO-Grec Unicode" w:hAnsi="IFAO-Grec Unicode" w:hint="default"/>
          <w:rtl w:val="0"/>
          <w:lang w:val="de-DE"/>
        </w:rPr>
        <w:t>ⲥϩⲁⲓⲥ</w:t>
      </w:r>
      <w:r>
        <w:rPr>
          <w:rFonts w:ascii="IFAO-Grec Unicode" w:hAnsi="IFAO-Grec Unicode"/>
          <w:rtl w:val="0"/>
          <w:lang w:val="de-DE"/>
        </w:rPr>
        <w:t>|reg|</w:t>
      </w:r>
      <w:r>
        <w:rPr>
          <w:rFonts w:ascii="IFAO-Grec Unicode" w:hAnsi="IFAO-Grec Unicode" w:hint="default"/>
          <w:rtl w:val="0"/>
          <w:lang w:val="de-DE"/>
        </w:rPr>
        <w:t>ⲥⲁⲓⲥ</w:t>
      </w:r>
      <w:r>
        <w:rPr>
          <w:rFonts w:ascii="IFAO-Grec Unicode" w:hAnsi="IFAO-Grec Unicode"/>
          <w:rtl w:val="0"/>
          <w:lang w:val="de-DE"/>
        </w:rPr>
        <w:t xml:space="preserve">:&gt; </w:t>
      </w:r>
      <w:r>
        <w:rPr>
          <w:rFonts w:ascii="IFAO-Grec Unicode" w:hAnsi="IFAO-Grec Unicode" w:hint="default"/>
          <w:rtl w:val="0"/>
          <w:lang w:val="de-DE"/>
        </w:rPr>
        <w:t>ⲛⲁ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ϯ</w:t>
      </w:r>
      <w:r>
        <w:rPr>
          <w:rFonts w:ascii="IFAO-Grec Unicode" w:hAnsi="IFAO-Grec Unicode"/>
          <w:rtl w:val="0"/>
          <w:lang w:val="de-DE"/>
        </w:rPr>
        <w:t>&lt;:</w:t>
      </w:r>
      <w:r>
        <w:rPr>
          <w:rFonts w:ascii="IFAO-Grec Unicode" w:hAnsi="IFAO-Grec Unicode" w:hint="default"/>
          <w:rtl w:val="0"/>
          <w:lang w:val="de-DE"/>
        </w:rPr>
        <w:t>κουφίζειν</w:t>
      </w:r>
      <w:r>
        <w:rPr>
          <w:rFonts w:ascii="IFAO-Grec Unicode" w:hAnsi="IFAO-Grec Unicode"/>
          <w:rtl w:val="0"/>
          <w:lang w:val="de-DE"/>
        </w:rPr>
        <w:t>=grc|reg|</w:t>
      </w:r>
      <w:r>
        <w:rPr>
          <w:rFonts w:ascii="IFAO-Grec Unicode" w:hAnsi="IFAO-Grec Unicode" w:hint="default"/>
          <w:rtl w:val="0"/>
          <w:lang w:val="de-DE"/>
        </w:rPr>
        <w:t>ⲕⲟⲩⲫⲓⲥⲉ</w:t>
      </w:r>
      <w:r>
        <w:rPr>
          <w:rFonts w:ascii="IFAO-Grec Unicode" w:hAnsi="IFAO-Grec Unicode"/>
          <w:rtl w:val="0"/>
          <w:lang w:val="de-DE"/>
        </w:rPr>
        <w:t xml:space="preserve">:&gt; </w:t>
      </w:r>
      <w:r>
        <w:rPr>
          <w:rFonts w:ascii="IFAO-Grec Unicode" w:hAnsi="IFAO-Grec Unicode" w:hint="default"/>
          <w:rtl w:val="0"/>
          <w:lang w:val="de-DE"/>
        </w:rPr>
        <w:t>ⲛⲁⲕ ⲛ̄ⲟ̄ⲩ̄ⲣⲧⲟϥ ⲟⲩϭⲟ̄ⲥ̄ ⲛ̄</w:t>
      </w:r>
      <w:r>
        <w:rPr>
          <w:rFonts w:ascii="IFAO-Grec Unicode" w:hAnsi="IFAO-Grec Unicode"/>
          <w:rtl w:val="0"/>
          <w:lang w:val="de-DE"/>
        </w:rPr>
        <w:t>&lt;:</w:t>
      </w:r>
      <w:r>
        <w:rPr>
          <w:rFonts w:ascii="IFAO-Grec Unicode" w:hAnsi="IFAO-Grec Unicode" w:hint="default"/>
          <w:rtl w:val="0"/>
          <w:lang w:val="de-DE"/>
        </w:rPr>
        <w:t>ⲥⲟⲩⲟ</w:t>
      </w:r>
      <w:r>
        <w:rPr>
          <w:rFonts w:ascii="IFAO-Grec Unicode" w:hAnsi="IFAO-Grec Unicode"/>
          <w:rtl w:val="0"/>
          <w:lang w:val="de-DE"/>
        </w:rPr>
        <w:t>|reg|</w:t>
      </w:r>
      <w:r>
        <w:rPr>
          <w:rFonts w:ascii="IFAO-Grec Unicode" w:hAnsi="IFAO-Grec Unicode" w:hint="default"/>
          <w:rtl w:val="0"/>
          <w:lang w:val="de-DE"/>
        </w:rPr>
        <w:t>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5.- {</w:t>
      </w:r>
      <w:r>
        <w:rPr>
          <w:rFonts w:ascii="IFAO-Grec Unicode" w:hAnsi="IFAO-Grec Unicode" w:hint="default"/>
          <w:rtl w:val="0"/>
          <w:lang w:val="de-DE"/>
        </w:rPr>
        <w:t>ⲥ</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ⲟⲩ</w:t>
      </w:r>
      <w:r>
        <w:rPr>
          <w:rFonts w:ascii="IFAO-Grec Unicode" w:hAnsi="IFAO-Grec Unicode"/>
          <w:rtl w:val="0"/>
          <w:lang w:val="de-DE"/>
        </w:rPr>
        <w:t>}</w:t>
      </w:r>
      <w:r>
        <w:rPr>
          <w:rFonts w:ascii="IFAO-Grec Unicode" w:hAnsi="IFAO-Grec Unicode" w:hint="default"/>
          <w:rtl w:val="0"/>
          <w:lang w:val="de-DE"/>
        </w:rPr>
        <w:t>ⲟ</w:t>
      </w:r>
      <w:r>
        <w:rPr>
          <w:rFonts w:ascii="IFAO-Grec Unicode" w:hAnsi="IFAO-Grec Unicode"/>
          <w:rtl w:val="0"/>
          <w:lang w:val="de-DE"/>
        </w:rPr>
        <w:t xml:space="preserve">:&gt; </w:t>
      </w:r>
      <w:r>
        <w:rPr>
          <w:rFonts w:ascii="IFAO-Grec Unicode" w:hAnsi="IFAO-Grec Unicode" w:hint="default"/>
          <w:rtl w:val="0"/>
          <w:lang w:val="de-DE"/>
        </w:rPr>
        <w:t>ⲙ̄ⲛ̄ ⲛⲟ̄ⲩ̄ⲣⲧⲟϥ ⲟⲩϭⲟ̄ⲥ̄ ⲛ̄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ⲱⲧ</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ϩⲁ ⲧⲥⲓⲧⲓ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ⲱϩⲉ ⲙ̄ⲫⲟ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ⲛ̄ϩⲓⲃⲱ ⲩ</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ⲛ̄ⲧ̄ⲓ̄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ⲣⲟⲙⲡⲉ ⲛ̄ⲟⲩⲱ̄ⲧ ⲉⲧⲉ ⲡ</w:t>
      </w:r>
      <w:r>
        <w:rPr>
          <w:rFonts w:ascii="IFAO-Grec Unicode" w:hAnsi="IFAO-Grec Unicode"/>
          <w:rtl w:val="0"/>
          <w:lang w:val="de-DE"/>
        </w:rPr>
        <w:t>&lt;:</w:t>
      </w:r>
      <w:r>
        <w:rPr>
          <w:rFonts w:ascii="IFAO-Grec Unicode" w:hAnsi="IFAO-Grec Unicode" w:hint="default"/>
          <w:rtl w:val="0"/>
          <w:lang w:val="de-DE"/>
        </w:rPr>
        <w:t>καρπός</w:t>
      </w:r>
      <w:r>
        <w:rPr>
          <w:rFonts w:ascii="IFAO-Grec Unicode" w:hAnsi="IFAO-Grec Unicode"/>
          <w:rtl w:val="0"/>
          <w:lang w:val="de-DE"/>
        </w:rPr>
        <w:t>=grc|reg|</w:t>
      </w:r>
      <w:r>
        <w:rPr>
          <w:rFonts w:ascii="IFAO-Grec Unicode" w:hAnsi="IFAO-Grec Unicode" w:hint="default"/>
          <w:rtl w:val="0"/>
          <w:lang w:val="de-DE"/>
        </w:rPr>
        <w:t>ⲕⲁⲣⲡⲟⲥ</w:t>
      </w:r>
      <w:r>
        <w:rPr>
          <w:rFonts w:ascii="IFAO-Grec Unicode" w:hAnsi="IFAO-Grec Unicode"/>
          <w:rtl w:val="0"/>
          <w:lang w:val="de-DE"/>
        </w:rPr>
        <w:t xml:space="preserve">:&gt; </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8. </w:t>
      </w:r>
      <w:r>
        <w:rPr>
          <w:rFonts w:ascii="IFAO-Grec Unicode" w:hAnsi="IFAO-Grec Unicode" w:hint="default"/>
          <w:rtl w:val="0"/>
          <w:lang w:val="de-DE"/>
        </w:rPr>
        <w:t xml:space="preserve">ⲛ̄ⲧⲉ </w:t>
      </w:r>
      <w:r>
        <w:rPr>
          <w:rFonts w:ascii="IFAO-Grec Unicode" w:hAnsi="IFAO-Grec Unicode"/>
          <w:rtl w:val="0"/>
          <w:lang w:val="de-DE"/>
        </w:rPr>
        <w:t>&lt;#&lt;:</w:t>
      </w:r>
      <w:r>
        <w:rPr>
          <w:rFonts w:ascii="IFAO-Grec Unicode" w:hAnsi="IFAO-Grec Unicode" w:hint="default"/>
          <w:rtl w:val="0"/>
          <w:lang w:val="de-DE"/>
        </w:rPr>
        <w:t>πέμπτος</w:t>
      </w:r>
      <w:r>
        <w:rPr>
          <w:rFonts w:ascii="IFAO-Grec Unicode" w:hAnsi="IFAO-Grec Unicode"/>
          <w:rtl w:val="0"/>
          <w:lang w:val="de-DE"/>
        </w:rPr>
        <w:t>=grc|reg|</w:t>
      </w:r>
      <w:r>
        <w:rPr>
          <w:rFonts w:ascii="IFAO-Grec Unicode" w:hAnsi="IFAO-Grec Unicode" w:hint="default"/>
          <w:rtl w:val="0"/>
          <w:lang w:val="de-DE"/>
        </w:rPr>
        <w:t>ⲡⲉⲙⲧⲏ</w:t>
      </w:r>
      <w:r>
        <w:rPr>
          <w:rFonts w:ascii="IFAO-Grec Unicode" w:hAnsi="IFAO-Grec Unicode"/>
          <w:rtl w:val="0"/>
          <w:lang w:val="de-DE"/>
        </w:rPr>
        <w:t xml:space="preserve">:&gt;=5#&gt; </w:t>
      </w:r>
      <w:r>
        <w:rPr>
          <w:rFonts w:ascii="IFAO-Grec Unicode" w:hAnsi="IFAO-Grec Unicode" w:hint="default"/>
          <w:rtl w:val="0"/>
          <w:lang w:val="de-DE"/>
        </w:rPr>
        <w:t xml:space="preserve">ⲡⲉ </w:t>
      </w:r>
      <w:r>
        <w:rPr>
          <w:rFonts w:ascii="IFAO-Grec Unicode" w:hAnsi="IFAO-Grec Unicode"/>
          <w:rtl w:val="0"/>
          <w:lang w:val="de-DE"/>
        </w:rPr>
        <w:t>&lt;:</w:t>
      </w:r>
      <w:r>
        <w:rPr>
          <w:rFonts w:ascii="IFAO-Grec Unicode" w:hAnsi="IFAO-Grec Unicode" w:hint="default"/>
          <w:rtl w:val="0"/>
          <w:lang w:val="de-DE"/>
        </w:rPr>
        <w:t>ἐπειδή</w:t>
      </w:r>
      <w:r>
        <w:rPr>
          <w:rFonts w:ascii="IFAO-Grec Unicode" w:hAnsi="IFAO-Grec Unicode"/>
          <w:rtl w:val="0"/>
          <w:lang w:val="de-DE"/>
        </w:rPr>
        <w:t>=grc|reg|</w:t>
      </w:r>
      <w:r>
        <w:rPr>
          <w:rFonts w:ascii="IFAO-Grec Unicode" w:hAnsi="IFAO-Grec Unicode" w:hint="default"/>
          <w:rtl w:val="0"/>
          <w:lang w:val="de-DE"/>
        </w:rPr>
        <w:t>ⲉⲡⲓⲧⲏ</w:t>
      </w:r>
      <w:r>
        <w:rPr>
          <w:rFonts w:ascii="IFAO-Grec Unicode" w:hAnsi="IFAO-Grec Unicode"/>
          <w:rtl w:val="0"/>
          <w:lang w:val="de-DE"/>
        </w:rPr>
        <w:t>:&gt; &lt;:</w:t>
      </w:r>
      <w:r>
        <w:rPr>
          <w:rFonts w:ascii="IFAO-Grec Unicode" w:hAnsi="IFAO-Grec Unicode" w:hint="default"/>
          <w:rtl w:val="0"/>
          <w:lang w:val="de-DE"/>
        </w:rPr>
        <w:t>ⲙⲡⲉⲕϫⲟⲥ</w:t>
      </w:r>
      <w:r>
        <w:rPr>
          <w:rFonts w:ascii="IFAO-Grec Unicode" w:hAnsi="IFAO-Grec Unicode"/>
          <w:rtl w:val="0"/>
          <w:lang w:val="de-DE"/>
        </w:rPr>
        <w:t>|reg|</w:t>
      </w:r>
      <w:r>
        <w:rPr>
          <w:rFonts w:ascii="IFAO-Grec Unicode" w:hAnsi="IFAO-Grec Unicode" w:hint="default"/>
          <w:rtl w:val="0"/>
          <w:lang w:val="de-DE"/>
        </w:rPr>
        <w:t>ⲡⲉⲕϫⲟⲥ</w:t>
      </w:r>
      <w:r>
        <w:rPr>
          <w:rFonts w:ascii="IFAO-Grec Unicode" w:hAnsi="IFAO-Grec Unicode"/>
          <w:rtl w:val="0"/>
          <w:lang w:val="de-DE"/>
        </w:rPr>
        <w:t xml:space="preserve">:&gt; </w:t>
      </w:r>
      <w:r>
        <w:rPr>
          <w:rFonts w:ascii="IFAO-Grec Unicode" w:hAnsi="IFAO-Grec Unicode" w:hint="default"/>
          <w:rtl w:val="0"/>
          <w:lang w:val="de-DE"/>
        </w:rPr>
        <w:t>ⲛ̄</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ⲧⲉⲣⲟⲙⲡⲉ ⲛ̄ⲧⲁⲕ</w:t>
      </w:r>
      <w:r>
        <w:rPr>
          <w:rFonts w:ascii="IFAO-Grec Unicode" w:hAnsi="IFAO-Grec Unicode"/>
          <w:rtl w:val="0"/>
          <w:lang w:val="de-DE"/>
        </w:rPr>
        <w:t>&lt;:</w:t>
      </w:r>
      <w:r>
        <w:rPr>
          <w:rFonts w:ascii="IFAO-Grec Unicode" w:hAnsi="IFAO-Grec Unicode" w:hint="default"/>
          <w:rtl w:val="0"/>
          <w:lang w:val="de-DE"/>
        </w:rPr>
        <w:t>μισθοῦν</w:t>
      </w:r>
      <w:r>
        <w:rPr>
          <w:rFonts w:ascii="IFAO-Grec Unicode" w:hAnsi="IFAO-Grec Unicode"/>
          <w:rtl w:val="0"/>
          <w:lang w:val="de-DE"/>
        </w:rPr>
        <w:t>=grc|reg|</w:t>
      </w:r>
      <w:r>
        <w:rPr>
          <w:rFonts w:ascii="IFAO-Grec Unicode" w:hAnsi="IFAO-Grec Unicode" w:hint="default"/>
          <w:rtl w:val="0"/>
          <w:lang w:val="de-DE"/>
        </w:rPr>
        <w:t>ⲙⲓⲥ</w:t>
      </w:r>
      <w:r>
        <w:rPr>
          <w:rFonts w:ascii="IFAO-Grec Unicode" w:hAnsi="IFAO-Grec Unicode"/>
          <w:rtl w:val="0"/>
          <w:lang w:val="de-DE"/>
        </w:rPr>
        <w:t>\</w:t>
      </w:r>
      <w:r>
        <w:rPr>
          <w:rFonts w:ascii="IFAO-Grec Unicode" w:hAnsi="IFAO-Grec Unicode" w:hint="default"/>
          <w:rtl w:val="0"/>
          <w:lang w:val="de-DE"/>
        </w:rPr>
        <w:t>ⲧⲟⲩ</w:t>
      </w:r>
      <w:r>
        <w:rPr>
          <w:rFonts w:ascii="IFAO-Grec Unicode" w:hAnsi="IFAO-Grec Unicode"/>
          <w:rtl w:val="0"/>
          <w:lang w:val="de-DE"/>
        </w:rPr>
        <w:t xml:space="preserve">/:&gt; </w:t>
      </w:r>
      <w:r>
        <w:rPr>
          <w:rFonts w:ascii="IFAO-Grec Unicode" w:hAnsi="IFAO-Grec Unicode" w:hint="default"/>
          <w:rtl w:val="0"/>
          <w:lang w:val="de-DE"/>
        </w:rPr>
        <w:t xml:space="preserve">ϩⲓⲱⲱⲥ </w:t>
      </w:r>
      <w:r>
        <w:rPr>
          <w:rFonts w:ascii="IFAO-Grec Unicode" w:hAnsi="IFAO-Grec Unicode"/>
          <w:rtl w:val="0"/>
          <w:lang w:val="de-DE"/>
        </w:rPr>
        <w:t>&lt;:</w:t>
      </w:r>
      <w:r>
        <w:rPr>
          <w:rFonts w:ascii="IFAO-Grec Unicode" w:hAnsi="IFAO-Grec Unicode" w:hint="default"/>
          <w:rtl w:val="0"/>
          <w:lang w:val="de-DE"/>
        </w:rPr>
        <w:t>κατά</w:t>
      </w:r>
      <w:r>
        <w:rPr>
          <w:rFonts w:ascii="IFAO-Grec Unicode" w:hAnsi="IFAO-Grec Unicode"/>
          <w:rtl w:val="0"/>
          <w:lang w:val="de-DE"/>
        </w:rPr>
        <w:t>=grc|reg|</w:t>
      </w:r>
      <w:r>
        <w:rPr>
          <w:rFonts w:ascii="IFAO-Grec Unicode" w:hAnsi="IFAO-Grec Unicode" w:hint="default"/>
          <w:rtl w:val="0"/>
          <w:lang w:val="de-DE"/>
        </w:rPr>
        <w:t>ⲕⲁⲧⲁ</w:t>
      </w:r>
      <w:r>
        <w:rPr>
          <w:rFonts w:ascii="IFAO-Grec Unicode" w:hAnsi="IFAO-Grec Unicode"/>
          <w:rtl w:val="0"/>
          <w:lang w:val="de-DE"/>
        </w:rPr>
        <w:t xml:space="preserve">:&gt; </w:t>
      </w:r>
      <w:r>
        <w:rPr>
          <w:rFonts w:ascii="IFAO-Grec Unicode" w:hAnsi="IFAO-Grec Unicode" w:hint="default"/>
          <w:rtl w:val="0"/>
          <w:lang w:val="de-DE"/>
        </w:rPr>
        <w:t>ⲡⲁ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10.- &lt;:</w:t>
      </w:r>
      <w:r>
        <w:rPr>
          <w:rFonts w:ascii="IFAO-Grec Unicode" w:hAnsi="IFAO-Grec Unicode" w:hint="default"/>
          <w:rtl w:val="0"/>
          <w:lang w:val="de-DE"/>
        </w:rPr>
        <w:t>ⲟⲩⲱⲛ</w:t>
      </w:r>
      <w:r>
        <w:rPr>
          <w:rFonts w:ascii="IFAO-Grec Unicode" w:hAnsi="IFAO-Grec Unicode"/>
          <w:rtl w:val="0"/>
          <w:lang w:val="de-DE"/>
        </w:rPr>
        <w:t>|reg|</w:t>
      </w:r>
      <w:r>
        <w:rPr>
          <w:rFonts w:ascii="IFAO-Grec Unicode" w:hAnsi="IFAO-Grec Unicode" w:hint="default"/>
          <w:rtl w:val="0"/>
          <w:lang w:val="de-DE"/>
        </w:rPr>
        <w:t>ⲟⲩⲱⲱⲛ</w:t>
      </w:r>
      <w:r>
        <w:rPr>
          <w:rFonts w:ascii="IFAO-Grec Unicode" w:hAnsi="IFAO-Grec Unicode"/>
          <w:rtl w:val="0"/>
          <w:lang w:val="de-DE"/>
        </w:rPr>
        <w:t xml:space="preserve">:&gt; </w:t>
      </w:r>
      <w:r>
        <w:rPr>
          <w:rFonts w:ascii="IFAO-Grec Unicode" w:hAnsi="IFAO-Grec Unicode" w:hint="default"/>
          <w:rtl w:val="0"/>
          <w:lang w:val="de-DE"/>
        </w:rPr>
        <w:t>ⲛ̄</w:t>
      </w:r>
      <w:r>
        <w:rPr>
          <w:rFonts w:ascii="IFAO-Grec Unicode" w:hAnsi="IFAO-Grec Unicode"/>
          <w:rtl w:val="0"/>
          <w:lang w:val="de-DE"/>
        </w:rPr>
        <w:t>&lt;:</w:t>
      </w:r>
      <w:r>
        <w:rPr>
          <w:rFonts w:ascii="IFAO-Grec Unicode" w:hAnsi="IFAO-Grec Unicode" w:hint="default"/>
          <w:rtl w:val="0"/>
          <w:lang w:val="de-DE"/>
        </w:rPr>
        <w:t>ϣⲟⲙⲛⲧ</w:t>
      </w:r>
      <w:r>
        <w:rPr>
          <w:rFonts w:ascii="IFAO-Grec Unicode" w:hAnsi="IFAO-Grec Unicode"/>
          <w:rtl w:val="0"/>
          <w:lang w:val="de-DE"/>
        </w:rPr>
        <w:t>|reg|</w:t>
      </w:r>
      <w:r>
        <w:rPr>
          <w:rFonts w:ascii="IFAO-Grec Unicode" w:hAnsi="IFAO-Grec Unicode" w:hint="default"/>
          <w:rtl w:val="0"/>
          <w:lang w:val="de-DE"/>
        </w:rPr>
        <w:t>ϣⲟⲙⲏ̄ⲧ</w:t>
      </w:r>
      <w:r>
        <w:rPr>
          <w:rFonts w:ascii="IFAO-Grec Unicode" w:hAnsi="IFAO-Grec Unicode"/>
          <w:rtl w:val="0"/>
          <w:lang w:val="de-DE"/>
        </w:rPr>
        <w:t xml:space="preserve">:&gt;  *rho-cross* ~| </w:t>
      </w:r>
      <w:r>
        <w:rPr>
          <w:rFonts w:ascii="IFAO-Grec Unicode" w:hAnsi="IFAO-Grec Unicode" w:hint="default"/>
          <w:rtl w:val="0"/>
          <w:lang w:val="de-DE"/>
        </w:rPr>
        <w:t>Ἰ</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ωάννης Κολλού</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 xml:space="preserve">θου </w:t>
      </w:r>
      <w:r>
        <w:rPr>
          <w:rFonts w:ascii="IFAO-Grec Unicode" w:hAnsi="IFAO-Grec Unicode"/>
          <w:rtl w:val="0"/>
          <w:lang w:val="de-DE"/>
        </w:rPr>
        <w:t>(</w:t>
      </w:r>
      <w:r>
        <w:rPr>
          <w:rFonts w:ascii="IFAO-Grec Unicode" w:hAnsi="IFAO-Grec Unicode" w:hint="default"/>
          <w:rtl w:val="0"/>
          <w:lang w:val="de-DE"/>
        </w:rPr>
        <w:t>ἀναγνώστ</w:t>
      </w:r>
      <w:r>
        <w:rPr>
          <w:rFonts w:ascii="IFAO-Grec Unicode" w:hAnsi="IFAO-Grec Unicode"/>
          <w:rtl w:val="0"/>
          <w:lang w:val="de-DE"/>
        </w:rPr>
        <w:t>(</w:t>
      </w:r>
      <w:r>
        <w:rPr>
          <w:rFonts w:ascii="IFAO-Grec Unicode" w:hAnsi="IFAO-Grec Unicode" w:hint="default"/>
          <w:rtl w:val="0"/>
          <w:lang w:val="de-DE"/>
        </w:rPr>
        <w:t>ης</w:t>
      </w:r>
      <w:r>
        <w:rPr>
          <w:rFonts w:ascii="IFAO-Grec Unicode" w:hAnsi="IFAO-Grec Unicode"/>
          <w:rtl w:val="0"/>
          <w:lang w:val="de-DE"/>
        </w:rPr>
        <w:t xml:space="preserve">)) </w:t>
      </w:r>
      <w:r>
        <w:rPr>
          <w:rFonts w:ascii="IFAO-Grec Unicode" w:hAnsi="IFAO-Grec Unicode" w:hint="default"/>
          <w:rtl w:val="0"/>
          <w:lang w:val="de-DE"/>
        </w:rPr>
        <w:t xml:space="preserve">ἀπὸ </w:t>
      </w:r>
      <w:r>
        <w:rPr>
          <w:rFonts w:ascii="IFAO-Grec Unicode" w:hAnsi="IFAO-Grec Unicode"/>
          <w:rtl w:val="0"/>
          <w:lang w:val="de-DE"/>
        </w:rPr>
        <w:t>(</w:t>
      </w:r>
      <w:r>
        <w:rPr>
          <w:rFonts w:ascii="IFAO-Grec Unicode" w:hAnsi="IFAO-Grec Unicode" w:hint="default"/>
          <w:rtl w:val="0"/>
          <w:lang w:val="de-DE"/>
        </w:rPr>
        <w:t>Ἑρ</w:t>
      </w:r>
      <w:r>
        <w:rPr>
          <w:rFonts w:ascii="IFAO-Grec Unicode" w:hAnsi="IFAO-Grec Unicode"/>
          <w:rtl w:val="0"/>
          <w:lang w:val="de-DE"/>
        </w:rPr>
        <w:t>(</w:t>
      </w:r>
      <w:r>
        <w:rPr>
          <w:rFonts w:ascii="IFAO-Grec Unicode" w:hAnsi="IFAO-Grec Unicode" w:hint="default"/>
          <w:rtl w:val="0"/>
          <w:lang w:val="de-DE"/>
        </w:rPr>
        <w:t>μοῦ</w:t>
      </w:r>
      <w:r>
        <w:rPr>
          <w:rFonts w:ascii="IFAO-Grec Unicode" w:hAnsi="IFAO-Grec Unicode"/>
          <w:rtl w:val="0"/>
          <w:lang w:val="de-DE"/>
        </w:rPr>
        <w:t>)) (</w:t>
      </w:r>
      <w:r>
        <w:rPr>
          <w:rFonts w:ascii="IFAO-Grec Unicode" w:hAnsi="IFAO-Grec Unicode" w:hint="default"/>
          <w:rtl w:val="0"/>
          <w:lang w:val="de-DE"/>
        </w:rPr>
        <w:t>π</w:t>
      </w:r>
      <w:r>
        <w:rPr>
          <w:rFonts w:ascii="IFAO-Grec Unicode" w:hAnsi="IFAO-Grec Unicode"/>
          <w:rtl w:val="0"/>
          <w:lang w:val="de-DE"/>
        </w:rPr>
        <w:t>(</w:t>
      </w:r>
      <w:r>
        <w:rPr>
          <w:rFonts w:ascii="IFAO-Grec Unicode" w:hAnsi="IFAO-Grec Unicode" w:hint="default"/>
          <w:rtl w:val="0"/>
          <w:lang w:val="de-DE"/>
        </w:rPr>
        <w:t>όλεως</w:t>
      </w:r>
      <w:r>
        <w:rPr>
          <w:rFonts w:ascii="IFAO-Grec Unicode" w:hAnsi="IFAO-Grec Unicode"/>
          <w:rtl w:val="0"/>
          <w:lang w:val="de-DE"/>
        </w:rPr>
        <w:t>)) &lt;:</w:t>
      </w:r>
      <w:r>
        <w:rPr>
          <w:rFonts w:ascii="IFAO-Grec Unicode" w:hAnsi="IFAO-Grec Unicode" w:hint="default"/>
          <w:rtl w:val="0"/>
          <w:lang w:val="de-DE"/>
        </w:rPr>
        <w:t>στοιχεῖ</w:t>
      </w:r>
      <w:r>
        <w:rPr>
          <w:rFonts w:ascii="IFAO-Grec Unicode" w:hAnsi="IFAO-Grec Unicode"/>
          <w:rtl w:val="0"/>
          <w:lang w:val="de-DE"/>
        </w:rPr>
        <w:t>|reg|</w:t>
      </w:r>
      <w:r>
        <w:rPr>
          <w:rFonts w:ascii="IFAO-Grec Unicode" w:hAnsi="IFAO-Grec Unicode" w:hint="default"/>
          <w:rtl w:val="0"/>
          <w:lang w:val="de-DE"/>
        </w:rPr>
        <w:t>στοιχῖ</w:t>
      </w:r>
      <w:r>
        <w:rPr>
          <w:rFonts w:ascii="IFAO-Grec Unicode" w:hAnsi="IFAO-Grec Unicode"/>
          <w:rtl w:val="0"/>
          <w:lang w:val="de-DE"/>
        </w:rPr>
        <w:t>:&gt; &lt;:</w:t>
      </w:r>
      <w:r>
        <w:rPr>
          <w:rFonts w:ascii="IFAO-Grec Unicode" w:hAnsi="IFAO-Grec Unicode" w:hint="default"/>
          <w:rtl w:val="0"/>
          <w:lang w:val="de-DE"/>
        </w:rPr>
        <w:t>μοι</w:t>
      </w:r>
      <w:r>
        <w:rPr>
          <w:rFonts w:ascii="IFAO-Grec Unicode" w:hAnsi="IFAO-Grec Unicode"/>
          <w:rtl w:val="0"/>
          <w:lang w:val="de-DE"/>
        </w:rPr>
        <w:t>|reg|</w:t>
      </w:r>
      <w:r>
        <w:rPr>
          <w:rFonts w:ascii="IFAO-Grec Unicode" w:hAnsi="IFAO-Grec Unicode" w:hint="default"/>
          <w:rtl w:val="0"/>
          <w:lang w:val="de-DE"/>
        </w:rPr>
        <w:t>μη</w:t>
      </w:r>
      <w:r>
        <w:rPr>
          <w:rFonts w:ascii="IFAO-Grec Unicode" w:hAnsi="IFAO-Grec Unicode"/>
          <w:rtl w:val="0"/>
          <w:lang w:val="de-DE"/>
        </w:rPr>
        <w:t>:&gt; &lt;:</w:t>
      </w:r>
      <w:r>
        <w:rPr>
          <w:rFonts w:ascii="IFAO-Grec Unicode" w:hAnsi="IFAO-Grec Unicode" w:hint="default"/>
          <w:rtl w:val="0"/>
          <w:lang w:val="de-DE"/>
        </w:rPr>
        <w:t>ἡ</w:t>
      </w:r>
      <w:r>
        <w:rPr>
          <w:rFonts w:ascii="IFAO-Grec Unicode" w:hAnsi="IFAO-Grec Unicode"/>
          <w:rtl w:val="0"/>
          <w:lang w:val="de-DE"/>
        </w:rPr>
        <w:t>|reg|</w:t>
      </w:r>
      <w:r>
        <w:rPr>
          <w:rFonts w:ascii="IFAO-Grec Unicode" w:hAnsi="IFAO-Grec Unicode" w:hint="default"/>
          <w:rtl w:val="0"/>
          <w:lang w:val="de-DE"/>
        </w:rPr>
        <w:t>τὴν</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 &lt;:</w:t>
      </w:r>
      <w:r>
        <w:rPr>
          <w:rFonts w:ascii="IFAO-Grec Unicode" w:hAnsi="IFAO-Grec Unicode" w:hint="default"/>
          <w:rtl w:val="0"/>
          <w:lang w:val="de-DE"/>
        </w:rPr>
        <w:t>χεὶρ</w:t>
      </w:r>
      <w:r>
        <w:rPr>
          <w:rFonts w:ascii="IFAO-Grec Unicode" w:hAnsi="IFAO-Grec Unicode"/>
          <w:rtl w:val="0"/>
          <w:lang w:val="de-DE"/>
        </w:rPr>
        <w:t>|reg|</w:t>
      </w:r>
      <w:r>
        <w:rPr>
          <w:rFonts w:ascii="IFAO-Grec Unicode" w:hAnsi="IFAO-Grec Unicode" w:hint="default"/>
          <w:rtl w:val="0"/>
          <w:lang w:val="de-DE"/>
        </w:rPr>
        <w:t>χῖραν</w:t>
      </w:r>
      <w:r>
        <w:rPr>
          <w:rFonts w:ascii="IFAO-Grec Unicode" w:hAnsi="IFAO-Grec Unicode"/>
          <w:rtl w:val="0"/>
          <w:lang w:val="de-DE"/>
        </w:rPr>
        <w:t xml:space="preserve">:&gt; </w:t>
      </w:r>
      <w:r>
        <w:rPr>
          <w:rFonts w:ascii="IFAO-Grec Unicode" w:hAnsi="IFAO-Grec Unicode" w:hint="default"/>
          <w:rtl w:val="0"/>
          <w:lang w:val="de-DE"/>
        </w:rPr>
        <w:t xml:space="preserve">ὡς </w:t>
      </w:r>
      <w:r>
        <w:rPr>
          <w:rFonts w:ascii="IFAO-Grec Unicode" w:hAnsi="IFAO-Grec Unicode"/>
          <w:rtl w:val="0"/>
          <w:lang w:val="de-DE"/>
        </w:rPr>
        <w:t>(</w:t>
      </w:r>
      <w:r>
        <w:rPr>
          <w:rFonts w:ascii="IFAO-Grec Unicode" w:hAnsi="IFAO-Grec Unicode" w:hint="default"/>
          <w:rtl w:val="0"/>
          <w:lang w:val="de-DE"/>
        </w:rPr>
        <w:t>πρόκ</w:t>
      </w:r>
      <w:r>
        <w:rPr>
          <w:rFonts w:ascii="IFAO-Grec Unicode" w:hAnsi="IFAO-Grec Unicode"/>
          <w:rtl w:val="0"/>
          <w:lang w:val="de-DE"/>
        </w:rPr>
        <w:t>(</w:t>
      </w:r>
      <w:r>
        <w:rPr>
          <w:rFonts w:ascii="IFAO-Grec Unicode" w:hAnsi="IFAO-Grec Unicode" w:hint="default"/>
          <w:rtl w:val="0"/>
          <w:lang w:val="de-DE"/>
        </w:rPr>
        <w:t>ειται</w:t>
      </w:r>
      <w:r>
        <w:rPr>
          <w:rFonts w:ascii="IFAO-Grec Unicode" w:hAnsi="IFAO-Grec Unicode"/>
          <w:rtl w:val="0"/>
          <w:lang w:val="de-DE"/>
        </w:rPr>
        <w:t xml:space="preserve">)). </w:t>
      </w:r>
      <w:r>
        <w:rPr>
          <w:rFonts w:ascii="IFAO-Grec Unicode" w:hAnsi="IFAO-Grec Unicode" w:hint="default"/>
          <w:rtl w:val="0"/>
          <w:lang w:val="de-DE"/>
        </w:rPr>
        <w:t xml:space="preserve">Φαωφι </w:t>
      </w:r>
      <w:r>
        <w:rPr>
          <w:rFonts w:ascii="IFAO-Grec Unicode" w:hAnsi="IFAO-Grec Unicode"/>
          <w:rtl w:val="0"/>
          <w:lang w:val="de-DE"/>
        </w:rPr>
        <w:t>&lt;#</w:t>
      </w:r>
      <w:r>
        <w:rPr>
          <w:rFonts w:ascii="IFAO-Grec Unicode" w:hAnsi="IFAO-Grec Unicode" w:hint="default"/>
          <w:rtl w:val="0"/>
          <w:lang w:val="de-DE"/>
        </w:rPr>
        <w:t>ιϛ̄</w:t>
      </w:r>
      <w:r>
        <w:rPr>
          <w:rFonts w:ascii="IFAO-Grec Unicode" w:hAnsi="IFAO-Grec Unicode"/>
          <w:rtl w:val="0"/>
          <w:lang w:val="de-DE"/>
        </w:rPr>
        <w:t>=16#&gt; &lt;#</w:t>
      </w:r>
      <w:r>
        <w:rPr>
          <w:rFonts w:ascii="IFAO-Grec Unicode" w:hAnsi="IFAO-Grec Unicode" w:hint="default"/>
          <w:rtl w:val="0"/>
          <w:lang w:val="de-DE"/>
        </w:rPr>
        <w:t>δ</w:t>
      </w:r>
      <w:r>
        <w:rPr>
          <w:rFonts w:ascii="IFAO-Grec Unicode" w:hAnsi="IFAO-Grec Unicode"/>
          <w:rtl w:val="0"/>
          <w:lang w:val="de-DE"/>
        </w:rPr>
        <w:t>=4#&gt; (</w:t>
      </w:r>
      <w:r>
        <w:rPr>
          <w:rFonts w:ascii="IFAO-Grec Unicode" w:hAnsi="IFAO-Grec Unicode" w:hint="default"/>
          <w:rtl w:val="0"/>
          <w:lang w:val="de-DE"/>
        </w:rPr>
        <w:t>ἰνδικ</w:t>
      </w:r>
      <w:r>
        <w:rPr>
          <w:rFonts w:ascii="IFAO-Grec Unicode" w:hAnsi="IFAO-Grec Unicode"/>
          <w:rtl w:val="0"/>
          <w:lang w:val="de-DE"/>
        </w:rPr>
        <w:t>(</w:t>
      </w:r>
      <w:r>
        <w:rPr>
          <w:rFonts w:ascii="IFAO-Grec Unicode" w:hAnsi="IFAO-Grec Unicode" w:hint="default"/>
          <w:rtl w:val="0"/>
          <w:lang w:val="de-DE"/>
        </w:rPr>
        <w:t>τίων</w:t>
      </w:r>
      <w:r>
        <w:rPr>
          <w:rFonts w:ascii="IFAO-Grec Unicode" w:hAnsi="IFAO-Grec Unicode"/>
          <w:rtl w:val="0"/>
          <w:lang w:val="de-DE"/>
        </w:rPr>
        <w:t>)</w:t>
      </w:r>
      <w:r>
        <w:rPr>
          <w:rFonts w:ascii="IFAO-Grec Unicode" w:hAnsi="IFAO-Grec Unicode" w:hint="default"/>
          <w:rtl w:val="0"/>
          <w:lang w:val="de-DE"/>
        </w:rPr>
        <w:t>ο̣</w:t>
      </w:r>
      <w:r>
        <w:rPr>
          <w:rFonts w:ascii="IFAO-Grec Unicode" w:hAnsi="IFAO-Grec Unicode"/>
          <w:rtl w:val="0"/>
          <w:lang w:val="de-DE"/>
        </w:rPr>
        <w:t>(</w:t>
      </w:r>
      <w:r>
        <w:rPr>
          <w:rFonts w:ascii="IFAO-Grec Unicode" w:hAnsi="IFAO-Grec Unicode" w:hint="default"/>
          <w:rtl w:val="0"/>
          <w:lang w:val="de-DE"/>
        </w:rPr>
        <w:t>ς</w:t>
      </w:r>
      <w:r>
        <w:rPr>
          <w:rFonts w:ascii="IFAO-Grec Unicode" w:hAnsi="IFAO-Grec Unicode"/>
          <w:rtl w:val="0"/>
          <w:lang w:val="de-DE"/>
        </w:rPr>
        <w:t xml:space="preserve">)).|~grc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sz w:val="18"/>
          <w:szCs w:val="18"/>
          <w:lang w:val="de-DE"/>
        </w:rPr>
      </w:pPr>
      <w:r>
        <w:rPr>
          <w:rFonts w:ascii="IFAO-Grec Unicode" w:hAnsi="IFAO-Grec Unicode"/>
          <w:rtl w:val="0"/>
          <w:lang w:val="de-DE"/>
        </w:rPr>
        <w:t>=&gt;</w:t>
      </w:r>
    </w:p>
    <w:p>
      <w:pPr>
        <w:pStyle w:val="Normal.0"/>
        <w:spacing w:line="360" w:lineRule="auto"/>
        <w:rPr>
          <w:rFonts w:ascii="IFAO-Grec Unicode" w:cs="IFAO-Grec Unicode" w:hAnsi="IFAO-Grec Unicode" w:eastAsia="IFAO-Grec Unicode"/>
          <w:sz w:val="18"/>
          <w:szCs w:val="18"/>
        </w:rPr>
      </w:pPr>
    </w:p>
    <w:p>
      <w:pPr>
        <w:pStyle w:val="Normal.0"/>
        <w:spacing w:line="360" w:lineRule="auto"/>
      </w:pPr>
      <w:r>
        <w:rPr>
          <w:rFonts w:ascii="IFAO-Grec Unicode" w:hAnsi="IFAO-Grec Unicode"/>
          <w:sz w:val="18"/>
          <w:szCs w:val="18"/>
          <w:rtl w:val="0"/>
          <w:lang w:val="de-DE"/>
        </w:rPr>
        <w:t>#</w:t>
      </w: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rPr>
          <w:rFonts w:ascii="Calibri" w:cs="Calibri" w:hAnsi="Calibri" w:eastAsia="Calibri"/>
        </w:rPr>
      </w:pPr>
      <w:r>
        <w:rPr>
          <w:rFonts w:ascii="IFAO-Grec Unicode" w:hAnsi="IFAO-Grec Unicode" w:hint="default"/>
          <w:rtl w:val="0"/>
          <w:lang w:val="en-US"/>
        </w:rPr>
        <w:t>⳨</w:t>
      </w:r>
      <w:r>
        <w:rPr>
          <w:rFonts w:ascii="Calibri" w:hAnsi="Calibri"/>
          <w:rtl w:val="0"/>
          <w:lang w:val="en-US"/>
        </w:rPr>
        <w:t xml:space="preserve"> It is Ioannes, son of Colluthus, man of Shmun, who writes to I-, son of Petra: In keeping with the force of your lease document which you drew up for me, I relieve you from one and a half artabas of wheat and one and a half artabas of barley for the aroura of the (irrigated) field of Hibou for this very year, which is the harvest of the fifth (indiction year), because you have not tilled it in this year for which you leased it, according to my third share. </w:t>
      </w:r>
      <w:r>
        <w:rPr>
          <w:rFonts w:ascii="IFAO-Grec Unicode" w:hAnsi="IFAO-Grec Unicode" w:hint="default"/>
          <w:rtl w:val="0"/>
          <w:lang w:val="en-US"/>
        </w:rPr>
        <w:t>⳨</w:t>
      </w:r>
      <w:r>
        <w:rPr>
          <w:rFonts w:ascii="Calibri" w:hAnsi="Calibri"/>
          <w:rtl w:val="0"/>
          <w:lang w:val="en-US"/>
        </w:rPr>
        <w:t xml:space="preserve"> Ioannes son of Collu</w:t>
      </w:r>
      <w:r>
        <w:rPr>
          <w:rFonts w:ascii="Calibri" w:hAnsi="Calibri"/>
          <w:vertAlign w:val="superscript"/>
          <w:rtl w:val="0"/>
          <w:lang w:val="en-US"/>
        </w:rPr>
        <w:t xml:space="preserve"> </w:t>
      </w:r>
      <w:r>
        <w:rPr>
          <w:rFonts w:ascii="Calibri" w:hAnsi="Calibri"/>
          <w:rtl w:val="0"/>
          <w:lang w:val="en-US"/>
        </w:rPr>
        <w:t>thus, lector from Hermopolis, this deed suits me as stated above. 16</w:t>
      </w:r>
      <w:r>
        <w:rPr>
          <w:rFonts w:ascii="Calibri" w:hAnsi="Calibri"/>
          <w:vertAlign w:val="superscript"/>
          <w:rtl w:val="0"/>
          <w:lang w:val="en-US"/>
        </w:rPr>
        <w:t>th</w:t>
      </w:r>
      <w:r>
        <w:rPr>
          <w:rFonts w:ascii="Calibri" w:hAnsi="Calibri"/>
          <w:rtl w:val="0"/>
          <w:lang w:val="en-US"/>
        </w:rPr>
        <w:t xml:space="preserve"> of Phaophi of the 4</w:t>
      </w:r>
      <w:r>
        <w:rPr>
          <w:rFonts w:ascii="Calibri" w:hAnsi="Calibri"/>
          <w:vertAlign w:val="superscript"/>
          <w:rtl w:val="0"/>
          <w:lang w:val="en-US"/>
        </w:rPr>
        <w:t>th</w:t>
      </w:r>
      <w:r>
        <w:rPr>
          <w:rFonts w:ascii="Calibri" w:hAnsi="Calibri"/>
          <w:rtl w:val="0"/>
          <w:lang w:val="en-US"/>
        </w:rPr>
        <w:t xml:space="preserve"> indiction year. </w:t>
      </w:r>
    </w:p>
    <w:p>
      <w:pPr>
        <w:pStyle w:val="Normal.0"/>
        <w:spacing w:line="360" w:lineRule="auto"/>
      </w:pPr>
      <w:r>
        <w:rPr>
          <w:rtl w:val="0"/>
          <w:lang w:val="en-US"/>
        </w:rPr>
        <w:t>=&gt;</w:t>
      </w:r>
    </w:p>
    <w:p>
      <w:pPr>
        <w:pStyle w:val="Normal.0"/>
        <w:spacing w:line="360" w:lineRule="auto"/>
        <w:rPr>
          <w:rFonts w:ascii="Calibri" w:cs="Calibri" w:hAnsi="Calibri" w:eastAsia="Calibri"/>
        </w:rPr>
      </w:pPr>
      <w:r>
        <w:rPr>
          <w:rtl w:val="0"/>
          <w:lang w:val="en-US"/>
        </w:rPr>
        <w:t>=T&gt;</w:t>
      </w:r>
    </w:p>
    <w:p>
      <w:pPr>
        <w:pStyle w:val="Normal.0"/>
        <w:spacing w:line="360" w:lineRule="auto"/>
        <w:rPr>
          <w:rFonts w:ascii="Calibri" w:cs="Calibri" w:hAnsi="Calibri" w:eastAsia="Calibri"/>
        </w:rPr>
      </w:pPr>
    </w:p>
    <w:p>
      <w:pPr>
        <w:pStyle w:val="Normal.0"/>
        <w:spacing w:line="360" w:lineRule="auto"/>
      </w:pPr>
      <w:r>
        <w:rPr>
          <w:rFonts w:ascii="Calibri" w:hAnsi="Calibri"/>
          <w:rtl w:val="0"/>
          <w:lang w:val="de-DE"/>
        </w:rPr>
        <w:t>#commentary</w:t>
      </w:r>
    </w:p>
    <w:p>
      <w:pPr>
        <w:pStyle w:val="Normal.0"/>
        <w:spacing w:line="360" w:lineRule="auto"/>
        <w:jc w:val="both"/>
        <w:rPr>
          <w:rFonts w:ascii="Calibri" w:cs="Calibri" w:hAnsi="Calibri" w:eastAsia="Calibri"/>
        </w:rPr>
      </w:pPr>
      <w:r>
        <w:rPr>
          <w:b w:val="1"/>
          <w:bCs w:val="1"/>
          <w:rtl w:val="0"/>
          <w:lang w:val="en-US"/>
        </w:rPr>
        <w:t xml:space="preserve">1-2 </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ⲱⲁⲛⲛⲏⲥ</w:t>
      </w:r>
      <w:r>
        <w:rPr>
          <w:b w:val="1"/>
          <w:bCs w:val="1"/>
          <w:rtl w:val="0"/>
          <w:lang w:val="en-US"/>
        </w:rPr>
        <w:t xml:space="preserve"> … </w:t>
      </w:r>
      <w:r>
        <w:rPr>
          <w:rFonts w:ascii="Arial Unicode MS" w:cs="Arial Unicode MS" w:hAnsi="Arial Unicode MS" w:eastAsia="Arial Unicode MS" w:hint="default"/>
          <w:b w:val="0"/>
          <w:bCs w:val="0"/>
          <w:i w:val="0"/>
          <w:iCs w:val="0"/>
          <w:rtl w:val="0"/>
          <w:lang w:val="en-US"/>
        </w:rPr>
        <w:t>ⲡⲉ</w:t>
      </w:r>
      <w:r>
        <w:rPr>
          <w:rFonts w:ascii="Cambria" w:hAnsi="Cambria" w:hint="default"/>
          <w:b w:val="1"/>
          <w:bCs w:val="1"/>
          <w:rtl w:val="0"/>
          <w:lang w:val="en-US"/>
        </w:rPr>
        <w:t>ϥ</w:t>
      </w:r>
      <w:r>
        <w:rPr>
          <w:rFonts w:ascii="Arial Unicode MS" w:cs="Arial Unicode MS" w:hAnsi="Arial Unicode MS" w:eastAsia="Arial Unicode MS" w:hint="default"/>
          <w:b w:val="0"/>
          <w:bCs w:val="0"/>
          <w:i w:val="0"/>
          <w:iCs w:val="0"/>
          <w:rtl w:val="0"/>
          <w:lang w:val="en-US"/>
        </w:rPr>
        <w:t>ⲥ</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ⲁⲓ</w:t>
      </w:r>
      <w:r>
        <w:rPr>
          <w:rFonts w:ascii="Cambria" w:hAnsi="Cambria"/>
          <w:b w:val="1"/>
          <w:bCs w:val="1"/>
          <w:rtl w:val="0"/>
          <w:lang w:val="en-US"/>
        </w:rPr>
        <w:t xml:space="preserve">. </w:t>
      </w:r>
      <w:r>
        <w:rPr>
          <w:rFonts w:ascii="Calibri" w:hAnsi="Calibri"/>
          <w:rtl w:val="0"/>
          <w:lang w:val="en-US"/>
        </w:rPr>
        <w:t>For the syntax of this (almost exclusively Hermopolite) type of clause, see Richter 2017.</w:t>
      </w:r>
    </w:p>
    <w:p>
      <w:pPr>
        <w:pStyle w:val="Normal.0"/>
        <w:spacing w:line="360" w:lineRule="auto"/>
        <w:ind w:left="720" w:hanging="720"/>
        <w:jc w:val="both"/>
      </w:pPr>
      <w:r>
        <w:rPr>
          <w:b w:val="1"/>
          <w:bCs w:val="1"/>
          <w:rtl w:val="0"/>
          <w:lang w:val="en-US"/>
        </w:rPr>
        <w:t xml:space="preserve">2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ⲓ</w:t>
      </w:r>
      <w:r>
        <w:rPr>
          <w:rFonts w:ascii="Cambria" w:hAnsi="Cambria" w:hint="default"/>
          <w:b w:val="1"/>
          <w:bCs w:val="1"/>
          <w:rtl w:val="0"/>
          <w:lang w:val="en-US"/>
        </w:rPr>
        <w:t xml:space="preserve">̣̈  ̣ </w:t>
      </w:r>
      <w:r>
        <w:rPr>
          <w:rFonts w:ascii="Cambria" w:hAnsi="Cambria"/>
          <w:b w:val="1"/>
          <w:bCs w:val="1"/>
          <w:rtl w:val="0"/>
          <w:lang w:val="en-US"/>
        </w:rPr>
        <w:t xml:space="preserve">[  </w:t>
      </w:r>
      <w:r>
        <w:rPr>
          <w:rFonts w:ascii="Cambria" w:hAnsi="Cambria" w:hint="default"/>
          <w:b w:val="1"/>
          <w:bCs w:val="1"/>
          <w:rtl w:val="0"/>
          <w:lang w:val="en-US"/>
        </w:rPr>
        <w:t xml:space="preserve">̣ </w:t>
      </w:r>
      <w:r>
        <w:rPr>
          <w:rFonts w:ascii="Cambria" w:hAnsi="Cambria"/>
          <w:b w:val="1"/>
          <w:bCs w:val="1"/>
          <w:rtl w:val="0"/>
          <w:lang w:val="en-US"/>
        </w:rPr>
        <w:t xml:space="preserve">]  </w:t>
      </w:r>
      <w:r>
        <w:rPr>
          <w:rFonts w:ascii="Cambria" w:hAnsi="Cambria" w:hint="default"/>
          <w:b w:val="1"/>
          <w:bCs w:val="1"/>
          <w:rtl w:val="0"/>
          <w:lang w:val="en-US"/>
        </w:rPr>
        <w:t xml:space="preserve">̣  ̣ </w:t>
      </w:r>
      <w:r>
        <w:rPr>
          <w:rFonts w:ascii="Cambria" w:hAnsi="Cambria"/>
          <w:b w:val="1"/>
          <w:bCs w:val="1"/>
          <w:rtl w:val="0"/>
          <w:lang w:val="en-US"/>
        </w:rPr>
        <w:t>.</w:t>
      </w:r>
      <w:r>
        <w:rPr>
          <w:b w:val="1"/>
          <w:bCs w:val="1"/>
          <w:rtl w:val="0"/>
          <w:lang w:val="en-US"/>
        </w:rPr>
        <w:t xml:space="preserve"> </w:t>
      </w:r>
      <w:r>
        <w:rPr>
          <w:rtl w:val="0"/>
          <w:lang w:val="en-US"/>
        </w:rPr>
        <w:t>We have not been able to decipher the name of the addressee.</w:t>
      </w:r>
    </w:p>
    <w:p>
      <w:pPr>
        <w:pStyle w:val="Normal.0"/>
        <w:spacing w:line="360" w:lineRule="auto"/>
        <w:ind w:left="720" w:hanging="720"/>
        <w:jc w:val="both"/>
      </w:pPr>
      <w:r>
        <w:rPr>
          <w:rtl w:val="0"/>
          <w:lang w:val="en-US"/>
        </w:rPr>
        <w:t xml:space="preserve">The last letter was perhaps </w:t>
      </w:r>
      <w:r>
        <w:rPr>
          <w:rFonts w:ascii="IFAO-Grec Unicode" w:hAnsi="IFAO-Grec Unicode" w:hint="default"/>
          <w:rtl w:val="0"/>
          <w:lang w:val="en-US"/>
        </w:rPr>
        <w:t>ⲧ</w:t>
      </w:r>
      <w:r>
        <w:rPr>
          <w:rtl w:val="0"/>
          <w:lang w:val="en-US"/>
        </w:rPr>
        <w:t xml:space="preserve">, the one before could have been </w:t>
      </w:r>
      <w:r>
        <w:rPr>
          <w:rFonts w:ascii="IFAO-Grec Unicode" w:hAnsi="IFAO-Grec Unicode" w:hint="default"/>
          <w:rtl w:val="0"/>
          <w:lang w:val="en-US"/>
        </w:rPr>
        <w:t>ⲏ</w:t>
      </w:r>
      <w:r>
        <w:rPr>
          <w:rtl w:val="0"/>
          <w:lang w:val="en-US"/>
        </w:rPr>
        <w:t xml:space="preserve"> or </w:t>
      </w:r>
      <w:r>
        <w:rPr>
          <w:rFonts w:ascii="IFAO-Grec Unicode" w:hAnsi="IFAO-Grec Unicode" w:hint="default"/>
          <w:rtl w:val="0"/>
          <w:lang w:val="en-US"/>
        </w:rPr>
        <w:t>ϯ</w:t>
      </w:r>
      <w:r>
        <w:rPr>
          <w:rtl w:val="0"/>
          <w:lang w:val="en-US"/>
        </w:rPr>
        <w:t>.</w:t>
      </w:r>
    </w:p>
    <w:p>
      <w:pPr>
        <w:pStyle w:val="Normal.0"/>
        <w:spacing w:line="360" w:lineRule="auto"/>
        <w:jc w:val="both"/>
        <w:rPr>
          <w:rFonts w:ascii="Calibri" w:cs="Calibri" w:hAnsi="Calibri" w:eastAsia="Calibri"/>
        </w:rPr>
      </w:pPr>
      <w:r>
        <w:rPr>
          <w:rFonts w:ascii="Cambria" w:hAnsi="Cambria"/>
          <w:b w:val="1"/>
          <w:bCs w:val="1"/>
          <w:rtl w:val="0"/>
          <w:lang w:val="en-US"/>
        </w:rPr>
        <w:t>3 [</w:t>
      </w:r>
      <w:r>
        <w:rPr>
          <w:rFonts w:ascii="Arial Unicode MS" w:cs="Arial Unicode MS" w:hAnsi="Arial Unicode MS" w:eastAsia="Arial Unicode MS" w:hint="default"/>
          <w:b w:val="0"/>
          <w:bCs w:val="0"/>
          <w:i w:val="0"/>
          <w:iCs w:val="0"/>
          <w:rtl w:val="0"/>
          <w:lang w:val="en-US"/>
        </w:rPr>
        <w:t>ⲧ</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ⲉⲕⲙⲓⲥⲧⲏⲥ</w:t>
      </w:r>
      <w:r>
        <w:rPr>
          <w:rFonts w:ascii="Antinoou" w:hAnsi="Antinoou"/>
          <w:rtl w:val="0"/>
          <w:lang w:val="en-US"/>
        </w:rPr>
        <w:t xml:space="preserve">. </w:t>
      </w:r>
      <w:r>
        <w:rPr>
          <w:rFonts w:ascii="Calibri" w:hAnsi="Calibri"/>
          <w:rtl w:val="0"/>
          <w:lang w:val="en-US"/>
        </w:rPr>
        <w:t xml:space="preserve">The context </w:t>
      </w:r>
      <w:r>
        <w:rPr>
          <w:rFonts w:ascii="Calibri" w:hAnsi="Calibri" w:hint="default"/>
          <w:rtl w:val="0"/>
          <w:lang w:val="en-US"/>
        </w:rPr>
        <w:t>“</w:t>
      </w:r>
      <w:r>
        <w:rPr>
          <w:rFonts w:ascii="Calibri" w:hAnsi="Calibri"/>
          <w:rtl w:val="0"/>
          <w:lang w:val="en-US"/>
        </w:rPr>
        <w:t xml:space="preserve">in keeping with the force of your </w:t>
      </w:r>
      <w:r>
        <w:rPr>
          <w:rFonts w:ascii="IFAO-Grec Unicode" w:hAnsi="IFAO-Grec Unicode" w:hint="default"/>
          <w:rtl w:val="0"/>
          <w:lang w:val="en-US"/>
        </w:rPr>
        <w:t>ⲙⲓⲥⲧⲏⲥ</w:t>
      </w:r>
      <w:r>
        <w:rPr>
          <w:rFonts w:ascii="Calibri" w:hAnsi="Calibri"/>
          <w:rtl w:val="0"/>
          <w:lang w:val="en-US"/>
        </w:rPr>
        <w:t xml:space="preserve"> which you drew up for me</w:t>
      </w:r>
      <w:r>
        <w:rPr>
          <w:rFonts w:ascii="Calibri" w:hAnsi="Calibri" w:hint="default"/>
          <w:rtl w:val="0"/>
          <w:lang w:val="en-US"/>
        </w:rPr>
        <w:t xml:space="preserve">” </w:t>
      </w:r>
      <w:r>
        <w:rPr>
          <w:rFonts w:ascii="Calibri" w:hAnsi="Calibri"/>
          <w:rtl w:val="0"/>
          <w:lang w:val="en-US"/>
        </w:rPr>
        <w:t xml:space="preserve">ensures that the word </w:t>
      </w:r>
      <w:bookmarkStart w:name="_Hlk78881735" w:id="1"/>
      <w:r>
        <w:rPr>
          <w:rFonts w:ascii="IFAO-Grec Unicode" w:hAnsi="IFAO-Grec Unicode" w:hint="default"/>
          <w:rtl w:val="0"/>
          <w:lang w:val="en-US"/>
        </w:rPr>
        <w:t>ⲙⲓⲥⲧⲏⲥ</w:t>
      </w:r>
      <w:bookmarkEnd w:id="1"/>
      <w:r>
        <w:rPr>
          <w:rFonts w:ascii="Cambria" w:hAnsi="Cambria"/>
          <w:b w:val="1"/>
          <w:bCs w:val="1"/>
          <w:rtl w:val="0"/>
          <w:lang w:val="en-US"/>
        </w:rPr>
        <w:t xml:space="preserve"> </w:t>
      </w:r>
      <w:r>
        <w:rPr>
          <w:rFonts w:ascii="Calibri" w:hAnsi="Calibri"/>
          <w:rtl w:val="0"/>
          <w:lang w:val="en-US"/>
        </w:rPr>
        <w:t>means</w:t>
      </w:r>
      <w:r>
        <w:rPr>
          <w:sz w:val="16"/>
          <w:szCs w:val="16"/>
          <w:rtl w:val="0"/>
          <w:lang w:val="en-US"/>
        </w:rPr>
        <w:t xml:space="preserve"> </w:t>
      </w:r>
      <w:r>
        <w:rPr>
          <w:rFonts w:ascii="Calibri" w:hAnsi="Calibri"/>
          <w:rtl w:val="0"/>
          <w:lang w:val="en-US"/>
        </w:rPr>
        <w:t xml:space="preserve">a (lease) document. Although the article is lost in a gap, its (female) gender becomes explicit in the resumptive pronoun </w:t>
      </w:r>
      <w:r>
        <w:rPr>
          <w:rFonts w:ascii="IFAO-Grec Unicode" w:hAnsi="IFAO-Grec Unicode" w:hint="default"/>
          <w:rtl w:val="0"/>
          <w:lang w:val="en-US"/>
        </w:rPr>
        <w:t>ⲥ</w:t>
      </w:r>
      <w:r>
        <w:rPr>
          <w:rFonts w:ascii="IFAO-Grec Unicode" w:hAnsi="IFAO-Grec Unicode"/>
          <w:rtl w:val="0"/>
          <w:lang w:val="en-US"/>
        </w:rPr>
        <w:t>(</w:t>
      </w:r>
      <w:r>
        <w:rPr>
          <w:rFonts w:ascii="IFAO-Grec Unicode" w:hAnsi="IFAO-Grec Unicode" w:hint="default"/>
          <w:rtl w:val="0"/>
          <w:lang w:val="en-US"/>
        </w:rPr>
        <w:t>ϩ</w:t>
      </w:r>
      <w:r>
        <w:rPr>
          <w:rFonts w:ascii="IFAO-Grec Unicode" w:hAnsi="IFAO-Grec Unicode"/>
          <w:rtl w:val="0"/>
          <w:lang w:val="en-US"/>
        </w:rPr>
        <w:t>)</w:t>
      </w:r>
      <w:r>
        <w:rPr>
          <w:rFonts w:ascii="IFAO-Grec Unicode" w:hAnsi="IFAO-Grec Unicode" w:hint="default"/>
          <w:rtl w:val="0"/>
          <w:lang w:val="en-US"/>
        </w:rPr>
        <w:t>ⲁⲓ</w:t>
      </w:r>
      <w:r>
        <w:rPr>
          <w:rFonts w:ascii="Antinoou" w:hAnsi="Antinoou" w:hint="default"/>
          <w:rtl w:val="0"/>
          <w:lang w:val="en-US"/>
        </w:rPr>
        <w:t>⸗</w:t>
      </w:r>
      <w:r>
        <w:rPr>
          <w:rFonts w:ascii="IFAO-Grec Unicode" w:hAnsi="IFAO-Grec Unicode" w:hint="default"/>
          <w:rtl w:val="0"/>
          <w:lang w:val="en-US"/>
        </w:rPr>
        <w:t>ⲥ</w:t>
      </w:r>
      <w:r>
        <w:rPr>
          <w:rFonts w:ascii="Calibri" w:hAnsi="Calibri"/>
          <w:rtl w:val="0"/>
          <w:lang w:val="en-US"/>
        </w:rPr>
        <w:t xml:space="preserve">. Despite unparalleled morphological anomalies, including the unusual replacement of </w:t>
      </w:r>
      <w:r>
        <w:rPr>
          <w:rFonts w:ascii="IFAO-Grec Unicode" w:hAnsi="IFAO-Grec Unicode" w:hint="default"/>
          <w:rtl w:val="0"/>
          <w:lang w:val="en-US"/>
        </w:rPr>
        <w:t xml:space="preserve">ⲑ </w:t>
      </w:r>
      <w:r>
        <w:rPr>
          <w:rFonts w:ascii="Calibri" w:hAnsi="Calibri"/>
          <w:rtl w:val="0"/>
          <w:lang w:val="en-US"/>
        </w:rPr>
        <w:t xml:space="preserve">by </w:t>
      </w:r>
      <w:r>
        <w:rPr>
          <w:rFonts w:ascii="IFAO-Grec Unicode" w:hAnsi="IFAO-Grec Unicode" w:hint="default"/>
          <w:rtl w:val="0"/>
          <w:lang w:val="en-US"/>
        </w:rPr>
        <w:t>ⲧ</w:t>
      </w:r>
      <w:r>
        <w:rPr>
          <w:rFonts w:ascii="Calibri" w:hAnsi="Calibri"/>
          <w:rtl w:val="0"/>
          <w:lang w:val="en-US"/>
        </w:rPr>
        <w:t xml:space="preserve"> (as again in </w:t>
      </w:r>
      <w:r>
        <w:rPr>
          <w:rFonts w:ascii="IFAO-Grec Unicode" w:hAnsi="IFAO-Grec Unicode" w:hint="default"/>
          <w:rtl w:val="0"/>
          <w:lang w:val="en-US"/>
        </w:rPr>
        <w:t>ⲙⲓⲥⲧⲟⲩ</w:t>
      </w:r>
      <w:r>
        <w:rPr>
          <w:rFonts w:ascii="Calibri" w:hAnsi="Calibri"/>
          <w:rtl w:val="0"/>
          <w:lang w:val="en-US"/>
        </w:rPr>
        <w:t xml:space="preserve"> l. 9), there can be no doubt that it stands for </w:t>
      </w:r>
      <w:r>
        <w:rPr>
          <w:rFonts w:ascii="IFAO-Grec Unicode" w:hAnsi="IFAO-Grec Unicode" w:hint="default"/>
          <w:rtl w:val="0"/>
          <w:lang w:val="en-US"/>
        </w:rPr>
        <w:t>μίσθωσις</w:t>
      </w:r>
      <w:r>
        <w:rPr>
          <w:rFonts w:ascii="Calibri" w:hAnsi="Calibri"/>
          <w:rtl w:val="0"/>
          <w:lang w:val="en-US"/>
        </w:rPr>
        <w:t xml:space="preserve">, the standard type of lease document which was, by default, drawn up by the lessee for the lessor. </w:t>
      </w:r>
    </w:p>
    <w:p>
      <w:pPr>
        <w:pStyle w:val="Normal.0"/>
        <w:spacing w:line="360" w:lineRule="auto"/>
        <w:jc w:val="both"/>
      </w:pPr>
      <w:r>
        <w:rPr>
          <w:b w:val="1"/>
          <w:bCs w:val="1"/>
          <w:rtl w:val="0"/>
          <w:lang w:val="en-US"/>
        </w:rPr>
        <w:t xml:space="preserve">4 </w:t>
      </w:r>
      <w:r>
        <w:rPr>
          <w:rFonts w:ascii="Cambria" w:hAnsi="Cambria" w:hint="default"/>
          <w:b w:val="1"/>
          <w:bCs w:val="1"/>
          <w:rtl w:val="0"/>
          <w:lang w:val="en-US"/>
        </w:rPr>
        <w:t>ϯ</w:t>
      </w:r>
      <w:r>
        <w:rPr>
          <w:rFonts w:ascii="Arial Unicode MS" w:cs="Arial Unicode MS" w:hAnsi="Arial Unicode MS" w:eastAsia="Arial Unicode MS" w:hint="default"/>
          <w:b w:val="0"/>
          <w:bCs w:val="0"/>
          <w:i w:val="0"/>
          <w:iCs w:val="0"/>
          <w:rtl w:val="0"/>
          <w:lang w:val="en-US"/>
        </w:rPr>
        <w:t>ⲕⲟⲩⲫⲓⲥⲉ</w:t>
      </w:r>
      <w:r>
        <w:rPr>
          <w:rFonts w:ascii="Cambria" w:hAnsi="Cambria"/>
          <w:b w:val="1"/>
          <w:bCs w:val="1"/>
          <w:rtl w:val="0"/>
          <w:lang w:val="en-US"/>
        </w:rPr>
        <w:t>.</w:t>
      </w:r>
      <w:r>
        <w:rPr>
          <w:rtl w:val="0"/>
          <w:lang w:val="en-US"/>
        </w:rPr>
        <w:t xml:space="preserve"> The Greek fiscal term </w:t>
      </w:r>
      <w:r>
        <w:rPr>
          <w:rFonts w:ascii="IFAO-Grec Unicode" w:hAnsi="IFAO-Grec Unicode" w:hint="default"/>
          <w:rtl w:val="0"/>
          <w:lang w:val="en-US"/>
        </w:rPr>
        <w:t>κουφίζω</w:t>
      </w:r>
      <w:r>
        <w:rPr>
          <w:rtl w:val="0"/>
          <w:lang w:val="en-US"/>
        </w:rPr>
        <w:t xml:space="preserve"> ‘</w:t>
      </w:r>
      <w:r>
        <w:rPr>
          <w:rtl w:val="0"/>
          <w:lang w:val="en-US"/>
        </w:rPr>
        <w:t>to relieve</w:t>
      </w:r>
      <w:r>
        <w:rPr>
          <w:rtl w:val="0"/>
          <w:lang w:val="en-US"/>
        </w:rPr>
        <w:t>’</w:t>
      </w:r>
      <w:r>
        <w:rPr>
          <w:rtl w:val="0"/>
          <w:lang w:val="en-US"/>
        </w:rPr>
        <w:t>, is well attested in Coptic documentary papyri, see F</w:t>
      </w:r>
      <w:r>
        <w:rPr>
          <w:rtl w:val="0"/>
          <w:lang w:val="en-US"/>
        </w:rPr>
        <w:t>ö</w:t>
      </w:r>
      <w:r>
        <w:rPr>
          <w:rtl w:val="0"/>
          <w:lang w:val="en-US"/>
        </w:rPr>
        <w:t>rster 2002, s.v.</w:t>
      </w:r>
    </w:p>
    <w:p>
      <w:pPr>
        <w:pStyle w:val="Normal.0"/>
        <w:spacing w:line="360" w:lineRule="auto"/>
        <w:jc w:val="both"/>
        <w:rPr>
          <w:b w:val="1"/>
          <w:bCs w:val="1"/>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ⲧⲥⲓⲧⲓⲓ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ⲱ</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ⲉ</w:t>
      </w:r>
      <w:r>
        <w:rPr>
          <w:rFonts w:ascii="Cambria" w:hAnsi="Cambria"/>
          <w:b w:val="1"/>
          <w:bCs w:val="1"/>
          <w:rtl w:val="0"/>
          <w:lang w:val="en-US"/>
        </w:rPr>
        <w:t>.</w:t>
      </w:r>
      <w:r>
        <w:rPr>
          <w:rFonts w:ascii="Antinoou" w:hAnsi="Antinoou"/>
          <w:rtl w:val="0"/>
          <w:lang w:val="en-US"/>
        </w:rPr>
        <w:t xml:space="preserve"> </w:t>
      </w:r>
      <w:r>
        <w:rPr>
          <w:rtl w:val="0"/>
          <w:lang w:val="en-US"/>
        </w:rPr>
        <w:t>For this term, see Richter 2008</w:t>
      </w:r>
      <w:r>
        <w:rPr>
          <w:vertAlign w:val="superscript"/>
          <w:rtl w:val="0"/>
          <w:lang w:val="en-US"/>
        </w:rPr>
        <w:t>2</w:t>
      </w:r>
      <w:r>
        <w:rPr>
          <w:rtl w:val="0"/>
          <w:lang w:val="en-US"/>
        </w:rPr>
        <w:t xml:space="preserve">, s.v. </w:t>
      </w:r>
      <w:r>
        <w:rPr>
          <w:rFonts w:ascii="IFAO-Grec Unicode" w:hAnsi="IFAO-Grec Unicode" w:hint="default"/>
          <w:rtl w:val="0"/>
          <w:lang w:val="en-US"/>
        </w:rPr>
        <w:t>ⲥⲉⲧⲉⲓⲱϩⲉ</w:t>
      </w:r>
      <w:r>
        <w:rPr>
          <w:rFonts w:ascii="IFAO-Grec Unicode" w:hAnsi="IFAO-Grec Unicode"/>
          <w:rtl w:val="0"/>
          <w:lang w:val="en-US"/>
        </w:rPr>
        <w:t>.</w:t>
      </w:r>
    </w:p>
    <w:p>
      <w:pPr>
        <w:pStyle w:val="Normal.0"/>
        <w:spacing w:line="360" w:lineRule="auto"/>
        <w:jc w:val="both"/>
        <w:rPr>
          <w:rFonts w:ascii="Calibri" w:cs="Calibri" w:hAnsi="Calibri" w:eastAsia="Calibri"/>
          <w:outline w:val="0"/>
          <w:color w:val="000000"/>
          <w:u w:color="000000"/>
          <w14:textFill>
            <w14:solidFill>
              <w14:srgbClr w14:val="000000"/>
            </w14:solidFill>
          </w14:textFill>
        </w:rPr>
      </w:pPr>
      <w:r>
        <w:rPr>
          <w:b w:val="1"/>
          <w:bCs w:val="1"/>
          <w:rtl w:val="0"/>
          <w:lang w:val="en-US"/>
        </w:rPr>
        <w:t xml:space="preserve">6 </w:t>
      </w:r>
      <w:r>
        <w:rPr>
          <w:rFonts w:ascii="Arial Unicode MS" w:cs="Arial Unicode MS" w:hAnsi="Arial Unicode MS" w:eastAsia="Arial Unicode MS" w:hint="default"/>
          <w:b w:val="0"/>
          <w:bCs w:val="0"/>
          <w:i w:val="0"/>
          <w:iCs w:val="0"/>
          <w:rtl w:val="0"/>
          <w:lang w:val="en-US"/>
        </w:rPr>
        <w:t>ⲙ</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ⲫⲟⲓ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ⲓⲃⲱⲩ</w:t>
      </w:r>
      <w:r>
        <w:rPr>
          <w:rFonts w:ascii="Cambria" w:hAnsi="Cambria" w:hint="default"/>
          <w:b w:val="1"/>
          <w:bCs w:val="1"/>
          <w:rtl w:val="0"/>
          <w:lang w:val="en-US"/>
        </w:rPr>
        <w:t>̈</w:t>
      </w:r>
      <w:r>
        <w:rPr>
          <w:rFonts w:ascii="Cambria" w:hAnsi="Cambria"/>
          <w:b w:val="1"/>
          <w:bCs w:val="1"/>
          <w:rtl w:val="0"/>
          <w:lang w:val="en-US"/>
        </w:rPr>
        <w:t>.</w:t>
      </w:r>
      <w:r>
        <w:rPr>
          <w:rtl w:val="0"/>
          <w:lang w:val="en-US"/>
        </w:rPr>
        <w:t xml:space="preserve"> As far as we know, the toponym Hibou has not been attested </w:t>
      </w:r>
      <w:r>
        <w:rPr>
          <w:outline w:val="0"/>
          <w:color w:val="000000"/>
          <w:u w:color="000000"/>
          <w:rtl w:val="0"/>
          <w:lang w:val="en-US"/>
          <w14:textFill>
            <w14:solidFill>
              <w14:srgbClr w14:val="000000"/>
            </w14:solidFill>
          </w14:textFill>
        </w:rPr>
        <w:t xml:space="preserve">yet. For the meaning of </w:t>
      </w:r>
      <w:r>
        <w:rPr>
          <w:rFonts w:ascii="IFAO-Grec Unicode" w:hAnsi="IFAO-Grec Unicode" w:hint="default"/>
          <w:outline w:val="0"/>
          <w:color w:val="000000"/>
          <w:u w:color="000000"/>
          <w:rtl w:val="0"/>
          <w:lang w:val="en-US"/>
          <w14:textFill>
            <w14:solidFill>
              <w14:srgbClr w14:val="000000"/>
            </w14:solidFill>
          </w14:textFill>
        </w:rPr>
        <w:t>ϩⲟⲓ</w:t>
      </w:r>
      <w:r>
        <w:rPr>
          <w:rFonts w:ascii="IFAO-Grec Unicode" w:hAnsi="IFAO-Grec Unicode" w:hint="default"/>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water wheel, plot of land irrigated by a water wheel, thus, irrigated land</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see </w:t>
      </w:r>
      <w:r>
        <w:rPr>
          <w:rtl w:val="0"/>
          <w:lang w:val="en-US"/>
        </w:rPr>
        <w:t>Richter 2008</w:t>
      </w:r>
      <w:r>
        <w:rPr>
          <w:vertAlign w:val="superscript"/>
          <w:rtl w:val="0"/>
          <w:lang w:val="en-US"/>
        </w:rPr>
        <w:t>2</w:t>
      </w:r>
      <w:r>
        <w:rPr>
          <w:rtl w:val="0"/>
          <w:lang w:val="en-US"/>
        </w:rPr>
        <w:t>,</w:t>
      </w:r>
      <w:r>
        <w:rPr>
          <w:i w:val="1"/>
          <w:iCs w:val="1"/>
          <w:rtl w:val="0"/>
          <w:lang w:val="en-US"/>
        </w:rPr>
        <w:t xml:space="preserve"> </w:t>
      </w:r>
      <w:r>
        <w:rPr>
          <w:outline w:val="0"/>
          <w:color w:val="000000"/>
          <w:u w:color="000000"/>
          <w:rtl w:val="0"/>
          <w:lang w:val="en-US"/>
          <w14:textFill>
            <w14:solidFill>
              <w14:srgbClr w14:val="000000"/>
            </w14:solidFill>
          </w14:textFill>
        </w:rPr>
        <w:t>s.v.</w:t>
      </w:r>
      <w:r>
        <w:rPr>
          <w:rFonts w:ascii="IFAO-Grec Unicode" w:hAnsi="IFAO-Grec Unicode" w:hint="default"/>
          <w:outline w:val="0"/>
          <w:color w:val="000000"/>
          <w:u w:color="000000"/>
          <w:rtl w:val="0"/>
          <w:lang w:val="en-US"/>
          <w14:textFill>
            <w14:solidFill>
              <w14:srgbClr w14:val="000000"/>
            </w14:solidFill>
          </w14:textFill>
        </w:rPr>
        <w:t xml:space="preserve"> ϩⲟⲓ </w:t>
      </w:r>
      <w:r>
        <w:rPr>
          <w:rFonts w:ascii="Calibri" w:hAnsi="Calibri"/>
          <w:outline w:val="0"/>
          <w:color w:val="000000"/>
          <w:u w:color="000000"/>
          <w:rtl w:val="0"/>
          <w:lang w:val="en-US"/>
          <w14:textFill>
            <w14:solidFill>
              <w14:srgbClr w14:val="000000"/>
            </w14:solidFill>
          </w14:textFill>
        </w:rPr>
        <w:t xml:space="preserve">I. The fact that this plot received irrigation by a water-lifting device indicates that the accident which triggered </w:t>
      </w:r>
      <w:r>
        <w:rPr>
          <w:rFonts w:ascii="Calibri" w:hAnsi="Calibri"/>
          <w:i w:val="1"/>
          <w:iCs w:val="1"/>
          <w:outline w:val="0"/>
          <w:color w:val="000000"/>
          <w:u w:color="000000"/>
          <w:rtl w:val="0"/>
          <w:lang w:val="en-US"/>
          <w14:textFill>
            <w14:solidFill>
              <w14:srgbClr w14:val="000000"/>
            </w14:solidFill>
          </w14:textFill>
        </w:rPr>
        <w:t>remissio</w:t>
      </w:r>
      <w:r>
        <w:rPr>
          <w:rFonts w:ascii="Calibri" w:hAnsi="Calibri"/>
          <w:outline w:val="0"/>
          <w:color w:val="000000"/>
          <w:u w:color="000000"/>
          <w:rtl w:val="0"/>
          <w:lang w:val="en-US"/>
          <w14:textFill>
            <w14:solidFill>
              <w14:srgbClr w14:val="000000"/>
            </w14:solidFill>
          </w14:textFill>
        </w:rPr>
        <w:t xml:space="preserve"> </w:t>
      </w:r>
      <w:r>
        <w:rPr>
          <w:rFonts w:ascii="Calibri" w:hAnsi="Calibri"/>
          <w:i w:val="1"/>
          <w:iCs w:val="1"/>
          <w:outline w:val="0"/>
          <w:color w:val="000000"/>
          <w:u w:color="000000"/>
          <w:rtl w:val="0"/>
          <w:lang w:val="en-US"/>
          <w14:textFill>
            <w14:solidFill>
              <w14:srgbClr w14:val="000000"/>
            </w14:solidFill>
          </w14:textFill>
        </w:rPr>
        <w:t>mercedis</w:t>
      </w:r>
      <w:r>
        <w:rPr>
          <w:rFonts w:ascii="Calibri" w:hAnsi="Calibri"/>
          <w:outline w:val="0"/>
          <w:color w:val="000000"/>
          <w:u w:color="000000"/>
          <w:rtl w:val="0"/>
          <w:lang w:val="en-US"/>
          <w14:textFill>
            <w14:solidFill>
              <w14:srgbClr w14:val="000000"/>
            </w14:solidFill>
          </w14:textFill>
        </w:rPr>
        <w:t xml:space="preserve"> was probably not caused by the flood.</w:t>
      </w:r>
    </w:p>
    <w:p>
      <w:pPr>
        <w:pStyle w:val="Normal.0"/>
        <w:spacing w:line="360" w:lineRule="auto"/>
        <w:jc w:val="both"/>
        <w:rPr>
          <w:outline w:val="0"/>
          <w:color w:val="000000"/>
          <w:u w:color="000000"/>
          <w14:textFill>
            <w14:solidFill>
              <w14:srgbClr w14:val="000000"/>
            </w14:solidFill>
          </w14:textFill>
        </w:rPr>
      </w:pPr>
      <w:r>
        <w:rPr>
          <w:b w:val="1"/>
          <w:bCs w:val="1"/>
          <w:rtl w:val="0"/>
          <w:lang w:val="en-US"/>
        </w:rPr>
        <w:t xml:space="preserve">8 </w:t>
      </w:r>
      <w:r>
        <w:rPr>
          <w:rFonts w:ascii="Arial Unicode MS" w:cs="Arial Unicode MS" w:hAnsi="Arial Unicode MS" w:eastAsia="Arial Unicode MS" w:hint="default"/>
          <w:b w:val="0"/>
          <w:bCs w:val="0"/>
          <w:i w:val="0"/>
          <w:iCs w:val="0"/>
          <w:rtl w:val="0"/>
          <w:lang w:val="en-US"/>
        </w:rPr>
        <w:t>ⲡⲉⲕ</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rtl w:val="0"/>
          <w:lang w:val="en-US"/>
        </w:rPr>
        <w:t>ⲟⲥ</w:t>
      </w:r>
      <w:r>
        <w:rPr>
          <w:rFonts w:ascii="Cambria" w:hAnsi="Cambria"/>
          <w:b w:val="1"/>
          <w:bCs w:val="1"/>
          <w:rtl w:val="0"/>
          <w:lang w:val="en-US"/>
        </w:rPr>
        <w:t>.</w:t>
      </w:r>
      <w:r>
        <w:rPr>
          <w:rFonts w:ascii="IFAO-Grec Unicode" w:hAnsi="IFAO-Grec Unicode"/>
          <w:rtl w:val="0"/>
          <w:lang w:val="en-US"/>
        </w:rPr>
        <w:t xml:space="preserve"> </w:t>
      </w:r>
      <w:r>
        <w:rPr>
          <w:rtl w:val="0"/>
          <w:lang w:val="en-US"/>
        </w:rPr>
        <w:t xml:space="preserve">This verb, meaning </w:t>
      </w:r>
      <w:r>
        <w:rPr>
          <w:rtl w:val="0"/>
          <w:lang w:val="en-US"/>
        </w:rPr>
        <w:t>“</w:t>
      </w:r>
      <w:r>
        <w:rPr>
          <w:rtl w:val="0"/>
          <w:lang w:val="en-US"/>
        </w:rPr>
        <w:t>to sow</w:t>
      </w:r>
      <w:r>
        <w:rPr>
          <w:rtl w:val="0"/>
          <w:lang w:val="en-US"/>
        </w:rPr>
        <w:t>”</w:t>
      </w:r>
      <w:r>
        <w:rPr>
          <w:rtl w:val="0"/>
          <w:lang w:val="en-US"/>
        </w:rPr>
        <w:t xml:space="preserve">, is standard in Coptic lease documents, see </w:t>
      </w:r>
      <w:r>
        <w:rPr>
          <w:rtl w:val="0"/>
          <w:lang w:val="en-US"/>
        </w:rPr>
        <w:t>Richter 2008</w:t>
      </w:r>
      <w:r>
        <w:rPr>
          <w:vertAlign w:val="superscript"/>
          <w:rtl w:val="0"/>
          <w:lang w:val="en-US"/>
        </w:rPr>
        <w:t>2</w:t>
      </w:r>
      <w:r>
        <w:rPr>
          <w:rtl w:val="0"/>
          <w:lang w:val="en-US"/>
        </w:rPr>
        <w:t xml:space="preserve">, s.v. </w:t>
      </w:r>
      <w:r>
        <w:rPr>
          <w:rFonts w:ascii="IFAO-Grec Unicode" w:hAnsi="IFAO-Grec Unicode" w:hint="default"/>
          <w:rtl w:val="0"/>
          <w:lang w:val="en-US"/>
        </w:rPr>
        <w:t>ϫⲟ</w:t>
      </w:r>
      <w:r>
        <w:rPr>
          <w:rtl w:val="0"/>
          <w:lang w:val="en-US"/>
        </w:rPr>
        <w:t xml:space="preserve">; it </w:t>
      </w:r>
      <w:r>
        <w:rPr>
          <w:outline w:val="0"/>
          <w:color w:val="000000"/>
          <w:u w:color="000000"/>
          <w:rtl w:val="0"/>
          <w:lang w:val="en-US"/>
          <w14:textFill>
            <w14:solidFill>
              <w14:srgbClr w14:val="000000"/>
            </w14:solidFill>
          </w14:textFill>
        </w:rPr>
        <w:t xml:space="preserve">epitomizes the whole range of agricultural work to be done by the tenant. </w:t>
      </w:r>
      <w:r>
        <w:rPr>
          <w:outline w:val="0"/>
          <w:color w:val="000000"/>
          <w:u w:color="000000"/>
          <w:rtl w:val="0"/>
          <w:lang w:val="en-US"/>
          <w14:textFill>
            <w14:solidFill>
              <w14:srgbClr w14:val="000000"/>
            </w14:solidFill>
          </w14:textFill>
        </w:rPr>
        <w:t xml:space="preserve">Compare the wording of the </w:t>
      </w:r>
      <w:r>
        <w:rPr>
          <w:i w:val="1"/>
          <w:iCs w:val="1"/>
          <w:outline w:val="0"/>
          <w:color w:val="000000"/>
          <w:u w:color="000000"/>
          <w:rtl w:val="0"/>
          <w:lang w:val="en-US"/>
          <w14:textFill>
            <w14:solidFill>
              <w14:srgbClr w14:val="000000"/>
            </w14:solidFill>
          </w14:textFill>
        </w:rPr>
        <w:t>abrochos</w:t>
      </w:r>
      <w:r>
        <w:rPr>
          <w:outline w:val="0"/>
          <w:color w:val="000000"/>
          <w:u w:color="000000"/>
          <w:rtl w:val="0"/>
          <w:lang w:val="en-US"/>
          <w14:textFill>
            <w14:solidFill>
              <w14:srgbClr w14:val="000000"/>
            </w14:solidFill>
          </w14:textFill>
        </w:rPr>
        <w:t xml:space="preserve"> clause in P.Ryl.Copt. 158, a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from Ashmunein (line 28</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29): </w:t>
      </w:r>
      <w:r>
        <w:rPr>
          <w:rFonts w:ascii="IFAO-Grec Unicode" w:hAnsi="IFAO-Grec Unicode" w:hint="default"/>
          <w:outline w:val="0"/>
          <w:color w:val="000000"/>
          <w:u w:color="000000"/>
          <w:rtl w:val="0"/>
          <w:lang w:val="de-DE"/>
          <w14:textFill>
            <w14:solidFill>
              <w14:srgbClr w14:val="000000"/>
            </w14:solidFill>
          </w14:textFill>
        </w:rPr>
        <w:t>ⲡϣⲟ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ⲇⲉ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ⲙⲏ</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ⲅⲉⲛⲟⲓⲧⲟ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ⲉϥϣⲁⲛϣⲱⲡⲉ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ⲛⲡⲓϫⲟ</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ⲕⲁⲛ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ⲁϩⲱⲃ</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ⲛⲓⲙ</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ⲉⲡⲁⲡⲛⲟⲩⲧⲉ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ϣⲱⲡⲉ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ⲧⲁⲧⲓ</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ⲧⲡⲁϣⲉ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de-DE"/>
          <w14:textFill>
            <w14:solidFill>
              <w14:srgbClr w14:val="000000"/>
            </w14:solidFill>
          </w14:textFill>
        </w:rPr>
        <w:t>ⲛⲡⲓⲫⲟⲣⲟⲥ</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 for the sand [i.e. dusty, unwatered soil], if it happens (may it not happen!) no matter whether I have tilled or not tilled (</w:t>
      </w:r>
      <w:r>
        <w:rPr>
          <w:rFonts w:ascii="IFAO-Grec Unicode" w:hAnsi="IFAO-Grec Unicode" w:hint="default"/>
          <w:outline w:val="0"/>
          <w:color w:val="000000"/>
          <w:u w:color="000000"/>
          <w:rtl w:val="0"/>
          <w:lang w:val="de-DE"/>
          <w14:textFill>
            <w14:solidFill>
              <w14:srgbClr w14:val="000000"/>
            </w14:solidFill>
          </w14:textFill>
        </w:rPr>
        <w:t>ⲛⲡⲓϫⲟ</w:t>
      </w:r>
      <w:r>
        <w:rPr>
          <w:outline w:val="0"/>
          <w:color w:val="000000"/>
          <w:u w:color="000000"/>
          <w:rtl w:val="0"/>
          <w:lang w:val="en-US"/>
          <w14:textFill>
            <w14:solidFill>
              <w14:srgbClr w14:val="000000"/>
            </w14:solidFill>
          </w14:textFill>
        </w:rPr>
        <w:t>), or whether anything belonging to God should have happened, I will give you the half of this rent.</w:t>
      </w:r>
      <w:r>
        <w:rPr>
          <w:outline w:val="0"/>
          <w:color w:val="000000"/>
          <w:u w:color="000000"/>
          <w:rtl w:val="0"/>
          <w:lang w:val="en-US"/>
          <w14:textFill>
            <w14:solidFill>
              <w14:srgbClr w14:val="000000"/>
            </w14:solidFill>
          </w14:textFill>
        </w:rPr>
        <w:t xml:space="preserve">” </w:t>
      </w:r>
    </w:p>
    <w:p>
      <w:pPr>
        <w:pStyle w:val="Normal.0"/>
        <w:spacing w:line="360" w:lineRule="auto"/>
        <w:jc w:val="both"/>
        <w:rPr>
          <w:rFonts w:ascii="Calibri" w:cs="Calibri" w:hAnsi="Calibri" w:eastAsia="Calibri"/>
        </w:rPr>
      </w:pPr>
      <w:r>
        <w:rPr>
          <w:rFonts w:ascii="Calibri" w:hAnsi="Calibri"/>
          <w:b w:val="1"/>
          <w:bCs w:val="1"/>
          <w:rtl w:val="0"/>
          <w:lang w:val="en-US"/>
        </w:rPr>
        <w:t>9-10</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ⲕⲁⲧⲁ</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ⲡⲁ</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ⲟⲩⲱⲱⲛ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̄ϣ</w:t>
      </w:r>
      <w:r>
        <w:rPr>
          <w:rFonts w:ascii="Arial Unicode MS" w:cs="Arial Unicode MS" w:hAnsi="Arial Unicode MS" w:eastAsia="Arial Unicode MS" w:hint="default"/>
          <w:b w:val="0"/>
          <w:bCs w:val="0"/>
          <w:i w:val="0"/>
          <w:iCs w:val="0"/>
          <w:rtl w:val="0"/>
          <w:lang w:val="en-US"/>
        </w:rPr>
        <w:t>ⲟⲙⲏ</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w:t>
      </w:r>
      <w:r>
        <w:rPr>
          <w:rFonts w:ascii="IFAO-Grec Unicode" w:hAnsi="IFAO-Grec Unicode"/>
          <w:rtl w:val="0"/>
          <w:lang w:val="en-US"/>
        </w:rPr>
        <w:t>:</w:t>
      </w:r>
      <w:r>
        <w:rPr>
          <w:rFonts w:ascii="Calibri" w:hAnsi="Calibri" w:hint="default"/>
          <w:rtl w:val="0"/>
          <w:lang w:val="en-US"/>
        </w:rPr>
        <w:t xml:space="preserve"> “</w:t>
      </w:r>
      <w:r>
        <w:rPr>
          <w:rFonts w:ascii="Calibri" w:hAnsi="Calibri"/>
          <w:rtl w:val="0"/>
          <w:lang w:val="en-US"/>
        </w:rPr>
        <w:t>according to my third share</w:t>
      </w:r>
      <w:r>
        <w:rPr>
          <w:rFonts w:ascii="Calibri" w:hAnsi="Calibri" w:hint="default"/>
          <w:rtl w:val="0"/>
          <w:lang w:val="en-US"/>
        </w:rPr>
        <w:t xml:space="preserve">” </w:t>
      </w:r>
      <w:r>
        <w:rPr>
          <w:rFonts w:ascii="Calibri" w:hAnsi="Calibri"/>
          <w:rtl w:val="0"/>
          <w:lang w:val="en-US"/>
        </w:rPr>
        <w:t xml:space="preserve">might mean, according to the agreement in the original lease document that the lessor is entitled to receive the third share of the full, unreduced rent amount in the case of </w:t>
      </w:r>
      <w:r>
        <w:rPr>
          <w:rFonts w:ascii="Calibri" w:hAnsi="Calibri"/>
          <w:i w:val="1"/>
          <w:iCs w:val="1"/>
          <w:rtl w:val="0"/>
          <w:lang w:val="en-US"/>
        </w:rPr>
        <w:t>remissio mercedis</w:t>
      </w:r>
      <w:r>
        <w:rPr>
          <w:rFonts w:ascii="Calibri" w:hAnsi="Calibri"/>
          <w:rtl w:val="0"/>
          <w:lang w:val="en-US"/>
        </w:rPr>
        <w:t>.</w:t>
      </w:r>
    </w:p>
    <w:p>
      <w:pPr>
        <w:pStyle w:val="Normal.0"/>
        <w:spacing w:line="360" w:lineRule="auto"/>
        <w:jc w:val="both"/>
      </w:pPr>
      <w:r>
        <w:rPr>
          <w:b w:val="1"/>
          <w:bCs w:val="1"/>
          <w:rtl w:val="0"/>
          <w:lang w:val="en-US"/>
        </w:rPr>
        <w:t>11</w:t>
      </w:r>
      <w:r>
        <w:rPr>
          <w:b w:val="1"/>
          <w:bCs w:val="1"/>
          <w:rtl w:val="0"/>
          <w:lang w:val="en-US"/>
        </w:rPr>
        <w:t>–</w:t>
      </w:r>
      <w:r>
        <w:rPr>
          <w:b w:val="1"/>
          <w:bCs w:val="1"/>
          <w:rtl w:val="0"/>
          <w:lang w:val="en-US"/>
        </w:rPr>
        <w:t xml:space="preserve">12 </w:t>
      </w:r>
      <w:r>
        <w:rPr>
          <w:rFonts w:ascii="Cambria" w:hAnsi="Cambria" w:hint="default"/>
          <w:b w:val="1"/>
          <w:bCs w:val="1"/>
          <w:rtl w:val="0"/>
          <w:lang w:val="en-US"/>
        </w:rPr>
        <w:t xml:space="preserve">στοιχῖ μη τὴν </w:t>
      </w:r>
      <w:r>
        <w:rPr>
          <w:rFonts w:ascii="Cambria" w:hAnsi="Cambria"/>
          <w:b w:val="1"/>
          <w:bCs w:val="1"/>
          <w:rtl w:val="0"/>
          <w:lang w:val="en-US"/>
        </w:rPr>
        <w:t xml:space="preserve">| </w:t>
      </w:r>
      <w:r>
        <w:rPr>
          <w:rFonts w:ascii="Cambria" w:hAnsi="Cambria" w:hint="default"/>
          <w:b w:val="1"/>
          <w:bCs w:val="1"/>
          <w:rtl w:val="0"/>
          <w:lang w:val="en-US"/>
        </w:rPr>
        <w:t>χῖραν</w:t>
      </w:r>
      <w:r>
        <w:rPr>
          <w:rFonts w:ascii="Cambria" w:hAnsi="Cambria"/>
          <w:b w:val="1"/>
          <w:bCs w:val="1"/>
          <w:rtl w:val="0"/>
          <w:lang w:val="en-US"/>
        </w:rPr>
        <w:t>.</w:t>
      </w:r>
      <w:r>
        <w:rPr>
          <w:rtl w:val="0"/>
          <w:lang w:val="en-US"/>
        </w:rPr>
        <w:t xml:space="preserve"> This grammatically incorrect phrase recurs in the subscriptions of P.Stras. 4 287.7</w:t>
      </w:r>
      <w:r>
        <w:rPr>
          <w:rtl w:val="0"/>
          <w:lang w:val="en-US"/>
        </w:rPr>
        <w:t>–</w:t>
      </w:r>
      <w:r>
        <w:rPr>
          <w:rtl w:val="0"/>
          <w:lang w:val="en-US"/>
        </w:rPr>
        <w:t>10 (Herm., 6</w:t>
      </w:r>
      <w:r>
        <w:rPr>
          <w:vertAlign w:val="superscript"/>
          <w:rtl w:val="0"/>
          <w:lang w:val="en-US"/>
        </w:rPr>
        <w:t xml:space="preserve">th </w:t>
      </w:r>
      <w:r>
        <w:rPr>
          <w:rtl w:val="0"/>
          <w:lang w:val="en-US"/>
        </w:rPr>
        <w:t>c.).</w:t>
      </w:r>
      <w:r>
        <w:rPr>
          <w:vertAlign w:val="superscript"/>
        </w:rPr>
        <w:footnoteReference w:id="10"/>
      </w:r>
      <w:r>
        <w:rPr>
          <w:rtl w:val="0"/>
          <w:lang w:val="en-US"/>
        </w:rPr>
        <w:t xml:space="preserve"> As discussed by Jean Straus in the note </w:t>
      </w:r>
      <w:r>
        <w:rPr>
          <w:i w:val="1"/>
          <w:iCs w:val="1"/>
          <w:rtl w:val="0"/>
          <w:lang w:val="en-US"/>
        </w:rPr>
        <w:t>ad locum</w:t>
      </w:r>
      <w:r>
        <w:rPr>
          <w:rtl w:val="0"/>
          <w:lang w:val="en-US"/>
        </w:rPr>
        <w:t xml:space="preserve">, </w:t>
      </w:r>
      <w:r>
        <w:rPr>
          <w:rFonts w:ascii="IFAO-Grec Unicode" w:hAnsi="IFAO-Grec Unicode" w:hint="default"/>
          <w:rtl w:val="0"/>
          <w:lang w:val="en-US"/>
        </w:rPr>
        <w:t xml:space="preserve">χείρ </w:t>
      </w:r>
      <w:r>
        <w:rPr>
          <w:rFonts w:ascii="IFAO-Grec Unicode" w:hAnsi="IFAO-Grec Unicode"/>
          <w:rtl w:val="0"/>
          <w:lang w:val="en-US"/>
        </w:rPr>
        <w:t xml:space="preserve">equals </w:t>
      </w:r>
      <w:r>
        <w:rPr>
          <w:rFonts w:ascii="IFAO-Grec Unicode" w:hAnsi="IFAO-Grec Unicode" w:hint="default"/>
          <w:rtl w:val="0"/>
          <w:lang w:val="en-US"/>
        </w:rPr>
        <w:t>χειρόγραφον</w:t>
      </w:r>
      <w:r>
        <w:rPr>
          <w:rFonts w:ascii="IFAO-Grec Unicode" w:hAnsi="IFAO-Grec Unicode"/>
          <w:rtl w:val="0"/>
          <w:lang w:val="en-US"/>
        </w:rPr>
        <w:t xml:space="preserve">, and, interestingly, we find in many other papyri the designation of the document in the accusative at this position. </w:t>
      </w:r>
    </w:p>
    <w:p>
      <w:pPr>
        <w:pStyle w:val="Normal.0"/>
        <w:spacing w:line="360" w:lineRule="auto"/>
        <w:jc w:val="both"/>
      </w:pPr>
      <w:r>
        <w:rPr>
          <w:b w:val="1"/>
          <w:bCs w:val="1"/>
          <w:rtl w:val="0"/>
          <w:lang w:val="en-US"/>
        </w:rPr>
        <w:t xml:space="preserve">12 </w:t>
      </w:r>
      <w:r>
        <w:rPr>
          <w:rFonts w:ascii="Cambria" w:hAnsi="Cambria" w:hint="default"/>
          <w:b w:val="1"/>
          <w:bCs w:val="1"/>
          <w:rtl w:val="0"/>
          <w:lang w:val="en-US"/>
        </w:rPr>
        <w:t>Φαωφι ιϛ̅</w:t>
      </w:r>
      <w:r>
        <w:rPr>
          <w:rFonts w:ascii="Cambria" w:hAnsi="Cambria"/>
          <w:b w:val="1"/>
          <w:bCs w:val="1"/>
          <w:rtl w:val="0"/>
          <w:lang w:val="en-US"/>
        </w:rPr>
        <w:t>.</w:t>
      </w:r>
      <w:r>
        <w:rPr>
          <w:rtl w:val="0"/>
          <w:lang w:val="en-US"/>
        </w:rPr>
        <w:t xml:space="preserve"> 13</w:t>
      </w:r>
      <w:r>
        <w:rPr>
          <w:vertAlign w:val="superscript"/>
          <w:rtl w:val="0"/>
          <w:lang w:val="en-US"/>
        </w:rPr>
        <w:t>th</w:t>
      </w:r>
      <w:r>
        <w:rPr>
          <w:rtl w:val="0"/>
          <w:lang w:val="en-US"/>
        </w:rPr>
        <w:t>/14</w:t>
      </w:r>
      <w:r>
        <w:rPr>
          <w:vertAlign w:val="superscript"/>
          <w:rtl w:val="0"/>
          <w:lang w:val="en-US"/>
        </w:rPr>
        <w:t>th</w:t>
      </w:r>
      <w:r>
        <w:rPr>
          <w:rtl w:val="0"/>
          <w:lang w:val="en-US"/>
        </w:rPr>
        <w:t xml:space="preserve"> October.</w:t>
      </w:r>
    </w:p>
    <w:p>
      <w:pPr>
        <w:pStyle w:val="Normal.0"/>
        <w:spacing w:line="360" w:lineRule="auto"/>
      </w:pPr>
    </w:p>
    <w:p>
      <w:pPr>
        <w:pStyle w:val="Body"/>
        <w:bidi w:val="0"/>
        <w:rPr>
          <w:rFonts w:ascii="Calibri" w:cs="Calibri" w:hAnsi="Calibri" w:eastAsia="Calibri"/>
        </w:rPr>
      </w:pPr>
      <w:r>
        <w:rPr>
          <w:rtl w:val="0"/>
          <w:lang w:val="en-US"/>
        </w:rPr>
        <w:t>#</w:t>
      </w:r>
      <w:r>
        <w:rPr>
          <w:sz w:val="20"/>
          <w:szCs w:val="20"/>
          <w:rtl w:val="0"/>
          <w:lang w:val="de-DE"/>
        </w:rPr>
        <w:t>articleHeader</w:t>
      </w:r>
    </w:p>
    <w:p>
      <w:pPr>
        <w:pStyle w:val="Body"/>
        <w:bidi w:val="0"/>
        <w:rPr>
          <w:rFonts w:ascii="Calibri" w:cs="Calibri" w:hAnsi="Calibri" w:eastAsia="Calibri"/>
          <w:b w:val="1"/>
          <w:bCs w:val="1"/>
        </w:rPr>
      </w:pPr>
      <w:r>
        <w:rPr>
          <w:rFonts w:ascii="Calibri" w:hAnsi="Calibri"/>
          <w:b w:val="1"/>
          <w:bCs w:val="1"/>
          <w:rtl w:val="0"/>
          <w:lang w:val="en-US"/>
        </w:rPr>
        <w:t>3.2. Receipt of land tax received and paid by monks</w:t>
      </w:r>
    </w:p>
    <w:p>
      <w:pPr>
        <w:pStyle w:val="Normal.0"/>
        <w:spacing w:line="360" w:lineRule="auto"/>
        <w:rPr>
          <w:rFonts w:ascii="Calibri" w:cs="Calibri" w:hAnsi="Calibri" w:eastAsia="Calibri"/>
          <w:b w:val="1"/>
          <w:bCs w:val="1"/>
        </w:rPr>
      </w:pPr>
    </w:p>
    <w:tbl>
      <w:tblPr>
        <w:tblW w:w="656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189"/>
        <w:gridCol w:w="2189"/>
        <w:gridCol w:w="2190"/>
      </w:tblGrid>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sz w:val="18"/>
                <w:szCs w:val="18"/>
                <w:rtl w:val="0"/>
                <w:lang w:val="en-US"/>
              </w:rPr>
              <w:t>P 1193</w:t>
            </w:r>
            <w:r>
              <w:rPr>
                <w:sz w:val="18"/>
                <w:szCs w:val="18"/>
                <w:rtl w:val="0"/>
                <w:lang w:val="de-DE"/>
              </w:rPr>
              <w:t>5</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ced7e7"/>
            <w:tcMar>
              <w:top w:type="dxa" w:w="0"/>
              <w:left w:type="dxa" w:w="0"/>
              <w:bottom w:type="dxa" w:w="0"/>
              <w:right w:type="dxa" w:w="0"/>
            </w:tcMar>
            <w:vAlign w:val="top"/>
          </w:tcPr>
          <w:p>
            <w:pPr>
              <w:pStyle w:val="Normal.0"/>
              <w:spacing w:line="360" w:lineRule="auto"/>
            </w:pPr>
            <w:r>
              <w:rPr>
                <w:rFonts w:ascii="Calibri" w:hAnsi="Calibri"/>
                <w:sz w:val="18"/>
                <w:szCs w:val="18"/>
                <w:shd w:val="clear" w:color="auto" w:fill="ffffff"/>
                <w:rtl w:val="0"/>
                <w:lang w:val="en-US"/>
              </w:rPr>
              <w:t>7</w:t>
            </w:r>
            <w:r>
              <w:rPr>
                <w:rFonts w:ascii="Calibri" w:hAnsi="Calibri"/>
                <w:sz w:val="18"/>
                <w:szCs w:val="18"/>
                <w:shd w:val="clear" w:color="auto" w:fill="ffffff"/>
                <w:vertAlign w:val="superscript"/>
                <w:rtl w:val="0"/>
                <w:lang w:val="en-US"/>
              </w:rPr>
              <w:t>th</w:t>
            </w:r>
            <w:r>
              <w:rPr>
                <w:rFonts w:ascii="Calibri" w:hAnsi="Calibri" w:hint="default"/>
                <w:sz w:val="18"/>
                <w:szCs w:val="18"/>
                <w:shd w:val="clear" w:color="auto" w:fill="ffffff"/>
                <w:rtl w:val="0"/>
                <w:lang w:val="en-US"/>
              </w:rPr>
              <w:t>–</w:t>
            </w:r>
            <w:r>
              <w:rPr>
                <w:rFonts w:ascii="Calibri" w:hAnsi="Calibri"/>
                <w:sz w:val="18"/>
                <w:szCs w:val="18"/>
                <w:shd w:val="clear" w:color="auto" w:fill="ffffff"/>
                <w:rtl w:val="0"/>
                <w:lang w:val="en-US"/>
              </w:rPr>
              <w:t>8</w:t>
            </w:r>
            <w:r>
              <w:rPr>
                <w:rFonts w:ascii="Calibri" w:hAnsi="Calibri"/>
                <w:sz w:val="18"/>
                <w:szCs w:val="18"/>
                <w:shd w:val="clear" w:color="auto" w:fill="ffffff"/>
                <w:vertAlign w:val="superscript"/>
                <w:rtl w:val="0"/>
                <w:lang w:val="en-US"/>
              </w:rPr>
              <w:t>th</w:t>
            </w:r>
            <w:r>
              <w:rPr>
                <w:rFonts w:ascii="Calibri" w:hAnsi="Calibri"/>
                <w:sz w:val="18"/>
                <w:szCs w:val="18"/>
                <w:shd w:val="clear" w:color="auto" w:fill="ffffff"/>
                <w:rtl w:val="0"/>
                <w:lang w:val="en-US"/>
              </w:rPr>
              <w:t xml:space="preserve"> century</w:t>
            </w:r>
          </w:p>
        </w:tc>
      </w:tr>
      <w:tr>
        <w:tblPrEx>
          <w:shd w:val="clear" w:color="auto" w:fill="ced7e7"/>
        </w:tblPrEx>
        <w:trPr>
          <w:trHeight w:val="440" w:hRule="atLeast"/>
        </w:trPr>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Hermopolite</w:t>
            </w: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tc>
        <w:tc>
          <w:tcPr>
            <w:tcW w:type="dxa" w:w="2189"/>
            <w:tcBorders>
              <w:top w:val="single" w:color="ffffff" w:sz="8" w:space="0" w:shadow="0" w:frame="0"/>
              <w:left w:val="single" w:color="ffffff" w:sz="8" w:space="0" w:shadow="0" w:frame="0"/>
              <w:bottom w:val="single" w:color="ffffff" w:sz="8" w:space="0" w:shadow="0" w:frame="0"/>
              <w:right w:val="single" w:color="ffffff" w:sz="8" w:space="0" w:shadow="0" w:frame="0"/>
            </w:tcBorders>
            <w:shd w:val="clear" w:color="auto" w:fill="e8ecf3"/>
            <w:tcMar>
              <w:top w:type="dxa" w:w="0"/>
              <w:left w:type="dxa" w:w="0"/>
              <w:bottom w:type="dxa" w:w="0"/>
              <w:right w:type="dxa" w:w="0"/>
            </w:tcMar>
            <w:vAlign w:val="top"/>
          </w:tcPr>
          <w:p>
            <w:pPr>
              <w:pStyle w:val="Normal.0"/>
              <w:spacing w:line="360" w:lineRule="auto"/>
            </w:pPr>
            <w:r>
              <w:rPr>
                <w:sz w:val="18"/>
                <w:szCs w:val="18"/>
                <w:rtl w:val="0"/>
                <w:lang w:val="en-US"/>
              </w:rPr>
              <w:t>Text area: ca. 20,7 x 7 cm</w:t>
            </w:r>
          </w:p>
        </w:tc>
      </w:tr>
    </w:tbl>
    <w:p>
      <w:pPr>
        <w:pStyle w:val="Normal.0"/>
        <w:spacing w:line="360" w:lineRule="auto"/>
      </w:pPr>
    </w:p>
    <w:p>
      <w:pPr>
        <w:pStyle w:val="Normal.0"/>
        <w:spacing w:line="360" w:lineRule="auto"/>
        <w:rPr>
          <w:rFonts w:ascii="Calibri" w:cs="Calibri" w:hAnsi="Calibri" w:eastAsia="Calibri"/>
          <w:b w:val="1"/>
          <w:bCs w:val="1"/>
        </w:rPr>
      </w:pPr>
    </w:p>
    <w:p>
      <w:pPr>
        <w:pStyle w:val="Normal.0"/>
        <w:spacing w:line="360" w:lineRule="auto"/>
        <w:jc w:val="both"/>
      </w:pPr>
      <w:r>
        <w:rPr>
          <w:rtl w:val="0"/>
          <w:lang w:val="en-US"/>
        </w:rPr>
        <w:t xml:space="preserve">The text is written parallel to the fibres. The back is blank. The cursive, quadrilinear handwriting slants to the right and suggests an experienced scribe who might have been Solomon, the monk who issued the receipt. As in the case of the previous document, the handwriting does not provide </w:t>
      </w:r>
      <w:r>
        <w:rPr>
          <w:i w:val="1"/>
          <w:iCs w:val="1"/>
          <w:rtl w:val="0"/>
          <w:lang w:val="en-US"/>
        </w:rPr>
        <w:t>per se</w:t>
      </w:r>
      <w:r>
        <w:rPr>
          <w:rtl w:val="0"/>
          <w:lang w:val="en-US"/>
        </w:rPr>
        <w:t xml:space="preserve"> a solid criterion for dating the document. However, the genre and terminology are typical of the early Islamic period, when Egyptian monasteries produced a plethora of tax documents.</w:t>
      </w:r>
    </w:p>
    <w:p>
      <w:pPr>
        <w:pStyle w:val="Normal.0"/>
        <w:spacing w:line="360" w:lineRule="auto"/>
        <w:ind w:firstLine="720"/>
        <w:jc w:val="both"/>
      </w:pPr>
      <w:r>
        <w:rPr>
          <w:rtl w:val="0"/>
          <w:lang w:val="en-US"/>
        </w:rPr>
        <w:t xml:space="preserve">The receipt is issued by Solomon, a monk of the </w:t>
      </w:r>
      <w:r>
        <w:rPr>
          <w:outline w:val="0"/>
          <w:color w:val="000000"/>
          <w:u w:color="000000"/>
          <w:rtl w:val="0"/>
          <w:lang w:val="en-US"/>
          <w14:textFill>
            <w14:solidFill>
              <w14:srgbClr w14:val="000000"/>
            </w14:solidFill>
          </w14:textFill>
        </w:rPr>
        <w:t>Holy Monastery of Apa Anoup,</w:t>
      </w:r>
      <w:r>
        <w:rPr>
          <w:rtl w:val="0"/>
          <w:lang w:val="en-US"/>
        </w:rPr>
        <w:t xml:space="preserve"> to two other friars</w:t>
      </w:r>
      <w:r>
        <w:rPr>
          <w:outline w:val="0"/>
          <w:color w:val="000000"/>
          <w:u w:color="000000"/>
          <w:rtl w:val="0"/>
          <w:lang w:val="en-US"/>
          <w14:textFill>
            <w14:solidFill>
              <w14:srgbClr w14:val="000000"/>
            </w14:solidFill>
          </w14:textFill>
        </w:rPr>
        <w:t>,</w:t>
      </w:r>
      <w:r>
        <w:rPr>
          <w:rtl w:val="0"/>
          <w:lang w:val="en-US"/>
        </w:rPr>
        <w:t xml:space="preserve"> Peter and Makare from the </w:t>
      </w:r>
      <w:r>
        <w:rPr>
          <w:outline w:val="0"/>
          <w:color w:val="000000"/>
          <w:u w:color="000000"/>
          <w:rtl w:val="0"/>
          <w:lang w:val="en-US"/>
          <w14:textFill>
            <w14:solidFill>
              <w14:srgbClr w14:val="000000"/>
            </w14:solidFill>
          </w14:textFill>
        </w:rPr>
        <w:t>Monastery of Apa Ieremias</w:t>
      </w:r>
      <w:r>
        <w:rPr>
          <w:rtl w:val="0"/>
          <w:lang w:val="en-US"/>
        </w:rPr>
        <w:t>. These two monasteries figure together with the Hermopolite monastery of Apa Apollo in P.Mon.Apoll. 11 (7</w:t>
      </w:r>
      <w:r>
        <w:rPr>
          <w:vertAlign w:val="superscript"/>
          <w:rtl w:val="0"/>
          <w:lang w:val="en-US"/>
        </w:rPr>
        <w:t>th</w:t>
      </w:r>
      <w:r>
        <w:rPr>
          <w:rtl w:val="0"/>
          <w:lang w:val="en-US"/>
        </w:rPr>
        <w:t xml:space="preserve"> c.), which documents the </w:t>
      </w:r>
      <w:r>
        <w:rPr>
          <w:rFonts w:ascii="IFAO-Grec Unicode" w:hAnsi="IFAO-Grec Unicode"/>
          <w:rtl w:val="0"/>
          <w:lang w:val="en-US"/>
        </w:rPr>
        <w:t>aparch</w:t>
      </w:r>
      <w:r>
        <w:rPr>
          <w:rFonts w:ascii="IFAO-Grec Unicode" w:hAnsi="IFAO-Grec Unicode" w:hint="default"/>
          <w:rtl w:val="0"/>
          <w:lang w:val="en-US"/>
        </w:rPr>
        <w:t>ē</w:t>
      </w:r>
      <w:r>
        <w:rPr>
          <w:rtl w:val="0"/>
          <w:lang w:val="en-US"/>
        </w:rPr>
        <w:t xml:space="preserve"> collection for the monasteries. While the Monastery of Apa Apollo was no doubt the well-known one at Bawit, the location of the other two remains more elusive. Our evidence suggests that the Monastery of Apa Anoup, named after Apa Apollo</w:t>
      </w:r>
      <w:r>
        <w:rPr>
          <w:rtl w:val="0"/>
          <w:lang w:val="en-US"/>
        </w:rPr>
        <w:t>’</w:t>
      </w:r>
      <w:r>
        <w:rPr>
          <w:rtl w:val="0"/>
          <w:lang w:val="en-US"/>
        </w:rPr>
        <w:t xml:space="preserve">s companion, could have been situated at modern Banub, east of Bawit. There are, however, more candidates for the monastery of Apa Ieremias. Assuming that our papyrus was unearthed at Ashmunein and that the monks of the Monastery of Apa Ieremias would have been the ones to keep it, we may expect that the institution was located in or near the city. </w:t>
      </w:r>
      <w:r>
        <w:rPr>
          <w:outline w:val="0"/>
          <w:color w:val="000000"/>
          <w:u w:color="000000"/>
          <w:rtl w:val="0"/>
          <w:lang w:val="en-US"/>
          <w14:textFill>
            <w14:solidFill>
              <w14:srgbClr w14:val="000000"/>
            </w14:solidFill>
          </w14:textFill>
        </w:rPr>
        <w:t>T</w:t>
      </w:r>
      <w:r>
        <w:rPr>
          <w:rtl w:val="0"/>
          <w:lang w:val="en-US"/>
        </w:rPr>
        <w:t>he only known monastery named after Apa Ieremias in Ashmunein was inhabited by nuns and can thus be excluded. Another one, which is also referenced in texts from Bawit, lay south of Antinoe. The famous Monastery of Apa Ieremias at Saqqara and another one further to the South near to Bala</w:t>
      </w:r>
      <w:r>
        <w:rPr>
          <w:rtl w:val="0"/>
          <w:lang w:val="en-US"/>
        </w:rPr>
        <w:t>’</w:t>
      </w:r>
      <w:r>
        <w:rPr>
          <w:rtl w:val="0"/>
          <w:lang w:val="en-US"/>
        </w:rPr>
        <w:t xml:space="preserve">izah can probably also be excluded, because of the close connection of the Monastery of Apa Ieremias to that of Apa Anoup in our text and P.Mon.Apoll. 11. In fact, in her edition of the latter text, Sarah Clackson suggested that these two monasteries (together with that of Apa Makare) were </w:t>
      </w:r>
      <w:r>
        <w:rPr>
          <w:rtl w:val="0"/>
          <w:lang w:val="en-US"/>
        </w:rPr>
        <w:t>‘</w:t>
      </w:r>
      <w:r>
        <w:rPr>
          <w:rtl w:val="0"/>
          <w:lang w:val="en-US"/>
        </w:rPr>
        <w:t>subsumed in the general organization of the Monastery of Apa Apollo to the extent that they were considered subdivisions of that monastery.</w:t>
      </w:r>
      <w:r>
        <w:rPr>
          <w:rtl w:val="0"/>
          <w:lang w:val="en-US"/>
        </w:rPr>
        <w:t xml:space="preserve">’ </w:t>
      </w:r>
      <w:r>
        <w:rPr>
          <w:rtl w:val="0"/>
          <w:lang w:val="en-US"/>
        </w:rPr>
        <w:t>Overall, our document raises more questions than answers as to the location of the Monastery of Apa Ieremias: was it located in Ashmunein or was the document only found there for another, unknown reason?</w:t>
      </w:r>
      <w:r>
        <w:rPr>
          <w:vertAlign w:val="superscript"/>
        </w:rPr>
        <w:footnoteReference w:id="11"/>
      </w:r>
    </w:p>
    <w:p>
      <w:pPr>
        <w:pStyle w:val="Normal.0"/>
        <w:spacing w:line="360" w:lineRule="auto"/>
        <w:ind w:firstLine="720"/>
        <w:jc w:val="both"/>
        <w:rPr>
          <w:rFonts w:ascii="IFAO-Grec Unicode" w:cs="IFAO-Grec Unicode" w:hAnsi="IFAO-Grec Unicode" w:eastAsia="IFAO-Grec Unicode"/>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P 11935 acknowledges the transfer of one </w:t>
      </w:r>
      <w:r>
        <w:rPr>
          <w:i w:val="1"/>
          <w:iCs w:val="1"/>
          <w:outline w:val="0"/>
          <w:color w:val="000000"/>
          <w:u w:color="000000"/>
          <w:rtl w:val="0"/>
          <w:lang w:val="en-US"/>
          <w14:textFill>
            <w14:solidFill>
              <w14:srgbClr w14:val="000000"/>
            </w14:solidFill>
          </w14:textFill>
        </w:rPr>
        <w:t>trimessis</w:t>
      </w:r>
      <w:r>
        <w:rPr>
          <w:outline w:val="0"/>
          <w:color w:val="000000"/>
          <w:u w:color="000000"/>
          <w:rtl w:val="0"/>
          <w:lang w:val="en-US"/>
          <w14:textFill>
            <w14:solidFill>
              <w14:srgbClr w14:val="000000"/>
            </w14:solidFill>
          </w14:textFill>
        </w:rPr>
        <w:t xml:space="preserve"> for the land tax (</w:t>
      </w:r>
      <w:r>
        <w:rPr>
          <w:rFonts w:ascii="IFAO-Grec Unicode" w:hAnsi="IFAO-Grec Unicode" w:hint="default"/>
          <w:outline w:val="0"/>
          <w:color w:val="000000"/>
          <w:u w:color="000000"/>
          <w:rtl w:val="0"/>
          <w:lang w:val="en-US"/>
          <w14:textFill>
            <w14:solidFill>
              <w14:srgbClr w14:val="000000"/>
            </w14:solidFill>
          </w14:textFill>
        </w:rPr>
        <w:t>δημόσιον</w:t>
      </w:r>
      <w:r>
        <w:rPr>
          <w:outline w:val="0"/>
          <w:color w:val="000000"/>
          <w:u w:color="000000"/>
          <w:rtl w:val="0"/>
          <w:lang w:val="en-US"/>
          <w14:textFill>
            <w14:solidFill>
              <w14:srgbClr w14:val="000000"/>
            </w14:solidFill>
          </w14:textFill>
        </w:rPr>
        <w:t>) for a plot of land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the fields of Pital</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from the addressed party to the issuing party. Both parties are represented by monks, and no public authority is involved. The liability for the land tax was an issue between landowners and the state, and therefore a financial issue to be settled between landlords and their tenants in lease contracts. </w:t>
      </w:r>
      <w:r>
        <w:rPr>
          <w:outline w:val="0"/>
          <w:color w:val="000000"/>
          <w:u w:color="000000"/>
          <w:rtl w:val="0"/>
          <w:lang w:val="en-US"/>
          <w14:textFill>
            <w14:solidFill>
              <w14:srgbClr w14:val="000000"/>
            </w14:solidFill>
          </w14:textFill>
        </w:rPr>
        <w:t>Greek (as well as Demotic) lease documents from Ptolemaic and Roman times, and then again Arabic lease documents from the late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century onwards, make explicit statements as to the distribution of the land tax between lessor and lessee. Byzantine Greek lease documents, however, do not, which is usually interpreted as evidence of the lessor</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s unquestioned liability for tax payments. In Coptic lease documents the situation differs according to different places. 8</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-century lease documents from the Fayyum mention the payment of </w:t>
      </w:r>
      <w:r>
        <w:rPr>
          <w:i w:val="1"/>
          <w:iCs w:val="1"/>
          <w:outline w:val="0"/>
          <w:color w:val="000000"/>
          <w:u w:color="000000"/>
          <w:rtl w:val="0"/>
          <w:lang w:val="en-US"/>
          <w14:textFill>
            <w14:solidFill>
              <w14:srgbClr w14:val="000000"/>
            </w14:solidFill>
          </w14:textFill>
        </w:rPr>
        <w:t>embol</w:t>
      </w:r>
      <w:r>
        <w:rPr>
          <w:i w:val="1"/>
          <w:iCs w:val="1"/>
          <w:outline w:val="0"/>
          <w:color w:val="000000"/>
          <w:u w:color="000000"/>
          <w:rtl w:val="0"/>
          <w:lang w:val="en-US"/>
          <w14:textFill>
            <w14:solidFill>
              <w14:srgbClr w14:val="000000"/>
            </w14:solidFill>
          </w14:textFill>
        </w:rPr>
        <w:t xml:space="preserve">ē </w:t>
      </w:r>
      <w:r>
        <w:rPr>
          <w:outline w:val="0"/>
          <w:color w:val="000000"/>
          <w:u w:color="000000"/>
          <w:rtl w:val="0"/>
          <w:lang w:val="en-US"/>
          <w14:textFill>
            <w14:solidFill>
              <w14:srgbClr w14:val="000000"/>
            </w14:solidFill>
          </w14:textFill>
        </w:rPr>
        <w:t xml:space="preserve">tax. Some of the Coptic lease documents from the wider Theban area deal with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and make different arrangements as to its liability. Coptic </w:t>
      </w:r>
      <w:r>
        <w:rPr>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i w:val="1"/>
          <w:iCs w:val="1"/>
          <w:outline w:val="0"/>
          <w:color w:val="000000"/>
          <w:u w:color="000000"/>
          <w:rtl w:val="0"/>
          <w:lang w:val="en-US"/>
          <w14:textFill>
            <w14:solidFill>
              <w14:srgbClr w14:val="000000"/>
            </w14:solidFill>
          </w14:textFill>
        </w:rPr>
        <w:t>sis</w:t>
      </w:r>
      <w:r>
        <w:rPr>
          <w:outline w:val="0"/>
          <w:color w:val="000000"/>
          <w:u w:color="000000"/>
          <w:rtl w:val="0"/>
          <w:lang w:val="en-US"/>
          <w14:textFill>
            <w14:solidFill>
              <w14:srgbClr w14:val="000000"/>
            </w14:solidFill>
          </w14:textFill>
        </w:rPr>
        <w:t xml:space="preserve"> documents from the Hermopolite region, however, conform to the usage of Byzantine Greek documents and never mention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Yet the word is often found in Coptic texts from this region, which is due to the documentary record of monasteries where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occurs in various contexts, some close to ours. The closest parallel to P 11935 is P.Bawit Clackson</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22, a receipt of a solidus received for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drawn up by the archimandrite of the monastery for a monk.</w:t>
      </w:r>
      <w:r>
        <w:rPr>
          <w:outline w:val="0"/>
          <w:color w:val="000000"/>
          <w:u w:color="000000"/>
          <w:vertAlign w:val="superscript"/>
          <w:lang w:val="en-US"/>
          <w14:textFill>
            <w14:solidFill>
              <w14:srgbClr w14:val="000000"/>
            </w14:solidFill>
          </w14:textFill>
        </w:rPr>
        <w:footnoteReference w:id="12"/>
      </w:r>
      <w:r>
        <w:rPr>
          <w:rFonts w:ascii="IFAO-Grec Unicode" w:hAnsi="IFAO-Grec Unicode"/>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Further documents contextualizing ours are </w:t>
      </w:r>
      <w:r>
        <w:rPr>
          <w:outline w:val="0"/>
          <w:color w:val="000000"/>
          <w:u w:color="000000"/>
          <w:rtl w:val="0"/>
          <w:lang w:val="en-US"/>
          <w14:textFill>
            <w14:solidFill>
              <w14:srgbClr w14:val="000000"/>
            </w14:solidFill>
          </w14:textFill>
        </w:rPr>
        <w:t>P.Mon.Apollo</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1</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3</w:t>
      </w:r>
      <w:bookmarkStart w:name="_Hlk92638630" w:id="2"/>
      <w:r>
        <w:rPr>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which are of the aforementioned type of agreements relating to the collection of </w:t>
      </w:r>
      <w:r>
        <w:rPr>
          <w:rFonts w:ascii="Calibri" w:hAnsi="Calibri"/>
          <w:i w:val="1"/>
          <w:iCs w:val="1"/>
          <w:outline w:val="0"/>
          <w:color w:val="000000"/>
          <w:u w:color="000000"/>
          <w:rtl w:val="0"/>
          <w:lang w:val="en-US"/>
          <w14:textFill>
            <w14:solidFill>
              <w14:srgbClr w14:val="000000"/>
            </w14:solidFill>
          </w14:textFill>
        </w:rPr>
        <w:t>aparch</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first fruit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which is specified here as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for the </w:t>
      </w:r>
      <w:r>
        <w:rPr>
          <w:rFonts w:ascii="Calibri" w:hAnsi="Calibri"/>
          <w:i w:val="1"/>
          <w:iCs w:val="1"/>
          <w:outline w:val="0"/>
          <w:color w:val="000000"/>
          <w:u w:color="000000"/>
          <w:rtl w:val="0"/>
          <w:lang w:val="en-US"/>
          <w14:textFill>
            <w14:solidFill>
              <w14:srgbClr w14:val="000000"/>
            </w14:solidFill>
          </w14:textFill>
        </w:rPr>
        <w:t>x</w:t>
      </w:r>
      <w:r>
        <w:rPr>
          <w:rFonts w:ascii="Calibri" w:hAnsi="Calibri"/>
          <w:i w:val="1"/>
          <w:iCs w:val="1"/>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indiction year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Other Bawit documents relating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include, e.g.: </w:t>
      </w:r>
    </w:p>
    <w:p>
      <w:pPr>
        <w:pStyle w:val="Normal.0"/>
        <w:spacing w:line="360" w:lineRule="auto"/>
        <w:ind w:firstLine="720"/>
        <w:jc w:val="both"/>
        <w:rPr>
          <w:rFonts w:ascii="Segoe UI Historic" w:cs="Segoe UI Historic" w:hAnsi="Segoe UI Historic" w:eastAsia="Segoe UI Historic"/>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 P.Mon.Apollo 25, a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renouncement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i w:val="1"/>
          <w:iCs w:val="1"/>
          <w:outline w:val="0"/>
          <w:color w:val="000000"/>
          <w:u w:color="000000"/>
          <w:rtl w:val="0"/>
          <w:lang w:val="en-US"/>
          <w14:textFill>
            <w14:solidFill>
              <w14:srgbClr w14:val="000000"/>
            </w14:solidFill>
          </w14:textFill>
        </w:rPr>
        <w:t>apotag</w:t>
      </w:r>
      <w:r>
        <w:rPr>
          <w:i w:val="1"/>
          <w:iCs w:val="1"/>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 xml:space="preserve">) stipulating the transfer of responsibility for a plot of monastic land including the liability for its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from the issuing monk to fellow monks,</w:t>
      </w:r>
      <w:r>
        <w:rPr>
          <w:rFonts w:ascii="Calibri" w:cs="Calibri" w:hAnsi="Calibri" w:eastAsia="Calibri"/>
          <w:outline w:val="0"/>
          <w:color w:val="000000"/>
          <w:u w:color="000000"/>
          <w:vertAlign w:val="superscript"/>
          <w:lang w:val="en-US"/>
          <w14:textFill>
            <w14:solidFill>
              <w14:srgbClr w14:val="000000"/>
            </w14:solidFill>
          </w14:textFill>
        </w:rPr>
        <w:footnoteReference w:id="13"/>
      </w:r>
      <w:r>
        <w:rPr>
          <w:rFonts w:ascii="Segoe UI Historic" w:cs="Segoe UI Historic" w:hAnsi="Segoe UI Historic" w:eastAsia="Segoe UI Historic"/>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rFonts w:ascii="Segoe UI Historic" w:cs="Segoe UI Historic" w:hAnsi="Segoe UI Historic" w:eastAsia="Segoe UI Historic"/>
          <w:outline w:val="0"/>
          <w:color w:val="000000"/>
          <w:u w:color="000000"/>
          <w:rtl w:val="0"/>
          <w:lang w:val="fr-FR"/>
          <w14:textFill>
            <w14:solidFill>
              <w14:srgbClr w14:val="000000"/>
            </w14:solidFill>
          </w14:textFill>
        </w:rPr>
        <w:t xml:space="preserve">- </w:t>
      </w:r>
      <w:r>
        <w:rPr>
          <w:outline w:val="0"/>
          <w:color w:val="000000"/>
          <w:u w:color="000000"/>
          <w:rtl w:val="0"/>
          <w:lang w:val="fr-FR"/>
          <w14:textFill>
            <w14:solidFill>
              <w14:srgbClr w14:val="000000"/>
            </w14:solidFill>
          </w14:textFill>
        </w:rPr>
        <w:t xml:space="preserve">P.Louvre Bawit </w:t>
      </w:r>
      <w:bookmarkEnd w:id="2"/>
      <w:r>
        <w:rPr>
          <w:outline w:val="0"/>
          <w:color w:val="000000"/>
          <w:u w:color="000000"/>
          <w:rtl w:val="0"/>
          <w:lang w:val="fr-FR"/>
          <w14:textFill>
            <w14:solidFill>
              <w14:srgbClr w14:val="000000"/>
            </w14:solidFill>
          </w14:textFill>
        </w:rPr>
        <w:t>7,</w:t>
      </w:r>
      <w:r>
        <w:rPr>
          <w:outline w:val="0"/>
          <w:color w:val="000000"/>
          <w:u w:color="000000"/>
          <w:vertAlign w:val="superscript"/>
          <w:lang w:val="en-US"/>
          <w14:textFill>
            <w14:solidFill>
              <w14:srgbClr w14:val="000000"/>
            </w14:solidFill>
          </w14:textFill>
        </w:rPr>
        <w:footnoteReference w:id="14"/>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outline w:val="0"/>
          <w:color w:val="000000"/>
          <w:u w:color="000000"/>
          <w14:textFill>
            <w14:solidFill>
              <w14:srgbClr w14:val="000000"/>
            </w14:solidFill>
          </w14:textFill>
        </w:rPr>
      </w:pPr>
      <w:r>
        <w:rPr>
          <w:outline w:val="0"/>
          <w:color w:val="000000"/>
          <w:u w:color="000000"/>
          <w:rtl w:val="0"/>
          <w:lang w:val="fr-FR"/>
          <w14:textFill>
            <w14:solidFill>
              <w14:srgbClr w14:val="000000"/>
            </w14:solidFill>
          </w14:textFill>
        </w:rPr>
        <w:t>- P.Louvre Bawit 41,</w:t>
      </w:r>
      <w:r>
        <w:rPr>
          <w:outline w:val="0"/>
          <w:color w:val="000000"/>
          <w:u w:color="000000"/>
          <w:vertAlign w:val="superscript"/>
          <w:lang w:val="en-US"/>
          <w14:textFill>
            <w14:solidFill>
              <w14:srgbClr w14:val="000000"/>
            </w14:solidFill>
          </w14:textFill>
        </w:rPr>
        <w:footnoteReference w:id="15"/>
      </w:r>
      <w:r>
        <w:rPr>
          <w:outline w:val="0"/>
          <w:color w:val="000000"/>
          <w:u w:color="000000"/>
          <w:rtl w:val="0"/>
          <w:lang w:val="fr-FR"/>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lang w:val="en-US"/>
          <w14:textFill>
            <w14:solidFill>
              <w14:srgbClr w14:val="000000"/>
            </w14:solidFill>
          </w14:textFill>
        </w:rPr>
      </w:pPr>
      <w:r>
        <w:rPr>
          <w:outline w:val="0"/>
          <w:color w:val="000000"/>
          <w:u w:color="000000"/>
          <w:rtl w:val="0"/>
          <w:lang w:val="en-US"/>
          <w14:textFill>
            <w14:solidFill>
              <w14:srgbClr w14:val="000000"/>
            </w14:solidFill>
          </w14:textFill>
        </w:rPr>
        <w:t xml:space="preserve">- P.Louvre Bawit 50, an official letter of the pagarch to the village heads and apparently also the authorities of the Bawit monastery, referring to writs that he received </w:t>
      </w:r>
      <w:r>
        <w:rPr>
          <w:rFonts w:ascii="IFAO-Grec Unicode" w:hAnsi="IFAO-Grec Unicode" w:hint="default"/>
          <w:outline w:val="0"/>
          <w:color w:val="000000"/>
          <w:u w:color="000000"/>
          <w:rtl w:val="0"/>
          <w:lang w:val="en-US"/>
          <w14:textFill>
            <w14:solidFill>
              <w14:srgbClr w14:val="000000"/>
            </w14:solidFill>
          </w14:textFill>
        </w:rPr>
        <w:t xml:space="preserve">ⲉⲧⲃⲉ ⲡ̣ⲗⲟⲓⲡⲟ̣ⲥ̣ ⲛ̣ⲉⲇⲏⲙⲟⲥⲓⲟⲛ̣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ⲙⲛ ⲡⲥⲉⲉⲡⲉ ⲛⲉⲥⲧⲓⲭⲉ ⲧ̣ⲁⲣⲛⲡⲗⲏⲣⲟ̣</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ⲩ</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concerning the remaining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Calibri" w:hAnsi="Calibri"/>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 and the rest of the </w:t>
      </w:r>
      <w:r>
        <w:rPr>
          <w:rFonts w:ascii="Calibri" w:hAnsi="Calibri"/>
          <w:i w:val="1"/>
          <w:iCs w:val="1"/>
          <w:outline w:val="0"/>
          <w:color w:val="000000"/>
          <w:u w:color="000000"/>
          <w:rtl w:val="0"/>
          <w:lang w:val="en-US"/>
          <w14:textFill>
            <w14:solidFill>
              <w14:srgbClr w14:val="000000"/>
            </w14:solidFill>
          </w14:textFill>
        </w:rPr>
        <w:t>stichoi</w:t>
      </w:r>
      <w:r>
        <w:rPr>
          <w:rFonts w:ascii="Calibri" w:hAnsi="Calibri"/>
          <w:outline w:val="0"/>
          <w:color w:val="000000"/>
          <w:u w:color="000000"/>
          <w:rtl w:val="0"/>
          <w:lang w:val="en-US"/>
          <w14:textFill>
            <w14:solidFill>
              <w14:srgbClr w14:val="000000"/>
            </w14:solidFill>
          </w14:textFill>
        </w:rPr>
        <w:t xml:space="preserve">, that we shall pay in full [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w:t>
      </w:r>
    </w:p>
    <w:p>
      <w:pPr>
        <w:pStyle w:val="Normal.0"/>
        <w:spacing w:line="360" w:lineRule="auto"/>
        <w:ind w:firstLine="720"/>
        <w:jc w:val="both"/>
        <w:rPr>
          <w:rFonts w:ascii="Calibri" w:cs="Calibri" w:hAnsi="Calibri" w:eastAsia="Calibri"/>
          <w:outline w:val="0"/>
          <w:color w:val="000000"/>
          <w:u w:color="000000"/>
          <w14:textFill>
            <w14:solidFill>
              <w14:srgbClr w14:val="000000"/>
            </w14:solidFill>
          </w14:textFill>
        </w:rPr>
      </w:pPr>
      <w:r>
        <w:rPr>
          <w:rFonts w:ascii="Calibri" w:hAnsi="Calibri"/>
          <w:outline w:val="0"/>
          <w:color w:val="000000"/>
          <w:u w:color="000000"/>
          <w:rtl w:val="0"/>
          <w:lang w:val="en-US"/>
          <w14:textFill>
            <w14:solidFill>
              <w14:srgbClr w14:val="000000"/>
            </w14:solidFill>
          </w14:textFill>
        </w:rPr>
        <w:t xml:space="preserve">Another monastic dossier attesting to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is P.Yale inv. 1804, a bilingual documentary codex supposedly from the Monastery of Apa Sourous in Antinoopolis.</w:t>
      </w:r>
      <w:r>
        <w:rPr>
          <w:rFonts w:ascii="Calibri" w:cs="Calibri" w:hAnsi="Calibri" w:eastAsia="Calibri"/>
          <w:outline w:val="0"/>
          <w:color w:val="000000"/>
          <w:u w:color="000000"/>
          <w:vertAlign w:val="superscript"/>
          <w:lang w:val="en-US"/>
          <w14:textFill>
            <w14:solidFill>
              <w14:srgbClr w14:val="000000"/>
            </w14:solidFill>
          </w14:textFill>
        </w:rPr>
        <w:footnoteReference w:id="16"/>
      </w:r>
      <w:r>
        <w:rPr>
          <w:rFonts w:ascii="Calibri" w:hAnsi="Calibri"/>
          <w:outline w:val="0"/>
          <w:color w:val="000000"/>
          <w:u w:color="000000"/>
          <w:rtl w:val="0"/>
          <w:lang w:val="en-US"/>
          <w14:textFill>
            <w14:solidFill>
              <w14:srgbClr w14:val="000000"/>
            </w14:solidFill>
          </w14:textFill>
        </w:rPr>
        <w:t xml:space="preserve"> In the bilateral contract A14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supposedly an </w:t>
      </w:r>
      <w:r>
        <w:rPr>
          <w:rFonts w:ascii="Calibri" w:hAnsi="Calibri"/>
          <w:i w:val="1"/>
          <w:iCs w:val="1"/>
          <w:outline w:val="0"/>
          <w:color w:val="000000"/>
          <w:u w:color="000000"/>
          <w:rtl w:val="0"/>
          <w:lang w:val="en-US"/>
          <w14:textFill>
            <w14:solidFill>
              <w14:srgbClr w14:val="000000"/>
            </w14:solidFill>
          </w14:textFill>
        </w:rPr>
        <w:t>emphyteusis</w:t>
      </w:r>
      <w:r>
        <w:rPr>
          <w:rFonts w:ascii="Calibri" w:hAnsi="Calibri"/>
          <w:outline w:val="0"/>
          <w:color w:val="000000"/>
          <w:u w:color="000000"/>
          <w:rtl w:val="0"/>
          <w:lang w:val="en-US"/>
          <w14:textFill>
            <w14:solidFill>
              <w14:srgbClr w14:val="000000"/>
            </w14:solidFill>
          </w14:textFill>
        </w:rPr>
        <w:t xml:space="preserve"> document, one party stipulates to the other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 xml:space="preserve">. In A15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 a </w:t>
      </w:r>
      <w:r>
        <w:rPr>
          <w:rFonts w:ascii="Calibri" w:hAnsi="Calibri"/>
          <w:i w:val="1"/>
          <w:iCs w:val="1"/>
          <w:outline w:val="0"/>
          <w:color w:val="000000"/>
          <w:u w:color="000000"/>
          <w:rtl w:val="0"/>
          <w:lang w:val="en-US"/>
          <w14:textFill>
            <w14:solidFill>
              <w14:srgbClr w14:val="000000"/>
            </w14:solidFill>
          </w14:textFill>
        </w:rPr>
        <w:t>misth</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sis</w:t>
      </w:r>
      <w:r>
        <w:rPr>
          <w:rFonts w:ascii="Calibri" w:hAnsi="Calibri"/>
          <w:outline w:val="0"/>
          <w:color w:val="000000"/>
          <w:u w:color="000000"/>
          <w:rtl w:val="0"/>
          <w:lang w:val="en-US"/>
          <w14:textFill>
            <w14:solidFill>
              <w14:srgbClr w14:val="000000"/>
            </w14:solidFill>
          </w14:textFill>
        </w:rPr>
        <w:t xml:space="preserve"> document, the lessee agrees on the payment of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 xml:space="preserve">to the lessor (being the monastery), and A16 </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provides fragments of an account of money received or paid for titles such as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and </w:t>
      </w:r>
      <w:r>
        <w:rPr>
          <w:rFonts w:ascii="Calibri" w:hAnsi="Calibri"/>
          <w:i w:val="1"/>
          <w:iCs w:val="1"/>
          <w:outline w:val="0"/>
          <w:color w:val="000000"/>
          <w:u w:color="000000"/>
          <w:rtl w:val="0"/>
          <w:lang w:val="en-US"/>
          <w14:textFill>
            <w14:solidFill>
              <w14:srgbClr w14:val="000000"/>
            </w14:solidFill>
          </w14:textFill>
        </w:rPr>
        <w:t>chor</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gion</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ⲭⲩⲣⲉϭⲙ</w:t>
      </w:r>
      <w:r>
        <w:rPr>
          <w:rFonts w:ascii="IFAO-Grec Unicode" w:hAnsi="IFAO-Grec Unicode"/>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maintenance</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on single days of the months Pauni and Epeiph. </w:t>
      </w:r>
      <w:r>
        <w:rPr>
          <w:rFonts w:ascii="IFAO-Grec Unicode" w:hAnsi="IFAO-Grec Unicode"/>
          <w:outline w:val="0"/>
          <w:color w:val="000000"/>
          <w:u w:color="000000"/>
          <w:rtl w:val="0"/>
          <w:lang w:val="en-US"/>
          <w14:textFill>
            <w14:solidFill>
              <w14:srgbClr w14:val="000000"/>
            </w14:solidFill>
          </w14:textFill>
        </w:rPr>
        <w:t>Only one Coptic r</w:t>
      </w:r>
      <w:r>
        <w:rPr>
          <w:outline w:val="0"/>
          <w:color w:val="000000"/>
          <w:u w:color="000000"/>
          <w:rtl w:val="0"/>
          <w:lang w:val="en-US"/>
          <w14:textFill>
            <w14:solidFill>
              <w14:srgbClr w14:val="000000"/>
            </w14:solidFill>
          </w14:textFill>
        </w:rPr>
        <w:t xml:space="preserve">eceipt of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land tax</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from a supposedly non-monastic context is known to us, CPR 4</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 xml:space="preserve">142, an acknowledgement of receipt of 5 gold carats for the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mosion</w:t>
      </w:r>
      <w:r>
        <w:rPr>
          <w:outline w:val="0"/>
          <w:color w:val="000000"/>
          <w:u w:color="000000"/>
          <w:rtl w:val="0"/>
          <w:lang w:val="en-US"/>
          <w14:textFill>
            <w14:solidFill>
              <w14:srgbClr w14:val="000000"/>
            </w14:solidFill>
          </w14:textFill>
        </w:rPr>
        <w:t xml:space="preserve"> of the plot of arable land tilled by the addressee for the </w:t>
      </w:r>
      <w:r>
        <w:rPr>
          <w:i w:val="1"/>
          <w:iCs w:val="1"/>
          <w:outline w:val="0"/>
          <w:color w:val="000000"/>
          <w:u w:color="000000"/>
          <w:rtl w:val="0"/>
          <w:lang w:val="en-US"/>
          <w14:textFill>
            <w14:solidFill>
              <w14:srgbClr w14:val="000000"/>
            </w14:solidFill>
          </w14:textFill>
        </w:rPr>
        <w:t xml:space="preserve">karpos </w:t>
      </w:r>
      <w:r>
        <w:rPr>
          <w:outline w:val="0"/>
          <w:color w:val="000000"/>
          <w:u w:color="000000"/>
          <w:rtl w:val="0"/>
          <w:lang w:val="en-US"/>
          <w14:textFill>
            <w14:solidFill>
              <w14:srgbClr w14:val="000000"/>
            </w14:solidFill>
          </w14:textFill>
        </w:rPr>
        <w:t>of the 15</w:t>
      </w:r>
      <w:r>
        <w:rPr>
          <w:outline w:val="0"/>
          <w:color w:val="000000"/>
          <w:u w:color="000000"/>
          <w:vertAlign w:val="superscript"/>
          <w:rtl w:val="0"/>
          <w:lang w:val="en-US"/>
          <w14:textFill>
            <w14:solidFill>
              <w14:srgbClr w14:val="000000"/>
            </w14:solidFill>
          </w14:textFill>
        </w:rPr>
        <w:t>th</w:t>
      </w:r>
      <w:r>
        <w:rPr>
          <w:outline w:val="0"/>
          <w:color w:val="000000"/>
          <w:u w:color="000000"/>
          <w:rtl w:val="0"/>
          <w:lang w:val="en-US"/>
          <w14:textFill>
            <w14:solidFill>
              <w14:srgbClr w14:val="000000"/>
            </w14:solidFill>
          </w14:textFill>
        </w:rPr>
        <w:t xml:space="preserve"> indiction, which was issued by a </w:t>
      </w:r>
      <w:r>
        <w:rPr>
          <w:i w:val="1"/>
          <w:iCs w:val="1"/>
          <w:outline w:val="0"/>
          <w:color w:val="000000"/>
          <w:u w:color="000000"/>
          <w:rtl w:val="0"/>
          <w:lang w:val="en-US"/>
          <w14:textFill>
            <w14:solidFill>
              <w14:srgbClr w14:val="000000"/>
            </w14:solidFill>
          </w14:textFill>
        </w:rPr>
        <w:t>presbyteros</w:t>
      </w:r>
      <w:r>
        <w:rPr>
          <w:outline w:val="0"/>
          <w:color w:val="000000"/>
          <w:u w:color="000000"/>
          <w:rtl w:val="0"/>
          <w:lang w:val="en-US"/>
          <w14:textFill>
            <w14:solidFill>
              <w14:srgbClr w14:val="000000"/>
            </w14:solidFill>
          </w14:textFill>
        </w:rPr>
        <w:t xml:space="preserve"> to a farmer. Contemporary Greek receipts of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land tax</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or </w:t>
      </w:r>
      <w:r>
        <w:rPr>
          <w:rFonts w:ascii="Calibri" w:hAnsi="Calibri"/>
          <w:i w:val="1"/>
          <w:iCs w:val="1"/>
          <w:outline w:val="0"/>
          <w:color w:val="000000"/>
          <w:u w:color="000000"/>
          <w:rtl w:val="0"/>
          <w:lang w:val="en-US"/>
          <w14:textFill>
            <w14:solidFill>
              <w14:srgbClr w14:val="000000"/>
            </w14:solidFill>
          </w14:textFill>
        </w:rPr>
        <w:t>d</w:t>
      </w:r>
      <w:r>
        <w:rPr>
          <w:rFonts w:ascii="Calibri" w:hAnsi="Calibri" w:hint="default"/>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mosia</w:t>
      </w:r>
      <w:r>
        <w:rPr>
          <w:rFonts w:ascii="IFAO-Grec Unicode" w:hAnsi="IFAO-Grec Unicode"/>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(public) taxes</w:t>
      </w:r>
      <w:r>
        <w:rPr>
          <w:rFonts w:ascii="Calibri" w:hAnsi="Calibri" w:hint="default"/>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are drawn up by public authorities (e.g. the 6</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-century P.Lond. 5 1665)</w:t>
      </w:r>
      <w:r>
        <w:rPr>
          <w:rFonts w:ascii="Calibri" w:hAnsi="Calibri"/>
          <w:outline w:val="0"/>
          <w:color w:val="000000"/>
          <w:u w:color="000000"/>
          <w:rtl w:val="0"/>
          <w:lang w:val="en-US"/>
          <w14:textFill>
            <w14:solidFill>
              <w14:srgbClr w14:val="000000"/>
            </w14:solidFill>
          </w14:textFill>
        </w:rPr>
        <w:t>, but there are also examples of estate managers or lessors issuing them to tenants.</w:t>
      </w:r>
      <w:r>
        <w:rPr>
          <w:rFonts w:ascii="Calibri" w:cs="Calibri" w:hAnsi="Calibri" w:eastAsia="Calibri"/>
          <w:outline w:val="0"/>
          <w:color w:val="000000"/>
          <w:u w:color="000000"/>
          <w:vertAlign w:val="superscript"/>
          <w:lang w:val="en-US"/>
          <w14:textFill>
            <w14:solidFill>
              <w14:srgbClr w14:val="000000"/>
            </w14:solidFill>
          </w14:textFill>
        </w:rPr>
        <w:footnoteReference w:id="17"/>
      </w:r>
    </w:p>
    <w:p>
      <w:pPr>
        <w:pStyle w:val="Normal.0"/>
        <w:spacing w:line="360" w:lineRule="auto"/>
        <w:ind w:firstLine="720"/>
        <w:jc w:val="both"/>
      </w:pPr>
      <w:r>
        <w:rPr>
          <w:rtl w:val="0"/>
          <w:lang w:val="en-US"/>
        </w:rPr>
        <w:t>How should we imagine the arrangement behind this rather informal tax receipt? While the general context is clear, some aspects of the business remain obscure, since we cannot establish in what exact capacity the monks involved were acting. Let us suppose that the monastery of Apa Anoup would have rented the fields of Pital for cultivation to the monastery of Apa Ieremias. In this case, Peter and Makare would have been the managers of this land on behalf of the monastery of Apa Ieremias and Solomon would have collected the land tax from them, for which the monastery of Apa Anoup would still have been liable.</w:t>
      </w:r>
    </w:p>
    <w:p>
      <w:pPr>
        <w:pStyle w:val="Normal.0"/>
        <w:spacing w:line="360" w:lineRule="auto"/>
        <w:ind w:firstLine="720"/>
        <w:jc w:val="both"/>
      </w:pPr>
      <w:r>
        <w:rPr>
          <w:rtl w:val="0"/>
          <w:lang w:val="en-US"/>
        </w:rPr>
        <w:t>Solomon, as a monk involved in internal tax collection, would have forwarded the payment to the monastic administration, which, in turn, would have delivered it together with all its other tax payments to agents of the Hermopolite pagarchy. However, it is also possible that Solomon himself was the lessee of his own monastery and that he subleased the fields of Pital to the two other monks of the Apa Ieremias monastery. Thus, while not much would change in terms of tax-collection, the setting of the lease would be a very different one. However, the close connection of the two monasteries involved (see above) suggests that some sort of institutional collaboration is a more likely scenario.</w:t>
      </w:r>
      <w:r>
        <w:rPr>
          <w:vertAlign w:val="superscript"/>
        </w:rPr>
        <w:footnoteReference w:id="18"/>
      </w:r>
      <w:r>
        <w:rPr>
          <w:rtl w:val="0"/>
          <w:lang w:val="en-US"/>
        </w:rPr>
        <w:t xml:space="preserve"> </w:t>
      </w: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en-US"/>
        </w:rPr>
        <w:t>#editionDDB</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r>
        <w:rPr>
          <w:rFonts w:ascii="Times New Roman" w:hAnsi="Times New Roman"/>
          <w:sz w:val="22"/>
          <w:szCs w:val="22"/>
          <w:u w:color="000000"/>
          <w:rtl w:val="0"/>
          <w:lang w:val="de-DE"/>
        </w:rPr>
        <w:t>#metadata</w:t>
      </w:r>
    </w:p>
    <w:p>
      <w:pPr>
        <w:pStyle w:val="Default"/>
        <w:bidi w:val="0"/>
        <w:spacing w:before="0" w:line="240" w:lineRule="auto"/>
        <w:ind w:left="0" w:right="0" w:firstLine="0"/>
        <w:jc w:val="left"/>
        <w:rPr>
          <w:rFonts w:ascii="Times New Roman" w:cs="Times New Roman" w:hAnsi="Times New Roman" w:eastAsia="Times New Roman"/>
          <w:sz w:val="22"/>
          <w:szCs w:val="22"/>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tbl>
      <w:tblPr>
        <w:tblW w:w="962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210"/>
        <w:gridCol w:w="7417"/>
      </w:tblGrid>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Located</w:t>
            </w:r>
            <w:r>
              <w:rPr>
                <w:rFonts w:ascii="IFAO-Grec Unicode" w:hAnsi="IFAO-Grec Unicode"/>
                <w:sz w:val="24"/>
                <w:szCs w:val="24"/>
                <w:u w:color="000000"/>
                <w:shd w:val="nil" w:color="auto" w:fill="auto"/>
                <w:rtl w:val="0"/>
                <w:lang w:val="en-US"/>
              </w:rPr>
              <w:t>: Place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Hermopolites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Material</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Papyrus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TM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999999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HGV number</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99999</w:t>
            </w:r>
            <w:r>
              <w:rPr>
                <w:rFonts w:ascii="IFAO-Grec Unicode" w:hAnsi="IFAO-Grec Unicode"/>
                <w:sz w:val="24"/>
                <w:szCs w:val="24"/>
                <w:u w:color="000000"/>
                <w:shd w:val="nil" w:color="auto" w:fill="auto"/>
                <w:rtl w:val="0"/>
                <w:lang w:val="en-US"/>
              </w:rPr>
              <w:t>9</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ddb-filename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ddb-hybrid</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pylon;</w:t>
            </w:r>
            <w:r>
              <w:rPr>
                <w:rFonts w:ascii="IFAO-Grec Unicode" w:hAnsi="IFAO-Grec Unicode"/>
                <w:sz w:val="24"/>
                <w:szCs w:val="24"/>
                <w:u w:color="000000"/>
                <w:shd w:val="nil" w:color="auto" w:fill="auto"/>
                <w:rtl w:val="0"/>
                <w:lang w:val="en-US"/>
              </w:rPr>
              <w:t>3</w:t>
            </w:r>
            <w:r>
              <w:rPr>
                <w:rFonts w:ascii="IFAO-Grec Unicode" w:hAnsi="IFAO-Grec Unicode"/>
                <w:sz w:val="24"/>
                <w:szCs w:val="24"/>
                <w:u w:color="000000"/>
                <w:shd w:val="nil" w:color="auto" w:fill="auto"/>
                <w:rtl w:val="0"/>
                <w:lang w:val="en-US"/>
              </w:rPr>
              <w:t>;</w:t>
            </w:r>
            <w:r>
              <w:rPr>
                <w:rFonts w:ascii="IFAO-Grec Unicode" w:hAnsi="IFAO-Grec Unicode"/>
                <w:sz w:val="24"/>
                <w:szCs w:val="24"/>
                <w:u w:color="000000"/>
                <w:shd w:val="nil" w:color="auto" w:fill="auto"/>
                <w:rtl w:val="0"/>
                <w:lang w:val="en-US"/>
              </w:rPr>
              <w:t>6_2</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Descriptive title</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jc w:val="left"/>
            </w:pPr>
            <w:r>
              <w:rPr>
                <w:rFonts w:ascii="Calibri" w:hAnsi="Calibri"/>
                <w:sz w:val="24"/>
                <w:szCs w:val="24"/>
                <w:u w:color="000000"/>
                <w:rtl w:val="0"/>
              </w:rPr>
              <w:t>Receipt of land tax received and paid by monks</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Date of text</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rtl w:val="0"/>
                <w:lang w:val="en-US"/>
              </w:rPr>
              <w:t>7th-8th century</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Inventory no.</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P.</w:t>
            </w:r>
            <w:r>
              <w:rPr>
                <w:rFonts w:ascii="IFAO-Grec Unicode" w:hAnsi="IFAO-Grec Unicode"/>
                <w:sz w:val="24"/>
                <w:szCs w:val="24"/>
                <w:u w:color="000000"/>
                <w:shd w:val="nil" w:color="auto" w:fill="auto"/>
                <w:rtl w:val="0"/>
                <w:lang w:val="en-US"/>
              </w:rPr>
              <w:t>Berl. inv. P 11935</w:t>
            </w:r>
          </w:p>
        </w:tc>
      </w:tr>
      <w:tr>
        <w:tblPrEx>
          <w:shd w:val="clear" w:color="auto" w:fill="auto"/>
        </w:tblPrEx>
        <w:trPr>
          <w:trHeight w:val="300" w:hRule="atLeast"/>
        </w:trPr>
        <w:tc>
          <w:tcPr>
            <w:tcW w:type="dxa" w:w="22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en-US"/>
              </w:rPr>
              <w:t>Keywords</w:t>
            </w:r>
          </w:p>
        </w:tc>
        <w:tc>
          <w:tcPr>
            <w:tcW w:type="dxa" w:w="7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5f5f5"/>
            <w:tcMar>
              <w:top w:type="dxa" w:w="80"/>
              <w:left w:type="dxa" w:w="80"/>
              <w:bottom w:type="dxa" w:w="80"/>
              <w:right w:type="dxa" w:w="80"/>
            </w:tcMar>
            <w:vAlign w:val="top"/>
          </w:tcPr>
          <w:p>
            <w:pPr>
              <w:pStyle w:val="Table Style 2"/>
              <w:bidi w:val="0"/>
              <w:ind w:left="0" w:right="0" w:firstLine="0"/>
              <w:jc w:val="left"/>
              <w:rPr>
                <w:rtl w:val="0"/>
              </w:rPr>
            </w:pPr>
            <w:r>
              <w:rPr>
                <w:rFonts w:ascii="IFAO-Grec Unicode" w:hAnsi="IFAO-Grec Unicode"/>
                <w:sz w:val="24"/>
                <w:szCs w:val="24"/>
                <w:u w:color="000000"/>
                <w:shd w:val="nil" w:color="auto" w:fill="auto"/>
                <w:rtl w:val="0"/>
                <w:lang w:val="de-DE"/>
              </w:rPr>
              <w:t>Quittung</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Steuer</w:t>
            </w:r>
            <w:r>
              <w:rPr>
                <w:rFonts w:ascii="IFAO-Grec Unicode" w:hAnsi="IFAO-Grec Unicode"/>
                <w:sz w:val="24"/>
                <w:szCs w:val="24"/>
                <w:u w:color="000000"/>
                <w:shd w:val="nil" w:color="auto" w:fill="auto"/>
                <w:rtl w:val="0"/>
                <w:lang w:val="de-DE"/>
              </w:rPr>
              <w:t xml:space="preserve">, </w:t>
            </w:r>
            <w:r>
              <w:rPr>
                <w:rFonts w:ascii="IFAO-Grec Unicode" w:hAnsi="IFAO-Grec Unicode"/>
                <w:sz w:val="24"/>
                <w:szCs w:val="24"/>
                <w:u w:color="000000"/>
                <w:shd w:val="nil" w:color="auto" w:fill="auto"/>
                <w:rtl w:val="0"/>
                <w:lang w:val="de-DE"/>
              </w:rPr>
              <w:t>Land, M</w:t>
            </w:r>
            <w:r>
              <w:rPr>
                <w:rFonts w:ascii="IFAO-Grec Unicode" w:hAnsi="IFAO-Grec Unicode" w:hint="default"/>
                <w:sz w:val="24"/>
                <w:szCs w:val="24"/>
                <w:u w:color="000000"/>
                <w:shd w:val="nil" w:color="auto" w:fill="auto"/>
                <w:rtl w:val="0"/>
                <w:lang w:val="de-DE"/>
              </w:rPr>
              <w:t>ö</w:t>
            </w:r>
            <w:r>
              <w:rPr>
                <w:rFonts w:ascii="IFAO-Grec Unicode" w:hAnsi="IFAO-Grec Unicode"/>
                <w:sz w:val="24"/>
                <w:szCs w:val="24"/>
                <w:u w:color="000000"/>
                <w:shd w:val="nil" w:color="auto" w:fill="auto"/>
                <w:rtl w:val="0"/>
                <w:lang w:val="de-DE"/>
              </w:rPr>
              <w:t>nche</w:t>
            </w:r>
          </w:p>
        </w:tc>
      </w:tr>
    </w:tbl>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Helvetica" w:cs="Helvetica" w:hAnsi="Helvetica" w:eastAsia="Helvetica"/>
          <w:u w:color="000000"/>
          <w:rtl w:val="0"/>
        </w:rPr>
      </w:pPr>
    </w:p>
    <w:p>
      <w:pPr>
        <w:pStyle w:val="Default"/>
        <w:bidi w:val="0"/>
        <w:spacing w:before="0" w:line="240" w:lineRule="auto"/>
        <w:ind w:left="0" w:right="0" w:firstLine="0"/>
        <w:jc w:val="left"/>
        <w:rPr>
          <w:rFonts w:ascii="Times New Roman" w:cs="Times New Roman" w:hAnsi="Times New Roman" w:eastAsia="Times New Roman"/>
          <w:sz w:val="22"/>
          <w:szCs w:val="22"/>
          <w:rtl w:val="0"/>
        </w:rPr>
      </w:pPr>
    </w:p>
    <w:p>
      <w:pPr>
        <w:pStyle w:val="Normal.0"/>
        <w:spacing w:line="360" w:lineRule="auto"/>
      </w:pPr>
      <w:r>
        <w:rPr>
          <w:rtl w:val="0"/>
          <w:lang w:val="de-DE"/>
        </w:rPr>
        <w:t>#text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&lt;S=.cop</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&lt;=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 *stauros* </w:t>
      </w:r>
      <w:r>
        <w:rPr>
          <w:rFonts w:ascii="IFAO-Grec Unicode" w:hAnsi="IFAO-Grec Unicode" w:hint="default"/>
          <w:rtl w:val="0"/>
          <w:lang w:val="de-DE"/>
        </w:rPr>
        <w:t>ⲁⲛⲟⲕ ⲡⲁⲥⲟⲛ ⲥⲟⲗⲟⲙ</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2.- </w:t>
      </w:r>
      <w:r>
        <w:rPr>
          <w:rFonts w:ascii="IFAO-Grec Unicode" w:hAnsi="IFAO-Grec Unicode" w:hint="default"/>
          <w:rtl w:val="0"/>
          <w:lang w:val="de-DE"/>
        </w:rPr>
        <w:t>ⲟⲛ̣ ⲡ</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 xml:space="preserve">:&gt; </w:t>
      </w:r>
      <w:r>
        <w:rPr>
          <w:rFonts w:ascii="IFAO-Grec Unicode" w:hAnsi="IFAO-Grec Unicode" w:hint="default"/>
          <w:rtl w:val="0"/>
          <w:lang w:val="de-DE"/>
        </w:rPr>
        <w:t>ⲛ̄ⲡ</w:t>
      </w:r>
      <w:r>
        <w:rPr>
          <w:rFonts w:ascii="IFAO-Grec Unicode" w:hAnsi="IFAO-Grec Unicode"/>
          <w:rtl w:val="0"/>
          <w:lang w:val="de-DE"/>
        </w:rPr>
        <w:t>&lt;:</w:t>
      </w:r>
      <w:r>
        <w:rPr>
          <w:rFonts w:ascii="IFAO-Grec Unicode" w:hAnsi="IFAO-Grec Unicode" w:hint="default"/>
          <w:rtl w:val="0"/>
          <w:lang w:val="de-DE"/>
        </w:rPr>
        <w:t>τόπος</w:t>
      </w:r>
      <w:r>
        <w:rPr>
          <w:rFonts w:ascii="IFAO-Grec Unicode" w:hAnsi="IFAO-Grec Unicode"/>
          <w:rtl w:val="0"/>
          <w:lang w:val="de-DE"/>
        </w:rPr>
        <w:t>=grc|reg|</w:t>
      </w:r>
      <w:r>
        <w:rPr>
          <w:rFonts w:ascii="IFAO-Grec Unicode" w:hAnsi="IFAO-Grec Unicode" w:hint="default"/>
          <w:rtl w:val="0"/>
          <w:lang w:val="de-DE"/>
        </w:rPr>
        <w:t>ⲧⲟ</w:t>
      </w:r>
      <w:r>
        <w:rPr>
          <w:rFonts w:ascii="IFAO-Grec Unicode" w:hAnsi="IFAO-Grec Unicode"/>
          <w:rtl w:val="0"/>
          <w:lang w:val="de-DE"/>
        </w:rPr>
        <w:t xml:space="preserve">3.- </w:t>
      </w:r>
      <w:r>
        <w:rPr>
          <w:rFonts w:ascii="IFAO-Grec Unicode" w:hAnsi="IFAO-Grec Unicode" w:hint="default"/>
          <w:rtl w:val="0"/>
          <w:lang w:val="de-DE"/>
        </w:rPr>
        <w:t>ⲡⲟⲥ</w:t>
      </w:r>
      <w:r>
        <w:rPr>
          <w:rFonts w:ascii="IFAO-Grec Unicode" w:hAnsi="IFAO-Grec Unicode"/>
          <w:rtl w:val="0"/>
          <w:lang w:val="de-DE"/>
        </w:rPr>
        <w:t>:&gt; &lt;:</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ἅγιος</w:t>
      </w:r>
      <w:r>
        <w:rPr>
          <w:rFonts w:ascii="IFAO-Grec Unicode" w:hAnsi="IFAO-Grec Unicode"/>
          <w:rtl w:val="0"/>
          <w:lang w:val="de-DE"/>
        </w:rPr>
        <w:t>=grc|reg|</w:t>
      </w:r>
      <w:r>
        <w:rPr>
          <w:rFonts w:ascii="IFAO-Grec Unicode" w:hAnsi="IFAO-Grec Unicode" w:hint="default"/>
          <w:rtl w:val="0"/>
          <w:lang w:val="de-DE"/>
        </w:rPr>
        <w:t>ϩⲁⲅⲓⲟⲥ</w:t>
      </w:r>
      <w:r>
        <w:rPr>
          <w:rFonts w:ascii="IFAO-Grec Unicode" w:hAnsi="IFAO-Grec Unicode"/>
          <w:rtl w:val="0"/>
          <w:lang w:val="de-DE"/>
        </w:rPr>
        <w:t>:&gt;|reg|</w:t>
      </w:r>
      <w:r>
        <w:rPr>
          <w:rFonts w:ascii="IFAO-Grec Unicode" w:hAnsi="IFAO-Grec Unicode" w:hint="default"/>
          <w:rtl w:val="0"/>
          <w:lang w:val="de-DE"/>
        </w:rPr>
        <w:t>ⲫⲁⲅⲓⲟⲥ</w:t>
      </w:r>
      <w:r>
        <w:rPr>
          <w:rFonts w:ascii="IFAO-Grec Unicode" w:hAnsi="IFAO-Grec Unicode"/>
          <w:rtl w:val="0"/>
          <w:lang w:val="de-DE"/>
        </w:rPr>
        <w:t xml:space="preserve">:&gt; </w:t>
      </w:r>
      <w:r>
        <w:rPr>
          <w:rFonts w:ascii="IFAO-Grec Unicode" w:hAnsi="IFAO-Grec Unicode" w:hint="default"/>
          <w:rtl w:val="0"/>
          <w:lang w:val="de-DE"/>
        </w:rPr>
        <w:t>ⲉⲧⲟⲩ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4.- </w:t>
      </w:r>
      <w:r>
        <w:rPr>
          <w:rFonts w:ascii="IFAO-Grec Unicode" w:hAnsi="IFAO-Grec Unicode" w:hint="default"/>
          <w:rtl w:val="0"/>
          <w:lang w:val="de-DE"/>
        </w:rPr>
        <w:t>ⲁⲁⲃ̣ ⲁⲡⲁ ⲁⲛⲟⲩⲡ ⲉⲓ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5. </w:t>
      </w:r>
      <w:r>
        <w:rPr>
          <w:rFonts w:ascii="IFAO-Grec Unicode" w:hAnsi="IFAO-Grec Unicode" w:hint="default"/>
          <w:rtl w:val="0"/>
          <w:lang w:val="de-DE"/>
        </w:rPr>
        <w:t>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 </w:t>
      </w:r>
      <w:r>
        <w:rPr>
          <w:rFonts w:ascii="IFAO-Grec Unicode" w:hAnsi="IFAO-Grec Unicode" w:hint="default"/>
          <w:rtl w:val="0"/>
          <w:lang w:val="de-DE"/>
        </w:rPr>
        <w:t>ⲛ̄ⲡⲁⲥⲟⲛ ⲡⲉⲧⲉⲣ</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6. </w:t>
      </w:r>
      <w:r>
        <w:rPr>
          <w:rFonts w:ascii="IFAO-Grec Unicode" w:hAnsi="IFAO-Grec Unicode" w:hint="default"/>
          <w:rtl w:val="0"/>
          <w:lang w:val="de-DE"/>
        </w:rPr>
        <w:t>ⲙⲉⲛ ⲡⲁⲥⲟⲛ ⲙⲁⲕⲁ</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7.- </w:t>
      </w:r>
      <w:r>
        <w:rPr>
          <w:rFonts w:ascii="IFAO-Grec Unicode" w:hAnsi="IFAO-Grec Unicode" w:hint="default"/>
          <w:rtl w:val="0"/>
          <w:lang w:val="de-DE"/>
        </w:rPr>
        <w:t>ⲣⲉ ⲛⲉ</w:t>
      </w:r>
      <w:r>
        <w:rPr>
          <w:rFonts w:ascii="IFAO-Grec Unicode" w:hAnsi="IFAO-Grec Unicode"/>
          <w:rtl w:val="0"/>
          <w:lang w:val="de-DE"/>
        </w:rPr>
        <w:t>&lt;:</w:t>
      </w:r>
      <w:r>
        <w:rPr>
          <w:rFonts w:ascii="IFAO-Grec Unicode" w:hAnsi="IFAO-Grec Unicode" w:hint="default"/>
          <w:rtl w:val="0"/>
          <w:lang w:val="de-DE"/>
        </w:rPr>
        <w:t>μοναχός</w:t>
      </w:r>
      <w:r>
        <w:rPr>
          <w:rFonts w:ascii="IFAO-Grec Unicode" w:hAnsi="IFAO-Grec Unicode"/>
          <w:rtl w:val="0"/>
          <w:lang w:val="de-DE"/>
        </w:rPr>
        <w:t>=grc|reg|</w:t>
      </w:r>
      <w:r>
        <w:rPr>
          <w:rFonts w:ascii="IFAO-Grec Unicode" w:hAnsi="IFAO-Grec Unicode" w:hint="default"/>
          <w:rtl w:val="0"/>
          <w:lang w:val="de-DE"/>
        </w:rPr>
        <w:t>ⲙⲟⲛⲟⲭⲟⲥ</w:t>
      </w:r>
      <w:r>
        <w:rPr>
          <w:rFonts w:ascii="IFAO-Grec Unicode" w:hAnsi="IFAO-Grec Unicode"/>
          <w:rtl w:val="0"/>
          <w:lang w:val="de-DE"/>
        </w:rPr>
        <w:t>:&gt;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rPr>
      </w:pPr>
      <w:r>
        <w:rPr>
          <w:rFonts w:ascii="IFAO-Grec Unicode" w:hAnsi="IFAO-Grec Unicode"/>
          <w:rtl w:val="0"/>
          <w:lang w:val="de-DE"/>
        </w:rPr>
        <w:t xml:space="preserve">8. </w:t>
      </w:r>
      <w:r>
        <w:rPr>
          <w:rFonts w:ascii="IFAO-Grec Unicode" w:hAnsi="IFAO-Grec Unicode" w:hint="default"/>
          <w:rtl w:val="0"/>
          <w:lang w:val="de-DE"/>
        </w:rPr>
        <w:t>ⲛ̄</w:t>
      </w:r>
      <w:r>
        <w:rPr>
          <w:rFonts w:ascii="MS Gothic" w:cs="MS Gothic" w:hAnsi="MS Gothic" w:eastAsia="MS Gothic" w:hint="eastAsia"/>
          <w:rtl w:val="0"/>
          <w:lang w:val="en-US"/>
        </w:rPr>
        <w:t>〚</w:t>
      </w:r>
      <w:r>
        <w:rPr>
          <w:rFonts w:ascii="IFAO-Grec Unicode" w:hAnsi="IFAO-Grec Unicode"/>
          <w:rtl w:val="0"/>
          <w:lang w:val="de-DE"/>
        </w:rPr>
        <w:t>.1</w:t>
      </w:r>
      <w:r>
        <w:rPr>
          <w:rFonts w:ascii="MS Gothic" w:cs="MS Gothic" w:hAnsi="MS Gothic" w:eastAsia="MS Gothic" w:hint="eastAsia"/>
          <w:rtl w:val="0"/>
          <w:lang w:val="en-US"/>
        </w:rPr>
        <w:t>〛</w:t>
      </w:r>
      <w:r>
        <w:rPr>
          <w:rFonts w:ascii="IFAO-Grec Unicode" w:hAnsi="IFAO-Grec Unicode" w:hint="default"/>
          <w:rtl w:val="0"/>
          <w:lang w:val="de-DE"/>
        </w:rPr>
        <w:t>ⲁⲡⲁ ⲉⲓⲣⲉⲙ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ⲁⲥ</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9. </w:t>
      </w:r>
      <w:r>
        <w:rPr>
          <w:rFonts w:ascii="IFAO-Grec Unicode" w:hAnsi="IFAO-Grec Unicode" w:hint="default"/>
          <w:rtl w:val="0"/>
          <w:lang w:val="de-DE"/>
        </w:rPr>
        <w:t>ϫⲉ ⲉⲓⲥ ⲟⲩ</w:t>
      </w:r>
      <w:r>
        <w:rPr>
          <w:rFonts w:ascii="IFAO-Grec Unicode" w:hAnsi="IFAO-Grec Unicode"/>
          <w:rtl w:val="0"/>
          <w:lang w:val="de-DE"/>
        </w:rPr>
        <w:t>&lt;:</w:t>
      </w:r>
      <w:r>
        <w:rPr>
          <w:rFonts w:ascii="IFAO-Grec Unicode" w:hAnsi="IFAO-Grec Unicode" w:hint="default"/>
          <w:rtl w:val="0"/>
          <w:lang w:val="de-DE"/>
        </w:rPr>
        <w:t>τριμήσιον</w:t>
      </w:r>
      <w:r>
        <w:rPr>
          <w:rFonts w:ascii="IFAO-Grec Unicode" w:hAnsi="IFAO-Grec Unicode"/>
          <w:rtl w:val="0"/>
          <w:lang w:val="de-DE"/>
        </w:rPr>
        <w:t>=grc|reg|</w:t>
      </w:r>
      <w:r>
        <w:rPr>
          <w:rFonts w:ascii="IFAO-Grec Unicode" w:hAnsi="IFAO-Grec Unicode" w:hint="default"/>
          <w:rtl w:val="0"/>
          <w:lang w:val="de-DE"/>
        </w:rPr>
        <w:t>ⲧⲉⲣⲙⲏ</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10.- </w:t>
      </w:r>
      <w:r>
        <w:rPr>
          <w:rFonts w:ascii="IFAO-Grec Unicode" w:hAnsi="IFAO-Grec Unicode" w:hint="default"/>
          <w:rtl w:val="0"/>
          <w:lang w:val="de-DE"/>
        </w:rPr>
        <w:t>ⲥⲉⲛ</w:t>
      </w:r>
      <w:r>
        <w:rPr>
          <w:rFonts w:ascii="IFAO-Grec Unicode" w:hAnsi="IFAO-Grec Unicode"/>
          <w:rtl w:val="0"/>
          <w:lang w:val="de-DE"/>
        </w:rPr>
        <w:t xml:space="preserve">:&gt; </w:t>
      </w:r>
      <w:r>
        <w:rPr>
          <w:rFonts w:ascii="IFAO-Grec Unicode" w:hAnsi="IFAO-Grec Unicode" w:hint="default"/>
          <w:rtl w:val="0"/>
          <w:lang w:val="de-DE"/>
        </w:rPr>
        <w:t xml:space="preserve">ⲁϥⲉⲓ ⲉⲧⲟⲟⲧ ϩⲉⲛ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11. </w:t>
      </w:r>
      <w:r>
        <w:rPr>
          <w:rFonts w:ascii="IFAO-Grec Unicode" w:hAnsi="IFAO-Grec Unicode" w:hint="default"/>
          <w:rtl w:val="0"/>
          <w:lang w:val="de-DE"/>
        </w:rPr>
        <w:t>ⲡ</w:t>
      </w:r>
      <w:r>
        <w:rPr>
          <w:rFonts w:ascii="IFAO-Grec Unicode" w:hAnsi="IFAO-Grec Unicode"/>
          <w:rtl w:val="0"/>
          <w:lang w:val="de-DE"/>
        </w:rPr>
        <w:t>&lt;:</w:t>
      </w:r>
      <w:r>
        <w:rPr>
          <w:rFonts w:ascii="IFAO-Grec Unicode" w:hAnsi="IFAO-Grec Unicode" w:hint="default"/>
          <w:rtl w:val="0"/>
          <w:lang w:val="de-DE"/>
        </w:rPr>
        <w:t>δημόσιον</w:t>
      </w:r>
      <w:r>
        <w:rPr>
          <w:rFonts w:ascii="IFAO-Grec Unicode" w:hAnsi="IFAO-Grec Unicode"/>
          <w:rtl w:val="0"/>
          <w:lang w:val="de-DE"/>
        </w:rPr>
        <w:t>=grc|reg|</w:t>
      </w:r>
      <w:r>
        <w:rPr>
          <w:rFonts w:ascii="IFAO-Grec Unicode" w:hAnsi="IFAO-Grec Unicode" w:hint="default"/>
          <w:rtl w:val="0"/>
          <w:lang w:val="de-DE"/>
        </w:rPr>
        <w:t>ⲧⲉⲙⲟⲥⲉⲛ</w:t>
      </w:r>
      <w:r>
        <w:rPr>
          <w:rFonts w:ascii="IFAO-Grec Unicode" w:hAnsi="IFAO-Grec Unicode"/>
          <w:rtl w:val="0"/>
          <w:lang w:val="de-DE"/>
        </w:rPr>
        <w:t xml:space="preserve">:&gt; </w:t>
      </w:r>
      <w:r>
        <w:rPr>
          <w:rFonts w:ascii="IFAO-Grec Unicode" w:hAnsi="IFAO-Grec Unicode" w:hint="default"/>
          <w:rtl w:val="0"/>
          <w:lang w:val="de-DE"/>
        </w:rPr>
        <w:t>ⲛ̄ⲛⲉ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12.-</w:t>
      </w:r>
      <w:r>
        <w:rPr>
          <w:rFonts w:ascii="IFAO-Grec Unicode" w:hAnsi="IFAO-Grec Unicode" w:hint="default"/>
          <w:rtl w:val="0"/>
          <w:lang w:val="de-DE"/>
        </w:rPr>
        <w:t>ϩⲓⲟⲓ̈ ⲡⲓ̈ⲧⲁⲗ ⲛ̄ⲡⲟⲟⲩ</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13. </w:t>
      </w:r>
      <w:r>
        <w:rPr>
          <w:rFonts w:ascii="IFAO-Grec Unicode" w:hAnsi="IFAO-Grec Unicode" w:hint="default"/>
          <w:rtl w:val="0"/>
          <w:lang w:val="de-DE"/>
        </w:rPr>
        <w:t xml:space="preserve">ⲡⲁⲓ̈ ⲉⲧⲉ ⲥⲟⲩ </w:t>
      </w:r>
      <w:r>
        <w:rPr>
          <w:rFonts w:ascii="IFAO-Grec Unicode" w:hAnsi="IFAO-Grec Unicode"/>
          <w:rtl w:val="0"/>
          <w:lang w:val="de-DE"/>
        </w:rPr>
        <w:t>&lt;#&lt;:</w:t>
      </w:r>
      <w:r>
        <w:rPr>
          <w:rFonts w:ascii="IFAO-Grec Unicode" w:hAnsi="IFAO-Grec Unicode" w:hint="default"/>
          <w:rtl w:val="0"/>
          <w:lang w:val="de-DE"/>
        </w:rPr>
        <w:t>ⲙⲛⲧϣⲙⲏⲛⲉ</w:t>
      </w:r>
      <w:r>
        <w:rPr>
          <w:rFonts w:ascii="IFAO-Grec Unicode" w:hAnsi="IFAO-Grec Unicode"/>
          <w:rtl w:val="0"/>
          <w:lang w:val="de-DE"/>
        </w:rPr>
        <w:t>|reg|</w:t>
      </w:r>
      <w:r>
        <w:rPr>
          <w:rFonts w:ascii="IFAO-Grec Unicode" w:hAnsi="IFAO-Grec Unicode" w:hint="default"/>
          <w:rtl w:val="0"/>
          <w:lang w:val="de-DE"/>
        </w:rPr>
        <w:t>ⲙⲏⲧϫⲓ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14.- </w:t>
      </w:r>
      <w:r>
        <w:rPr>
          <w:rFonts w:ascii="IFAO-Grec Unicode" w:hAnsi="IFAO-Grec Unicode" w:hint="default"/>
          <w:rtl w:val="0"/>
          <w:lang w:val="de-DE"/>
        </w:rPr>
        <w:t>ⲙⲏⲛ</w:t>
      </w:r>
      <w:r>
        <w:rPr>
          <w:rFonts w:ascii="IFAO-Grec Unicode" w:hAnsi="IFAO-Grec Unicode"/>
          <w:rtl w:val="0"/>
          <w:lang w:val="de-DE"/>
        </w:rPr>
        <w:t xml:space="preserve">:&gt;=18#&gt; </w:t>
      </w:r>
      <w:r>
        <w:rPr>
          <w:rFonts w:ascii="IFAO-Grec Unicode" w:hAnsi="IFAO-Grec Unicode" w:hint="default"/>
          <w:rtl w:val="0"/>
          <w:lang w:val="de-DE"/>
        </w:rPr>
        <w:t>ⲛ̄ⲡⲉⲃⲟⲧ ⲭ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w:t>
      </w:r>
      <w:r>
        <w:rPr>
          <w:rFonts w:ascii="IFAO-Grec Unicode" w:hAnsi="IFAO-Grec Unicode" w:hint="default"/>
          <w:rtl w:val="0"/>
          <w:lang w:val="de-DE"/>
        </w:rPr>
        <w:t>ⲁⲭ</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15. </w:t>
      </w:r>
      <w:r>
        <w:rPr>
          <w:rFonts w:ascii="IFAO-Grec Unicode" w:hAnsi="IFAO-Grec Unicode" w:hint="default"/>
          <w:rtl w:val="0"/>
          <w:lang w:val="de-DE"/>
        </w:rPr>
        <w:t>ⲛ̄ⲧⲓⲣⲟⲙⲡⲉ ⲧⲁ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&lt;#&lt;:</w:t>
      </w:r>
      <w:r>
        <w:rPr>
          <w:rFonts w:ascii="IFAO-Grec Unicode" w:hAnsi="IFAO-Grec Unicode" w:hint="default"/>
          <w:rtl w:val="0"/>
          <w:lang w:val="de-DE"/>
        </w:rPr>
        <w:t>ἔνατος</w:t>
      </w:r>
      <w:r>
        <w:rPr>
          <w:rFonts w:ascii="IFAO-Grec Unicode" w:hAnsi="IFAO-Grec Unicode"/>
          <w:rtl w:val="0"/>
          <w:lang w:val="de-DE"/>
        </w:rPr>
        <w:t>=grc|reg|</w:t>
      </w:r>
      <w:r>
        <w:rPr>
          <w:rFonts w:ascii="IFAO-Grec Unicode" w:hAnsi="IFAO-Grec Unicode" w:hint="default"/>
          <w:rtl w:val="0"/>
          <w:lang w:val="de-DE"/>
        </w:rPr>
        <w:t>ϩⲉⲛ</w:t>
      </w:r>
      <w:r>
        <w:rPr>
          <w:rFonts w:ascii="IFAO-Grec Unicode" w:hAnsi="IFAO-Grec Unicode"/>
          <w:rtl w:val="0"/>
          <w:lang w:val="de-DE"/>
        </w:rPr>
        <w:t>-</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16. </w:t>
      </w:r>
      <w:r>
        <w:rPr>
          <w:rFonts w:ascii="IFAO-Grec Unicode" w:hAnsi="IFAO-Grec Unicode" w:hint="default"/>
          <w:rtl w:val="0"/>
          <w:lang w:val="de-DE"/>
        </w:rPr>
        <w:t>ⲛⲁⲧⲏⲥ</w:t>
      </w:r>
      <w:r>
        <w:rPr>
          <w:rFonts w:ascii="IFAO-Grec Unicode" w:hAnsi="IFAO-Grec Unicode"/>
          <w:rtl w:val="0"/>
          <w:lang w:val="de-DE"/>
        </w:rPr>
        <w:t xml:space="preserve">:&gt;=9#&gt; </w:t>
      </w:r>
      <w:r>
        <w:rPr>
          <w:rFonts w:ascii="IFAO-Grec Unicode" w:hAnsi="IFAO-Grec Unicode" w:hint="default"/>
          <w:rtl w:val="0"/>
          <w:lang w:val="de-DE"/>
        </w:rPr>
        <w:t>ⲛ̄</w:t>
      </w:r>
      <w:r>
        <w:rPr>
          <w:rFonts w:ascii="IFAO-Grec Unicode" w:hAnsi="IFAO-Grec Unicode"/>
          <w:rtl w:val="0"/>
          <w:lang w:val="de-DE"/>
        </w:rPr>
        <w:t xml:space="preserve">&lt;: </w:t>
      </w:r>
      <w:r>
        <w:rPr>
          <w:rFonts w:ascii="IFAO-Grec Unicode" w:hAnsi="IFAO-Grec Unicode" w:hint="default"/>
          <w:rtl w:val="0"/>
          <w:lang w:val="de-DE"/>
        </w:rPr>
        <w:t>ἰνδικτίων</w:t>
      </w:r>
      <w:r>
        <w:rPr>
          <w:rFonts w:ascii="IFAO-Grec Unicode" w:hAnsi="IFAO-Grec Unicode"/>
          <w:rtl w:val="0"/>
          <w:lang w:val="de-DE"/>
        </w:rPr>
        <w:t>=grc|reg|(</w:t>
      </w:r>
      <w:r>
        <w:rPr>
          <w:rFonts w:ascii="IFAO-Grec Unicode" w:hAnsi="IFAO-Grec Unicode" w:hint="default"/>
          <w:rtl w:val="0"/>
          <w:lang w:val="de-DE"/>
        </w:rPr>
        <w:t>ⲓ</w:t>
      </w:r>
      <w:r>
        <w:rPr>
          <w:rFonts w:ascii="IFAO-Grec Unicode" w:hAnsi="IFAO-Grec Unicode"/>
          <w:rtl w:val="0"/>
          <w:lang w:val="de-DE"/>
        </w:rPr>
        <w:t>(</w:t>
      </w:r>
      <w:r>
        <w:rPr>
          <w:rFonts w:ascii="IFAO-Grec Unicode" w:hAnsi="IFAO-Grec Unicode" w:hint="default"/>
          <w:rtl w:val="0"/>
          <w:lang w:val="de-DE"/>
        </w:rPr>
        <w:t>ⲛ</w:t>
      </w:r>
      <w:r>
        <w:rPr>
          <w:rFonts w:ascii="IFAO-Grec Unicode" w:hAnsi="IFAO-Grec Unicode"/>
          <w:rtl w:val="0"/>
          <w:lang w:val="de-DE"/>
        </w:rPr>
        <w:t>)</w:t>
      </w:r>
      <w:r>
        <w:rPr>
          <w:rFonts w:ascii="IFAO-Grec Unicode" w:hAnsi="IFAO-Grec Unicode" w:hint="default"/>
          <w:rtl w:val="0"/>
          <w:lang w:val="de-DE"/>
        </w:rPr>
        <w:t>ⲇ</w:t>
      </w:r>
      <w:r>
        <w:rPr>
          <w:rFonts w:ascii="IFAO-Grec Unicode" w:hAnsi="IFAO-Grec Unicode"/>
          <w:rtl w:val="0"/>
          <w:lang w:val="de-DE"/>
        </w:rPr>
        <w:t>(</w:t>
      </w:r>
      <w:r>
        <w:rPr>
          <w:rFonts w:ascii="IFAO-Grec Unicode" w:hAnsi="IFAO-Grec Unicode" w:hint="default"/>
          <w:rtl w:val="0"/>
          <w:lang w:val="de-DE"/>
        </w:rPr>
        <w:t>ⲓⲕⲧⲓⲱⲛⲟⲥ</w:t>
      </w:r>
      <w:r>
        <w:rPr>
          <w:rFonts w:ascii="IFAO-Grec Unicode" w:hAnsi="IFAO-Grec Unicode"/>
          <w:rtl w:val="0"/>
          <w:lang w:val="de-DE"/>
        </w:rPr>
        <w:t xml:space="preserve">)):&gt; </w:t>
      </w:r>
      <w:r>
        <w:rPr>
          <w:rFonts w:ascii="IFAO-Grec Unicode" w:hAnsi="IFAO-Grec Unicode" w:hint="default"/>
          <w:rtl w:val="0"/>
          <w:lang w:val="de-DE"/>
        </w:rPr>
        <w:t xml:space="preserve">ⲁⲛⲟⲕ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17. </w:t>
      </w:r>
      <w:r>
        <w:rPr>
          <w:rFonts w:ascii="IFAO-Grec Unicode" w:hAnsi="IFAO-Grec Unicode" w:hint="default"/>
          <w:rtl w:val="0"/>
          <w:lang w:val="de-DE"/>
        </w:rPr>
        <w:t xml:space="preserve">ⲡⲁⲥⲟⲛ ⲥⲟⲗⲟⲙⲟⲛ </w:t>
      </w:r>
      <w:r>
        <w:rPr>
          <w:rFonts w:ascii="IFAO-Grec Unicode" w:hAnsi="IFAO-Grec Unicode"/>
          <w:rtl w:val="0"/>
          <w:lang w:val="de-DE"/>
        </w:rPr>
        <w:t>&lt;:</w:t>
      </w:r>
      <w:r>
        <w:rPr>
          <w:rFonts w:ascii="IFAO-Grec Unicode" w:hAnsi="IFAO-Grec Unicode" w:hint="default"/>
          <w:rtl w:val="0"/>
          <w:lang w:val="de-DE"/>
        </w:rPr>
        <w:t>ⲡⲉⲧ</w:t>
      </w:r>
      <w:r>
        <w:rPr>
          <w:rFonts w:ascii="IFAO-Grec Unicode" w:hAnsi="IFAO-Grec Unicode"/>
          <w:rtl w:val="0"/>
          <w:lang w:val="de-DE"/>
        </w:rPr>
        <w:t xml:space="preserve">18.- </w:t>
      </w:r>
      <w:r>
        <w:rPr>
          <w:rFonts w:ascii="IFAO-Grec Unicode" w:hAnsi="IFAO-Grec Unicode" w:hint="default"/>
          <w:rtl w:val="0"/>
          <w:lang w:val="de-DE"/>
        </w:rPr>
        <w:t>ϣⲣⲡⲥϩⲁⲓ</w:t>
      </w:r>
      <w:r>
        <w:rPr>
          <w:rFonts w:ascii="IFAO-Grec Unicode" w:hAnsi="IFAO-Grec Unicode"/>
          <w:rtl w:val="0"/>
          <w:lang w:val="de-DE"/>
        </w:rPr>
        <w:t>|reg|</w:t>
      </w:r>
      <w:r>
        <w:rPr>
          <w:rFonts w:ascii="IFAO-Grec Unicode" w:hAnsi="IFAO-Grec Unicode" w:hint="default"/>
          <w:rtl w:val="0"/>
          <w:lang w:val="de-DE"/>
        </w:rPr>
        <w:t>ⲡⲉ</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18. </w:t>
      </w:r>
      <w:r>
        <w:rPr>
          <w:rFonts w:ascii="IFAO-Grec Unicode" w:hAnsi="IFAO-Grec Unicode" w:hint="default"/>
          <w:rtl w:val="0"/>
          <w:lang w:val="de-DE"/>
        </w:rPr>
        <w:t>ⲧϣⲉⲣⲉⲥϩⲁ ⲓ</w:t>
      </w:r>
      <w:r>
        <w:rPr>
          <w:rFonts w:ascii="IFAO-Grec Unicode" w:hAnsi="IFAO-Grec Unicode"/>
          <w:rtl w:val="0"/>
          <w:lang w:val="de-DE"/>
        </w:rPr>
        <w:t>(</w:t>
      </w:r>
      <w:r>
        <w:rPr>
          <w:rFonts w:ascii="IFAO-Grec Unicode" w:hAnsi="IFAO-Grec Unicode" w:hint="default"/>
          <w:rtl w:val="0"/>
          <w:lang w:val="de-DE"/>
        </w:rPr>
        <w:t>¨</w:t>
      </w:r>
      <w:r>
        <w:rPr>
          <w:rFonts w:ascii="IFAO-Grec Unicode" w:hAnsi="IFAO-Grec Unicode"/>
          <w:rtl w:val="0"/>
          <w:lang w:val="de-DE"/>
        </w:rPr>
        <w:t xml:space="preserve">):&gt; </w:t>
      </w:r>
      <w:r>
        <w:rPr>
          <w:rFonts w:ascii="IFAO-Grec Unicode" w:hAnsi="IFAO-Grec Unicode" w:hint="default"/>
          <w:rtl w:val="0"/>
          <w:lang w:val="de-DE"/>
        </w:rPr>
        <w:t>ⲧⲓ</w:t>
      </w:r>
      <w:r>
        <w:rPr>
          <w:rFonts w:ascii="IFAO-Grec Unicode" w:hAnsi="IFAO-Grec Unicode"/>
          <w:rtl w:val="0"/>
          <w:lang w:val="de-DE"/>
        </w:rPr>
        <w:t>&lt;:</w:t>
      </w:r>
      <w:r>
        <w:rPr>
          <w:rFonts w:ascii="IFAO-Grec Unicode" w:hAnsi="IFAO-Grec Unicode" w:hint="default"/>
          <w:rtl w:val="0"/>
          <w:lang w:val="de-DE"/>
        </w:rPr>
        <w:t>στοιχεῖν</w:t>
      </w:r>
      <w:r>
        <w:rPr>
          <w:rFonts w:ascii="IFAO-Grec Unicode" w:hAnsi="IFAO-Grec Unicode"/>
          <w:rtl w:val="0"/>
          <w:lang w:val="de-DE"/>
        </w:rPr>
        <w:t>=grc|reg|[</w:t>
      </w:r>
      <w:r>
        <w:rPr>
          <w:rFonts w:ascii="IFAO-Grec Unicode" w:hAnsi="IFAO-Grec Unicode" w:hint="default"/>
          <w:rtl w:val="0"/>
          <w:lang w:val="de-DE"/>
        </w:rPr>
        <w:t>ⲥⲧⲟ</w:t>
      </w:r>
      <w:r>
        <w:rPr>
          <w:rFonts w:ascii="IFAO-Grec Unicode" w:hAnsi="IFAO-Grec Unicode"/>
          <w:rtl w:val="0"/>
          <w:lang w:val="de-DE"/>
        </w:rPr>
        <w:t>]</w:t>
      </w:r>
      <w:r>
        <w:rPr>
          <w:rFonts w:ascii="IFAO-Grec Unicode" w:hAnsi="IFAO-Grec Unicode" w:hint="default"/>
          <w:rtl w:val="0"/>
          <w:lang w:val="de-DE"/>
        </w:rPr>
        <w:t>ⲓ̣</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IFAO-Grec Unicode" w:cs="IFAO-Grec Unicode" w:hAnsi="IFAO-Grec Unicode" w:eastAsia="IFAO-Grec Unicode"/>
          <w:lang w:val="de-DE"/>
        </w:rPr>
      </w:pPr>
      <w:r>
        <w:rPr>
          <w:rFonts w:ascii="IFAO-Grec Unicode" w:hAnsi="IFAO-Grec Unicode"/>
          <w:rtl w:val="0"/>
          <w:lang w:val="de-DE"/>
        </w:rPr>
        <w:t xml:space="preserve">19.- </w:t>
      </w:r>
      <w:r>
        <w:rPr>
          <w:rFonts w:ascii="IFAO-Grec Unicode" w:hAnsi="IFAO-Grec Unicode" w:hint="default"/>
          <w:rtl w:val="0"/>
          <w:lang w:val="de-DE"/>
        </w:rPr>
        <w:t>ⲭⲉ</w:t>
      </w:r>
      <w:r>
        <w:rPr>
          <w:rFonts w:ascii="IFAO-Grec Unicode" w:hAnsi="IFAO-Grec Unicode"/>
          <w:rtl w:val="0"/>
          <w:lang w:val="de-DE"/>
        </w:rPr>
        <w:t xml:space="preserve">:&gt; *stauros* </w:t>
      </w:r>
    </w:p>
    <w:p>
      <w:pPr>
        <w:pStyle w:val="Normal.0"/>
        <w:tabs>
          <w:tab w:val="left" w:pos="708"/>
          <w:tab w:val="left" w:pos="1416"/>
          <w:tab w:val="left" w:pos="2124"/>
          <w:tab w:val="left" w:pos="2832"/>
          <w:tab w:val="left" w:pos="3540"/>
          <w:tab w:val="left" w:pos="4248"/>
          <w:tab w:val="left" w:pos="4956"/>
          <w:tab w:val="left" w:pos="5664"/>
          <w:tab w:val="left" w:pos="6372"/>
        </w:tabs>
        <w:spacing w:after="160" w:line="240" w:lineRule="exact"/>
        <w:rPr>
          <w:rFonts w:ascii="Antinoou" w:cs="Antinoou" w:hAnsi="Antinoou" w:eastAsia="Antinoou"/>
          <w:sz w:val="18"/>
          <w:szCs w:val="18"/>
          <w:lang w:val="de-DE"/>
        </w:rPr>
      </w:pPr>
      <w:r>
        <w:rPr>
          <w:rFonts w:ascii="IFAO-Grec Unicode" w:hAnsi="IFAO-Grec Unicode"/>
          <w:rtl w:val="0"/>
          <w:lang w:val="de-DE"/>
        </w:rPr>
        <w:t>=&gt;</w:t>
      </w:r>
    </w:p>
    <w:p>
      <w:pPr>
        <w:pStyle w:val="Normal.0"/>
        <w:spacing w:line="360" w:lineRule="auto"/>
        <w:rPr>
          <w:rFonts w:ascii="Antinoou" w:cs="Antinoou" w:hAnsi="Antinoou" w:eastAsia="Antinoou"/>
          <w:sz w:val="18"/>
          <w:szCs w:val="18"/>
        </w:rPr>
      </w:pPr>
    </w:p>
    <w:p>
      <w:pPr>
        <w:pStyle w:val="Normal.0"/>
        <w:spacing w:line="360" w:lineRule="auto"/>
      </w:pPr>
      <w:r>
        <w:rPr>
          <w:rtl w:val="0"/>
          <w:lang w:val="de-DE"/>
        </w:rPr>
        <w:t>#translation</w:t>
      </w:r>
    </w:p>
    <w:p>
      <w:pPr>
        <w:pStyle w:val="Normal.0"/>
        <w:spacing w:line="360" w:lineRule="auto"/>
      </w:pPr>
      <w:r>
        <w:rPr>
          <w:rtl w:val="0"/>
          <w:lang w:val="en-US"/>
        </w:rPr>
        <w:t>&lt;T=.en</w:t>
      </w:r>
    </w:p>
    <w:p>
      <w:pPr>
        <w:pStyle w:val="Normal.0"/>
        <w:spacing w:line="360" w:lineRule="auto"/>
        <w:rPr>
          <w:rFonts w:ascii="Antinoou" w:cs="Antinoou" w:hAnsi="Antinoou" w:eastAsia="Antinoou"/>
        </w:rPr>
      </w:pPr>
      <w:r>
        <w:rPr>
          <w:rtl w:val="0"/>
          <w:lang w:val="en-US"/>
        </w:rPr>
        <w:t>&lt;=</w:t>
      </w:r>
    </w:p>
    <w:p>
      <w:pPr>
        <w:pStyle w:val="Normal.0"/>
        <w:spacing w:line="360" w:lineRule="auto"/>
        <w:jc w:val="both"/>
      </w:pPr>
      <w:r>
        <w:rPr>
          <w:rtl w:val="0"/>
          <w:lang w:val="en-US"/>
        </w:rPr>
        <w:t xml:space="preserve">+ I, the friar Solomon the monk of the place of the holy Saint Apa Anoup, I am writing to the friar Peter and the friar Makare, the monks of Apa Ieremias: Lo, one </w:t>
      </w:r>
      <w:r>
        <w:rPr>
          <w:i w:val="1"/>
          <w:iCs w:val="1"/>
          <w:rtl w:val="0"/>
          <w:lang w:val="en-US"/>
        </w:rPr>
        <w:t>trimessis</w:t>
      </w:r>
      <w:r>
        <w:rPr>
          <w:rtl w:val="0"/>
          <w:lang w:val="en-US"/>
        </w:rPr>
        <w:t xml:space="preserve"> came to me for the (land) tax for the (irrigated) fields (called) Pital today, which is day eighteen of the month Choiak, of this very year of the ninth indiction. I, the friar Solomon, who wrote first, I assent. +</w:t>
      </w:r>
    </w:p>
    <w:p>
      <w:pPr>
        <w:pStyle w:val="Normal.0"/>
        <w:spacing w:line="360" w:lineRule="auto"/>
      </w:pPr>
      <w:r>
        <w:rPr>
          <w:rtl w:val="0"/>
          <w:lang w:val="en-US"/>
        </w:rPr>
        <w:t>=&gt;</w:t>
      </w:r>
    </w:p>
    <w:p>
      <w:pPr>
        <w:pStyle w:val="Normal.0"/>
        <w:spacing w:line="360" w:lineRule="auto"/>
      </w:pPr>
      <w:r>
        <w:rPr>
          <w:rtl w:val="0"/>
          <w:lang w:val="en-US"/>
        </w:rPr>
        <w:t>=T&gt;</w:t>
      </w:r>
    </w:p>
    <w:p>
      <w:pPr>
        <w:pStyle w:val="Normal.0"/>
        <w:spacing w:line="360" w:lineRule="auto"/>
        <w:jc w:val="both"/>
        <w:rPr>
          <w:rFonts w:ascii="Antinoou" w:cs="Antinoou" w:hAnsi="Antinoou" w:eastAsia="Antinoou"/>
        </w:rPr>
      </w:pPr>
    </w:p>
    <w:p>
      <w:pPr>
        <w:pStyle w:val="Normal.0"/>
        <w:spacing w:line="360" w:lineRule="auto"/>
        <w:rPr>
          <w:rFonts w:ascii="Antinoou" w:cs="Antinoou" w:hAnsi="Antinoou" w:eastAsia="Antinoou"/>
        </w:rPr>
      </w:pPr>
      <w:r>
        <w:rPr>
          <w:rtl w:val="0"/>
          <w:lang w:val="de-DE"/>
        </w:rPr>
        <w:t>#commentary</w:t>
      </w:r>
    </w:p>
    <w:p>
      <w:pPr>
        <w:pStyle w:val="Normal.0"/>
        <w:spacing w:line="360" w:lineRule="auto"/>
        <w:jc w:val="both"/>
        <w:rPr>
          <w:rFonts w:ascii="Antinoou" w:cs="Antinoou" w:hAnsi="Antinoou" w:eastAsia="Antinoou"/>
        </w:rPr>
      </w:pPr>
      <w:r>
        <w:rPr>
          <w:b w:val="1"/>
          <w:bCs w:val="1"/>
          <w:rtl w:val="0"/>
          <w:lang w:val="en-US"/>
        </w:rPr>
        <w:t>11</w:t>
      </w:r>
      <w:r>
        <w:rPr>
          <w:b w:val="1"/>
          <w:bCs w:val="1"/>
          <w:rtl w:val="0"/>
          <w:lang w:val="en-US"/>
        </w:rPr>
        <w:t>–</w:t>
      </w:r>
      <w:r>
        <w:rPr>
          <w:b w:val="1"/>
          <w:bCs w:val="1"/>
          <w:rtl w:val="0"/>
          <w:lang w:val="en-US"/>
        </w:rPr>
        <w:t>12</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ⲛⲉ</w:t>
      </w:r>
      <w:r>
        <w:rPr>
          <w:rFonts w:ascii="Cambria" w:hAnsi="Cambria"/>
          <w:b w:val="1"/>
          <w:bCs w:val="1"/>
          <w:rtl w:val="0"/>
          <w:lang w:val="en-US"/>
        </w:rPr>
        <w:t>|</w:t>
      </w:r>
      <w:r>
        <w:rPr>
          <w:rFonts w:ascii="Cambria" w:hAnsi="Cambria" w:hint="default"/>
          <w:b w:val="1"/>
          <w:bCs w:val="1"/>
          <w:rtl w:val="0"/>
          <w:lang w:val="en-US"/>
        </w:rPr>
        <w:t>ϩ</w:t>
      </w:r>
      <w:r>
        <w:rPr>
          <w:rFonts w:ascii="Arial Unicode MS" w:cs="Arial Unicode MS" w:hAnsi="Arial Unicode MS" w:eastAsia="Arial Unicode MS" w:hint="default"/>
          <w:b w:val="0"/>
          <w:bCs w:val="0"/>
          <w:i w:val="0"/>
          <w:iCs w:val="0"/>
          <w:rtl w:val="0"/>
          <w:lang w:val="en-US"/>
        </w:rPr>
        <w:t>ⲓⲟⲓ</w:t>
      </w:r>
      <w:r>
        <w:rPr>
          <w:rFonts w:ascii="Cambria" w:hAnsi="Cambria" w:hint="default"/>
          <w:b w:val="1"/>
          <w:bCs w:val="1"/>
          <w:rtl w:val="0"/>
          <w:lang w:val="en-US"/>
        </w:rPr>
        <w:t xml:space="preserve">̈ </w:t>
      </w:r>
      <w:r>
        <w:rPr>
          <w:rFonts w:ascii="Arial Unicode MS" w:cs="Arial Unicode MS" w:hAnsi="Arial Unicode MS" w:eastAsia="Arial Unicode MS" w:hint="default"/>
          <w:b w:val="0"/>
          <w:bCs w:val="0"/>
          <w:i w:val="0"/>
          <w:iCs w:val="0"/>
          <w:rtl w:val="0"/>
          <w:lang w:val="en-US"/>
        </w:rPr>
        <w:t>ⲡⲓ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ⲧⲁⲗ</w:t>
      </w:r>
      <w:r>
        <w:rPr>
          <w:rFonts w:ascii="IFAO-Grec Unicode" w:hAnsi="IFAO-Grec Unicode"/>
          <w:rtl w:val="0"/>
          <w:lang w:val="en-US"/>
        </w:rPr>
        <w:t xml:space="preserve">. </w:t>
      </w:r>
      <w:r>
        <w:rPr>
          <w:rtl w:val="0"/>
          <w:lang w:val="en-US"/>
        </w:rPr>
        <w:t>As to our knowledge, this toponym has not been attested yet.</w:t>
      </w:r>
    </w:p>
    <w:p>
      <w:pPr>
        <w:pStyle w:val="Normal.0"/>
        <w:spacing w:line="360" w:lineRule="auto"/>
        <w:jc w:val="both"/>
      </w:pPr>
      <w:r>
        <w:rPr>
          <w:b w:val="1"/>
          <w:bCs w:val="1"/>
          <w:rtl w:val="0"/>
          <w:lang w:val="en-US"/>
        </w:rPr>
        <w:t>13</w:t>
      </w:r>
      <w:r>
        <w:rPr>
          <w:b w:val="1"/>
          <w:bCs w:val="1"/>
          <w:rtl w:val="0"/>
          <w:lang w:val="en-US"/>
        </w:rPr>
        <w:t>–</w:t>
      </w:r>
      <w:r>
        <w:rPr>
          <w:b w:val="1"/>
          <w:bCs w:val="1"/>
          <w:rtl w:val="0"/>
          <w:lang w:val="en-US"/>
        </w:rPr>
        <w:t>14</w:t>
      </w:r>
      <w:r>
        <w:rPr>
          <w:rFonts w:ascii="Antinoou" w:hAnsi="Antinoou"/>
          <w:rtl w:val="0"/>
          <w:lang w:val="en-US"/>
        </w:rPr>
        <w:t xml:space="preserve"> </w:t>
      </w:r>
      <w:r>
        <w:rPr>
          <w:rFonts w:ascii="Arial Unicode MS" w:cs="Arial Unicode MS" w:hAnsi="Arial Unicode MS" w:eastAsia="Arial Unicode MS" w:hint="default"/>
          <w:b w:val="0"/>
          <w:bCs w:val="0"/>
          <w:i w:val="0"/>
          <w:iCs w:val="0"/>
          <w:rtl w:val="0"/>
          <w:lang w:val="en-US"/>
        </w:rPr>
        <w:t>ⲙⲏⲧ</w:t>
      </w:r>
      <w:r>
        <w:rPr>
          <w:rFonts w:ascii="Cambria" w:hAnsi="Cambria" w:hint="default"/>
          <w:b w:val="1"/>
          <w:bCs w:val="1"/>
          <w:rtl w:val="0"/>
          <w:lang w:val="en-US"/>
        </w:rPr>
        <w:t>ϫ</w:t>
      </w:r>
      <w:r>
        <w:rPr>
          <w:rFonts w:ascii="Arial Unicode MS" w:cs="Arial Unicode MS" w:hAnsi="Arial Unicode MS" w:eastAsia="Arial Unicode MS" w:hint="default"/>
          <w:b w:val="0"/>
          <w:bCs w:val="0"/>
          <w:i w:val="0"/>
          <w:iCs w:val="0"/>
          <w:outline w:val="0"/>
          <w:color w:val="000000"/>
          <w:u w:color="000000"/>
          <w:rtl w:val="0"/>
          <w:lang w:val="en-US"/>
          <w14:textFill>
            <w14:solidFill>
              <w14:srgbClr w14:val="000000"/>
            </w14:solidFill>
          </w14:textFill>
        </w:rPr>
        <w:t>ⲓ</w:t>
      </w:r>
      <w:r>
        <w:rPr>
          <w:rFonts w:ascii="Cambria" w:hAnsi="Cambria"/>
          <w:b w:val="1"/>
          <w:bCs w:val="1"/>
          <w:rtl w:val="0"/>
          <w:lang w:val="en-US"/>
        </w:rPr>
        <w:t>|</w:t>
      </w:r>
      <w:r>
        <w:rPr>
          <w:rFonts w:ascii="Arial Unicode MS" w:cs="Arial Unicode MS" w:hAnsi="Arial Unicode MS" w:eastAsia="Arial Unicode MS" w:hint="default"/>
          <w:b w:val="0"/>
          <w:bCs w:val="0"/>
          <w:i w:val="0"/>
          <w:iCs w:val="0"/>
          <w:rtl w:val="0"/>
          <w:lang w:val="en-US"/>
        </w:rPr>
        <w:t>ⲙⲏⲛ</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ⲛ</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ⲡⲉⲃⲟⲧ</w:t>
      </w:r>
      <w:r>
        <w:rPr>
          <w:rFonts w:ascii="Cambria" w:hAnsi="Cambria"/>
          <w:b w:val="1"/>
          <w:bCs w:val="1"/>
          <w:rtl w:val="0"/>
          <w:lang w:val="en-US"/>
        </w:rPr>
        <w:t xml:space="preserve"> </w:t>
      </w:r>
      <w:r>
        <w:rPr>
          <w:rFonts w:ascii="Arial Unicode MS" w:cs="Arial Unicode MS" w:hAnsi="Arial Unicode MS" w:eastAsia="Arial Unicode MS" w:hint="default"/>
          <w:b w:val="0"/>
          <w:bCs w:val="0"/>
          <w:i w:val="0"/>
          <w:iCs w:val="0"/>
          <w:rtl w:val="0"/>
          <w:lang w:val="en-US"/>
        </w:rPr>
        <w:t>ⲭⲓ</w:t>
      </w:r>
      <w:r>
        <w:rPr>
          <w:rFonts w:ascii="Cambria" w:hAnsi="Cambria" w:hint="default"/>
          <w:b w:val="1"/>
          <w:bCs w:val="1"/>
          <w:rtl w:val="0"/>
          <w:lang w:val="en-US"/>
        </w:rPr>
        <w:t>̈</w:t>
      </w:r>
      <w:r>
        <w:rPr>
          <w:rFonts w:ascii="Arial Unicode MS" w:cs="Arial Unicode MS" w:hAnsi="Arial Unicode MS" w:eastAsia="Arial Unicode MS" w:hint="default"/>
          <w:b w:val="0"/>
          <w:bCs w:val="0"/>
          <w:i w:val="0"/>
          <w:iCs w:val="0"/>
          <w:rtl w:val="0"/>
          <w:lang w:val="en-US"/>
        </w:rPr>
        <w:t>ⲁⲭ</w:t>
      </w:r>
      <w:r>
        <w:rPr>
          <w:rFonts w:ascii="Cambria" w:hAnsi="Cambria"/>
          <w:b w:val="1"/>
          <w:bCs w:val="1"/>
          <w:rtl w:val="0"/>
          <w:lang w:val="en-US"/>
        </w:rPr>
        <w:t>.</w:t>
      </w:r>
      <w:r>
        <w:rPr>
          <w:rFonts w:ascii="Antinoou" w:hAnsi="Antinoou"/>
          <w:rtl w:val="0"/>
          <w:lang w:val="en-US"/>
        </w:rPr>
        <w:t xml:space="preserve"> </w:t>
      </w:r>
      <w:r>
        <w:rPr>
          <w:rtl w:val="0"/>
          <w:lang w:val="en-US"/>
        </w:rPr>
        <w:t>14</w:t>
      </w:r>
      <w:r>
        <w:rPr>
          <w:vertAlign w:val="superscript"/>
          <w:rtl w:val="0"/>
          <w:lang w:val="en-US"/>
        </w:rPr>
        <w:t>th</w:t>
      </w:r>
      <w:r>
        <w:rPr>
          <w:rtl w:val="0"/>
          <w:lang w:val="en-US"/>
        </w:rPr>
        <w:t>/15</w:t>
      </w:r>
      <w:r>
        <w:rPr>
          <w:vertAlign w:val="superscript"/>
          <w:rtl w:val="0"/>
          <w:lang w:val="en-US"/>
        </w:rPr>
        <w:t>th</w:t>
      </w:r>
      <w:r>
        <w:rPr>
          <w:rtl w:val="0"/>
          <w:lang w:val="en-US"/>
        </w:rPr>
        <w:t xml:space="preserve"> December.</w:t>
      </w:r>
    </w:p>
    <w:p>
      <w:pPr>
        <w:pStyle w:val="Normal.0"/>
        <w:spacing w:line="360" w:lineRule="auto"/>
        <w:rPr>
          <w:rFonts w:ascii="Antinoou" w:cs="Antinoou" w:hAnsi="Antinoou" w:eastAsia="Antinoou"/>
        </w:rPr>
      </w:pPr>
    </w:p>
    <w:p>
      <w:pPr>
        <w:pStyle w:val="Body"/>
        <w:bidi w:val="0"/>
        <w:rPr>
          <w:rFonts w:ascii="Antinoou" w:cs="Antinoou" w:hAnsi="Antinoou" w:eastAsia="Antinoou"/>
          <w:sz w:val="20"/>
          <w:szCs w:val="20"/>
        </w:rPr>
      </w:pPr>
      <w:r>
        <w:rPr>
          <w:rtl w:val="0"/>
          <w:lang w:val="en-US"/>
        </w:rPr>
        <w:t>#</w:t>
      </w:r>
      <w:r>
        <w:rPr>
          <w:sz w:val="20"/>
          <w:szCs w:val="20"/>
          <w:rtl w:val="0"/>
          <w:lang w:val="de-DE"/>
        </w:rPr>
        <w:t>articleHeader</w:t>
      </w:r>
    </w:p>
    <w:p>
      <w:pPr>
        <w:pStyle w:val="Body"/>
        <w:bidi w:val="0"/>
      </w:pPr>
      <w:r>
        <w:rPr>
          <w:rFonts w:ascii="Antinoou" w:hAnsi="Antinoou"/>
          <w:sz w:val="20"/>
          <w:szCs w:val="20"/>
          <w:rtl w:val="0"/>
          <w:lang w:val="de-DE"/>
        </w:rPr>
        <w:t xml:space="preserve">4. </w:t>
      </w:r>
      <w:r>
        <w:rPr>
          <w:rtl w:val="0"/>
          <w:lang w:val="de-DE"/>
        </w:rPr>
        <w:t>Analysis of Inks (Grzegorz Nehring, Olivier Bonnerot, Ira Rabin)</w:t>
      </w:r>
    </w:p>
    <w:p>
      <w:pPr>
        <w:pStyle w:val="Normal.0"/>
        <w:spacing w:line="360" w:lineRule="auto"/>
        <w:jc w:val="both"/>
      </w:pPr>
    </w:p>
    <w:p>
      <w:pPr>
        <w:pStyle w:val="Normal.0"/>
        <w:spacing w:line="360" w:lineRule="auto"/>
        <w:jc w:val="both"/>
      </w:pPr>
      <w:r>
        <w:rPr>
          <w:rtl w:val="0"/>
          <w:lang w:val="en-US"/>
        </w:rPr>
        <w:t>The ink from both fragments (P 11934 and P 11935)</w:t>
      </w:r>
      <w:r>
        <w:rPr>
          <w:sz w:val="18"/>
          <w:szCs w:val="18"/>
          <w:rtl w:val="0"/>
          <w:lang w:val="en-US"/>
        </w:rPr>
        <w:t xml:space="preserve"> </w:t>
      </w:r>
      <w:r>
        <w:rPr>
          <w:rtl w:val="0"/>
          <w:lang w:val="en-US"/>
        </w:rPr>
        <w:t>was analysed according to the standard protocol developed at the Bundesanstalt f</w:t>
      </w:r>
      <w:r>
        <w:rPr>
          <w:rtl w:val="0"/>
          <w:lang w:val="en-US"/>
        </w:rPr>
        <w:t>ü</w:t>
      </w:r>
      <w:r>
        <w:rPr>
          <w:rtl w:val="0"/>
          <w:lang w:val="en-US"/>
        </w:rPr>
        <w:t>r Materialforschung und -pr</w:t>
      </w:r>
      <w:r>
        <w:rPr>
          <w:rtl w:val="0"/>
          <w:lang w:val="en-US"/>
        </w:rPr>
        <w:t>ü</w:t>
      </w:r>
      <w:r>
        <w:rPr>
          <w:rtl w:val="0"/>
          <w:lang w:val="en-US"/>
        </w:rPr>
        <w:t>fung (BAM) and the Centre for the Study of Manuscript Cultures (CSMC).</w:t>
      </w:r>
      <w:r>
        <w:rPr>
          <w:vertAlign w:val="superscript"/>
        </w:rPr>
        <w:footnoteReference w:id="19"/>
      </w:r>
      <w:r>
        <w:rPr>
          <w:rtl w:val="0"/>
          <w:lang w:val="en-US"/>
        </w:rPr>
        <w:t xml:space="preserve"> In short, it consists of an initial photographic screening, followed by in-depth analyses such as X-ray fluorescence (XRF) or vibrational (Fourier-transform infrared and Raman) spectroscopy when relevant. In this work, we conducted XRF measurements for elemental analysis, and Raman spectroscopy to check for the presence of elemental carbon in the ink. We performed the initial photographic screening with a Dino-Lite USB microscope (model AD4113T-I2V). This device features magnification ranging from 20 to 200 times and is equipped with built-in near-infrared (NIR) and ultraviolet (UV) lights at ~940 nm and ~395 nm, respectively, and an external LED white light source. The preliminary screening allows one to differentiate between three main types of black writing inks: (1) carbon-based ink consisting of soot particles suspended in an aqueous binder solution, (2) iron-gall ink being a product of a chemical reaction between iron ions with tannins, and (3) plant or tannin ink which is an extract of tree bark or gall nuts. The determination is based on the differences in optical properties. In contrast to iron-gall and plant ink, carbon ink remains unchanged under NIR light. Iron-gall ink loses its opacity, becoming totally transparent only at some 1300-1400 nm, while plant ink becomes completely transparent under NIR illumination. Unfortunately, this method delivers no unequivocal result for mixed inks like those used in the documents presented here. Recently, we could show that such inks (inks produced by adding carbon to plant or iron-gall inks) were often used in the first centuries of the common era.</w:t>
      </w:r>
      <w:r>
        <w:rPr>
          <w:vertAlign w:val="superscript"/>
        </w:rPr>
        <w:footnoteReference w:id="20"/>
      </w:r>
      <w:r>
        <w:rPr>
          <w:rtl w:val="0"/>
          <w:lang w:val="en-US"/>
        </w:rPr>
        <w:t xml:space="preserve"> In these cases, further technique(s), such as infrared photography at longer wavelengths or Raman spectroscopy are needed to unequivocally identify the presence of the carbon component. The tannic component is quite difficult to determine non-destructively. Yet, UV illumination sometimes provides an indication, since tannins noticeably quench the fluorescence of the organic support be it parchment, paper, or papyrus.</w:t>
      </w:r>
      <w:r>
        <w:rPr>
          <w:vertAlign w:val="superscript"/>
        </w:rPr>
        <w:footnoteReference w:id="21"/>
      </w:r>
    </w:p>
    <w:p>
      <w:pPr>
        <w:pStyle w:val="Normal.0"/>
        <w:spacing w:line="360" w:lineRule="auto"/>
        <w:jc w:val="both"/>
      </w:pPr>
      <w:r>
        <w:drawing xmlns:a="http://schemas.openxmlformats.org/drawingml/2006/main">
          <wp:inline distT="0" distB="0" distL="0" distR="0">
            <wp:extent cx="4183380" cy="2298065"/>
            <wp:effectExtent l="0" t="0" r="0" b="0"/>
            <wp:docPr id="1073741830" name="officeArt object" descr="Picture 1"/>
            <wp:cNvGraphicFramePr/>
            <a:graphic xmlns:a="http://schemas.openxmlformats.org/drawingml/2006/main">
              <a:graphicData uri="http://schemas.openxmlformats.org/drawingml/2006/picture">
                <pic:pic xmlns:pic="http://schemas.openxmlformats.org/drawingml/2006/picture">
                  <pic:nvPicPr>
                    <pic:cNvPr id="1073741830" name="Picture 1" descr="Picture 1"/>
                    <pic:cNvPicPr>
                      <a:picLocks noChangeAspect="1"/>
                    </pic:cNvPicPr>
                  </pic:nvPicPr>
                  <pic:blipFill>
                    <a:blip r:embed="rId8">
                      <a:extLst/>
                    </a:blip>
                    <a:stretch>
                      <a:fillRect/>
                    </a:stretch>
                  </pic:blipFill>
                  <pic:spPr>
                    <a:xfrm>
                      <a:off x="0" y="0"/>
                      <a:ext cx="4183380" cy="2298065"/>
                    </a:xfrm>
                    <a:prstGeom prst="rect">
                      <a:avLst/>
                    </a:prstGeom>
                    <a:ln w="12700" cap="flat">
                      <a:noFill/>
                      <a:miter lim="400000"/>
                    </a:ln>
                    <a:effectLst/>
                  </pic:spPr>
                </pic:pic>
              </a:graphicData>
            </a:graphic>
          </wp:inline>
        </w:drawing>
      </w:r>
    </w:p>
    <w:tbl>
      <w:tblPr>
        <w:tblW w:w="657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6578"/>
      </w:tblGrid>
      <w:tr>
        <w:tblPrEx>
          <w:shd w:val="clear" w:color="auto" w:fill="ced7e7"/>
        </w:tblPrEx>
        <w:trPr>
          <w:trHeight w:val="609"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tc>
      </w:tr>
      <w:tr>
        <w:tblPrEx>
          <w:shd w:val="clear" w:color="auto" w:fill="ced7e7"/>
        </w:tblPrEx>
        <w:trPr>
          <w:trHeight w:val="960" w:hRule="atLeast"/>
        </w:trPr>
        <w:tc>
          <w:tcPr>
            <w:tcW w:type="dxa" w:w="6578"/>
            <w:tcBorders>
              <w:top w:val="nil"/>
              <w:left w:val="nil"/>
              <w:bottom w:val="nil"/>
              <w:right w:val="nil"/>
            </w:tcBorders>
            <w:shd w:val="clear" w:color="auto" w:fill="auto"/>
            <w:tcMar>
              <w:top w:type="dxa" w:w="80"/>
              <w:left w:type="dxa" w:w="80"/>
              <w:bottom w:type="dxa" w:w="80"/>
              <w:right w:type="dxa" w:w="80"/>
            </w:tcMar>
            <w:vAlign w:val="top"/>
          </w:tcPr>
          <w:p>
            <w:pPr>
              <w:pStyle w:val="Normal.0"/>
            </w:pPr>
            <w:r>
              <w:rPr>
                <w:b w:val="0"/>
                <w:bCs w:val="0"/>
                <w:sz w:val="20"/>
                <w:szCs w:val="20"/>
                <w:shd w:val="nil" w:color="auto" w:fill="auto"/>
                <w:rtl w:val="0"/>
                <w:lang w:val="en-US"/>
              </w:rPr>
              <w:t xml:space="preserve">Fig. 4. Micrographs from P 11934 (top row, third omicron from </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ⲥ</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ⲟⲩ</w:t>
            </w:r>
            <w:r>
              <w:rPr>
                <w:rFonts w:ascii="Cambria" w:hAnsi="Cambria"/>
                <w:b w:val="1"/>
                <w:bCs w:val="1"/>
                <w:sz w:val="20"/>
                <w:szCs w:val="20"/>
                <w:shd w:val="nil" w:color="auto" w:fill="auto"/>
                <w:rtl w:val="0"/>
                <w:lang w:val="en-US"/>
              </w:rPr>
              <w:t>}</w:t>
            </w:r>
            <w:r>
              <w:rPr>
                <w:rFonts w:ascii="Antinoou" w:hAnsi="Antinoou" w:hint="default"/>
                <w:b w:val="0"/>
                <w:bCs w:val="0"/>
                <w:sz w:val="20"/>
                <w:szCs w:val="20"/>
                <w:shd w:val="nil" w:color="auto" w:fill="auto"/>
                <w:rtl w:val="0"/>
                <w:lang w:val="en-US"/>
              </w:rPr>
              <w:t>ⲟ</w:t>
            </w:r>
            <w:r>
              <w:rPr>
                <w:rFonts w:ascii="Antinoou" w:hAnsi="Antinoou"/>
                <w:b w:val="0"/>
                <w:bCs w:val="0"/>
                <w:sz w:val="20"/>
                <w:szCs w:val="20"/>
                <w:shd w:val="nil" w:color="auto" w:fill="auto"/>
                <w:rtl w:val="0"/>
                <w:lang w:val="en-US"/>
              </w:rPr>
              <w:t xml:space="preserve"> </w:t>
            </w:r>
            <w:r>
              <w:rPr>
                <w:rFonts w:ascii="Antinoou" w:hAnsi="Antinoou" w:hint="default"/>
                <w:b w:val="0"/>
                <w:bCs w:val="0"/>
                <w:sz w:val="20"/>
                <w:szCs w:val="20"/>
                <w:shd w:val="nil" w:color="auto" w:fill="auto"/>
                <w:rtl w:val="0"/>
                <w:lang w:val="en-US"/>
              </w:rPr>
              <w:t>ⲙ</w:t>
            </w:r>
            <w:r>
              <w:rPr>
                <w:rFonts w:ascii="Antinoou" w:hAnsi="Antinoou"/>
                <w:b w:val="0"/>
                <w:bCs w:val="0"/>
                <w:sz w:val="20"/>
                <w:szCs w:val="20"/>
                <w:shd w:val="nil" w:color="auto" w:fill="auto"/>
                <w:rtl w:val="0"/>
                <w:lang w:val="en-US"/>
              </w:rPr>
              <w:t>︤</w:t>
            </w:r>
            <w:r>
              <w:rPr>
                <w:rFonts w:ascii="Antinoou" w:hAnsi="Antinoou" w:hint="default"/>
                <w:b w:val="0"/>
                <w:bCs w:val="0"/>
                <w:sz w:val="20"/>
                <w:szCs w:val="20"/>
                <w:shd w:val="nil" w:color="auto" w:fill="auto"/>
                <w:rtl w:val="0"/>
                <w:lang w:val="en-US"/>
              </w:rPr>
              <w:t>ⲛ</w:t>
            </w:r>
            <w:r>
              <w:rPr>
                <w:rFonts w:ascii="Antinoou" w:hAnsi="Antinoou" w:hint="default"/>
                <w:b w:val="0"/>
                <w:bCs w:val="0"/>
                <w:sz w:val="20"/>
                <w:szCs w:val="20"/>
                <w:shd w:val="nil" w:color="auto" w:fill="auto"/>
                <w:rtl w:val="0"/>
                <w:lang w:val="en-US"/>
              </w:rPr>
              <w:t>̂</w:t>
            </w:r>
            <w:r>
              <w:rPr>
                <w:rFonts w:ascii="Antinoou" w:hAnsi="Antinoou"/>
                <w:b w:val="0"/>
                <w:bCs w:val="0"/>
                <w:sz w:val="20"/>
                <w:szCs w:val="20"/>
                <w:shd w:val="nil" w:color="auto" w:fill="auto"/>
                <w:rtl w:val="0"/>
                <w:lang w:val="en-US"/>
              </w:rPr>
              <w:t>,</w:t>
            </w:r>
            <w:r>
              <w:rPr>
                <w:rFonts w:ascii="Antinoou" w:hAnsi="Antinoou"/>
                <w:b w:val="0"/>
                <w:bCs w:val="0"/>
                <w:sz w:val="22"/>
                <w:szCs w:val="22"/>
                <w:shd w:val="nil" w:color="auto" w:fill="auto"/>
                <w:rtl w:val="0"/>
                <w:lang w:val="en-US"/>
              </w:rPr>
              <w:t xml:space="preserve"> </w:t>
            </w:r>
            <w:r>
              <w:rPr>
                <w:b w:val="0"/>
                <w:bCs w:val="0"/>
                <w:sz w:val="20"/>
                <w:szCs w:val="20"/>
                <w:shd w:val="nil" w:color="auto" w:fill="auto"/>
                <w:rtl w:val="0"/>
                <w:lang w:val="en-US"/>
              </w:rPr>
              <w:t>5</w:t>
            </w:r>
            <w:r>
              <w:rPr>
                <w:b w:val="1"/>
                <w:bCs w:val="1"/>
                <w:sz w:val="20"/>
                <w:szCs w:val="20"/>
                <w:shd w:val="nil" w:color="auto" w:fill="auto"/>
                <w:vertAlign w:val="superscript"/>
                <w:rtl w:val="0"/>
                <w:lang w:val="en-US"/>
              </w:rPr>
              <w:t>th</w:t>
            </w:r>
            <w:r>
              <w:rPr>
                <w:b w:val="0"/>
                <w:bCs w:val="0"/>
                <w:sz w:val="20"/>
                <w:szCs w:val="20"/>
                <w:shd w:val="nil" w:color="auto" w:fill="auto"/>
                <w:rtl w:val="0"/>
                <w:lang w:val="en-US"/>
              </w:rPr>
              <w:t xml:space="preserve"> line) and P 11935 (bottom row, hori from </w:t>
            </w:r>
            <w:r>
              <w:rPr>
                <w:rFonts w:ascii="Antinoou" w:hAnsi="Antinoou" w:hint="default"/>
                <w:b w:val="0"/>
                <w:bCs w:val="0"/>
                <w:sz w:val="20"/>
                <w:szCs w:val="20"/>
                <w:shd w:val="nil" w:color="auto" w:fill="auto"/>
                <w:rtl w:val="0"/>
                <w:lang w:val="en-US"/>
              </w:rPr>
              <w:t>ϩⲓⲟⲓ̈</w:t>
            </w:r>
            <w:r>
              <w:rPr>
                <w:rFonts w:ascii="Antinoou" w:hAnsi="Antinoou"/>
                <w:b w:val="0"/>
                <w:bCs w:val="0"/>
                <w:sz w:val="20"/>
                <w:szCs w:val="20"/>
                <w:shd w:val="nil" w:color="auto" w:fill="auto"/>
                <w:rtl w:val="0"/>
                <w:lang w:val="en-US"/>
              </w:rPr>
              <w:t xml:space="preserve">, </w:t>
            </w:r>
            <w:r>
              <w:rPr>
                <w:b w:val="1"/>
                <w:bCs w:val="1"/>
                <w:sz w:val="20"/>
                <w:szCs w:val="20"/>
                <w:shd w:val="nil" w:color="auto" w:fill="auto"/>
                <w:rtl w:val="0"/>
                <w:lang w:val="en-US"/>
              </w:rPr>
              <w:t>12</w:t>
            </w:r>
            <w:r>
              <w:rPr>
                <w:b w:val="1"/>
                <w:bCs w:val="1"/>
                <w:sz w:val="20"/>
                <w:szCs w:val="20"/>
                <w:shd w:val="nil" w:color="auto" w:fill="auto"/>
                <w:vertAlign w:val="superscript"/>
                <w:rtl w:val="0"/>
                <w:lang w:val="en-US"/>
              </w:rPr>
              <w:t>th</w:t>
            </w:r>
            <w:r>
              <w:rPr>
                <w:b w:val="1"/>
                <w:bCs w:val="1"/>
                <w:sz w:val="20"/>
                <w:szCs w:val="20"/>
                <w:shd w:val="nil" w:color="auto" w:fill="auto"/>
                <w:rtl w:val="0"/>
                <w:lang w:val="en-US"/>
              </w:rPr>
              <w:t xml:space="preserve"> line</w:t>
            </w:r>
            <w:r>
              <w:rPr>
                <w:b w:val="0"/>
                <w:bCs w:val="0"/>
                <w:sz w:val="20"/>
                <w:szCs w:val="20"/>
                <w:shd w:val="nil" w:color="auto" w:fill="auto"/>
                <w:rtl w:val="0"/>
                <w:lang w:val="en-US"/>
              </w:rPr>
              <w:t>) photographed with the Dino-Lite microscope. From left to right: UV, VIS, NIR illumination.</w:t>
            </w:r>
            <w:r>
              <w:rPr>
                <w:b w:val="1"/>
                <w:bCs w:val="1"/>
                <w:sz w:val="20"/>
                <w:szCs w:val="20"/>
                <w:shd w:val="nil" w:color="auto" w:fill="auto"/>
              </w:rPr>
            </w:r>
          </w:p>
        </w:tc>
      </w:tr>
    </w:tbl>
    <w:p>
      <w:pPr>
        <w:pStyle w:val="Normal.0"/>
        <w:widowControl w:val="0"/>
        <w:jc w:val="both"/>
      </w:pPr>
    </w:p>
    <w:p>
      <w:pPr>
        <w:pStyle w:val="Normal.0"/>
        <w:spacing w:line="360" w:lineRule="auto"/>
        <w:ind w:firstLine="720"/>
        <w:jc w:val="both"/>
      </w:pPr>
      <w:r>
        <w:rPr>
          <w:rtl w:val="0"/>
          <w:lang w:val="en-US"/>
        </w:rPr>
        <w:t>In fig. 4 we compare micrographs under UV (1</w:t>
      </w:r>
      <w:r>
        <w:rPr>
          <w:vertAlign w:val="superscript"/>
          <w:rtl w:val="0"/>
          <w:lang w:val="en-US"/>
        </w:rPr>
        <w:t>st</w:t>
      </w:r>
      <w:r>
        <w:rPr>
          <w:rtl w:val="0"/>
          <w:lang w:val="en-US"/>
        </w:rPr>
        <w:t xml:space="preserve"> column), visible (2</w:t>
      </w:r>
      <w:r>
        <w:rPr>
          <w:vertAlign w:val="superscript"/>
          <w:rtl w:val="0"/>
          <w:lang w:val="en-US"/>
        </w:rPr>
        <w:t>nd</w:t>
      </w:r>
      <w:r>
        <w:rPr>
          <w:rtl w:val="0"/>
          <w:lang w:val="en-US"/>
        </w:rPr>
        <w:t xml:space="preserve"> column) and NIR (3</w:t>
      </w:r>
      <w:r>
        <w:rPr>
          <w:vertAlign w:val="superscript"/>
          <w:rtl w:val="0"/>
          <w:lang w:val="en-US"/>
        </w:rPr>
        <w:t>rd</w:t>
      </w:r>
      <w:r>
        <w:rPr>
          <w:rtl w:val="0"/>
          <w:lang w:val="en-US"/>
        </w:rPr>
        <w:t xml:space="preserve"> column) illumination.  The constant opacity of the ink in the images of the top row (P 11394) indicates the use of carbon ink. Though no indication of the presence of a metal or tannin could be found here, we routinely conduct an XRF scan to exclude the presence of metals whose presence would not change the overall optic response of the ink</w:t>
      </w:r>
      <w:r>
        <w:rPr>
          <w:vertAlign w:val="superscript"/>
        </w:rPr>
        <w:footnoteReference w:id="22"/>
      </w:r>
      <w:r>
        <w:rPr>
          <w:rtl w:val="0"/>
          <w:lang w:val="en-US"/>
        </w:rPr>
        <w:t>.</w:t>
      </w:r>
    </w:p>
    <w:p>
      <w:pPr>
        <w:pStyle w:val="Normal.0"/>
        <w:spacing w:line="360" w:lineRule="auto"/>
        <w:ind w:firstLine="720"/>
        <w:jc w:val="both"/>
      </w:pPr>
      <w:r>
        <w:rPr>
          <w:rtl w:val="0"/>
          <w:lang w:val="en-US"/>
        </w:rPr>
        <w:t>By contrast, the images of the bottom row suggest the co-presence of carbon (intense black colour of the ink in the NIR micrograph) and tannin in the ink of P 11935. Note the pronounced halo that accompanies the letter in the UV and VIS micrographs but completely disappears under NIR light. In addition, the papyrus is seriously damaged just within the area of the halo: it is cracked, and fragments of the letter are missing. This form of degradation usually results from the corrosive action of the copper or iron in inks</w:t>
      </w:r>
      <w:r>
        <w:rPr>
          <w:vertAlign w:val="superscript"/>
        </w:rPr>
        <w:footnoteReference w:id="23"/>
      </w:r>
      <w:r>
        <w:rPr>
          <w:rtl w:val="0"/>
          <w:lang w:val="en-US"/>
        </w:rPr>
        <w:t xml:space="preserve">.  </w:t>
      </w:r>
    </w:p>
    <w:p>
      <w:pPr>
        <w:pStyle w:val="Normal.0"/>
        <w:spacing w:line="360" w:lineRule="auto"/>
        <w:ind w:firstLine="720"/>
        <w:jc w:val="both"/>
      </w:pPr>
      <w:r>
        <w:rPr>
          <w:rtl w:val="0"/>
          <w:lang w:val="en-US"/>
        </w:rPr>
        <w:t>To unequivocally determine whether elemental carbon is present in the ink, we tested the ink in both papyri using a Renishaw in-via Raman spectrometer specially adapted for study of manuscripts. Our Raman spectrometer is equipped with an open configuration microscope, a CCD camera for signal registration and a dual fibre optic probe connected to the lasers operating at 532 and 785 nm. It has a spectral range of 100 - 3600 cm</w:t>
      </w:r>
      <w:r>
        <w:rPr>
          <w:vertAlign w:val="superscript"/>
          <w:rtl w:val="0"/>
          <w:lang w:val="en-US"/>
        </w:rPr>
        <w:t>-1</w:t>
      </w:r>
      <w:r>
        <w:rPr>
          <w:rtl w:val="0"/>
          <w:lang w:val="en-US"/>
        </w:rPr>
        <w:t xml:space="preserve"> with a spectral resolution of 4 cm</w:t>
      </w:r>
      <w:r>
        <w:rPr>
          <w:vertAlign w:val="superscript"/>
          <w:rtl w:val="0"/>
          <w:lang w:val="en-US"/>
        </w:rPr>
        <w:t>-1</w:t>
      </w:r>
      <w:r>
        <w:rPr>
          <w:rtl w:val="0"/>
          <w:lang w:val="en-US"/>
        </w:rPr>
        <w:t>. We carried out the measurements with the 532nm laser line, using a x100 magnification Leica objective with long working distance, and an output power of about 1.4 mW. 20 to 100 scans were co-added per spectrum collected with 1-5 s exposure.</w:t>
      </w:r>
    </w:p>
    <w:p>
      <w:pPr>
        <w:pStyle w:val="Normal.0"/>
        <w:spacing w:line="360" w:lineRule="auto"/>
        <w:ind w:firstLine="720"/>
        <w:jc w:val="both"/>
      </w:pPr>
      <w:r>
        <w:rPr>
          <w:rtl w:val="0"/>
          <w:lang w:val="en-US"/>
        </w:rPr>
        <w:t>Fig. 5 shows how the Raman spectra of the inks from both documents under study compared to that of self-made carbon ink used as a reference. The specific pattern of the spectra with two bands centred at ~1340 cm</w:t>
      </w:r>
      <w:r>
        <w:rPr>
          <w:vertAlign w:val="superscript"/>
          <w:rtl w:val="0"/>
          <w:lang w:val="en-US"/>
        </w:rPr>
        <w:t>-1</w:t>
      </w:r>
      <w:r>
        <w:rPr>
          <w:rtl w:val="0"/>
          <w:lang w:val="en-US"/>
        </w:rPr>
        <w:t xml:space="preserve"> and 1560 cm</w:t>
      </w:r>
      <w:r>
        <w:rPr>
          <w:vertAlign w:val="superscript"/>
          <w:rtl w:val="0"/>
          <w:lang w:val="en-US"/>
        </w:rPr>
        <w:t>-1</w:t>
      </w:r>
      <w:r>
        <w:rPr>
          <w:rtl w:val="0"/>
          <w:lang w:val="en-US"/>
        </w:rPr>
        <w:t xml:space="preserve"> is characteristic of carbonaceous materials confirming the identification of carbon via NIR photography.</w:t>
      </w:r>
      <w:r>
        <w:rPr>
          <w:vertAlign w:val="superscript"/>
        </w:rPr>
        <w:footnoteReference w:id="24"/>
      </w:r>
      <w:r>
        <w:rPr>
          <w:rtl w:val="0"/>
          <w:lang w:val="en-US"/>
        </w:rPr>
        <w:t xml:space="preserve"> </w:t>
      </w:r>
    </w:p>
    <w:p>
      <w:pPr>
        <w:pStyle w:val="Normal.0"/>
        <w:spacing w:line="360" w:lineRule="auto"/>
        <w:jc w:val="center"/>
      </w:pPr>
      <w:r>
        <w:drawing xmlns:a="http://schemas.openxmlformats.org/drawingml/2006/main">
          <wp:inline distT="0" distB="0" distL="0" distR="0">
            <wp:extent cx="3822065" cy="2950210"/>
            <wp:effectExtent l="0" t="0" r="0" b="0"/>
            <wp:docPr id="1073741831" name="officeArt object" descr="Grafik 12"/>
            <wp:cNvGraphicFramePr/>
            <a:graphic xmlns:a="http://schemas.openxmlformats.org/drawingml/2006/main">
              <a:graphicData uri="http://schemas.openxmlformats.org/drawingml/2006/picture">
                <pic:pic xmlns:pic="http://schemas.openxmlformats.org/drawingml/2006/picture">
                  <pic:nvPicPr>
                    <pic:cNvPr id="1073741831" name="Grafik 12" descr="Grafik 12"/>
                    <pic:cNvPicPr>
                      <a:picLocks noChangeAspect="1"/>
                    </pic:cNvPicPr>
                  </pic:nvPicPr>
                  <pic:blipFill>
                    <a:blip r:embed="rId9">
                      <a:extLst/>
                    </a:blip>
                    <a:stretch>
                      <a:fillRect/>
                    </a:stretch>
                  </pic:blipFill>
                  <pic:spPr>
                    <a:xfrm>
                      <a:off x="0" y="0"/>
                      <a:ext cx="3822065" cy="2950210"/>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5. Representative Raman spectra of ink from P 11935 (top), ink from </w:t>
      </w:r>
    </w:p>
    <w:p>
      <w:pPr>
        <w:pStyle w:val="Normal.0"/>
        <w:jc w:val="both"/>
        <w:rPr>
          <w:sz w:val="20"/>
          <w:szCs w:val="20"/>
        </w:rPr>
      </w:pPr>
      <w:r>
        <w:rPr>
          <w:sz w:val="20"/>
          <w:szCs w:val="20"/>
          <w:rtl w:val="0"/>
          <w:lang w:val="en-US"/>
        </w:rPr>
        <w:t>P 11934 (middle) and of reference carbon ink (bottom).</w:t>
      </w:r>
    </w:p>
    <w:p>
      <w:pPr>
        <w:pStyle w:val="Normal.0"/>
        <w:jc w:val="both"/>
      </w:pPr>
    </w:p>
    <w:p>
      <w:pPr>
        <w:pStyle w:val="Normal.0"/>
        <w:spacing w:line="360" w:lineRule="auto"/>
        <w:ind w:firstLine="720"/>
        <w:jc w:val="both"/>
      </w:pPr>
      <w:r>
        <w:rPr>
          <w:rtl w:val="0"/>
          <w:lang w:val="en-US"/>
        </w:rPr>
        <w:t>To consider other possible components of the inks we conducted XRF analysis to determine the elemental composition of inks. We first performed the analysis of 6 spots on inscribed and non-inscribed areas of P 11935 in situ using an Elio (Bruker / XGLab GmbH) portable XRF-spectrometer. This compact spectrometer features an interaction spot of 1 mm, a 4W X-ray rhodium (Rh) tube, a 17 mm</w:t>
      </w:r>
      <w:r>
        <w:rPr>
          <w:vertAlign w:val="superscript"/>
          <w:rtl w:val="0"/>
          <w:lang w:val="en-US"/>
        </w:rPr>
        <w:t>2</w:t>
      </w:r>
      <w:r>
        <w:rPr>
          <w:rtl w:val="0"/>
          <w:lang w:val="en-US"/>
        </w:rPr>
        <w:t xml:space="preserve"> silicon drift detector (SDD). All measurements were conducted in air atmosphere at 40kV, 80</w:t>
      </w:r>
      <w:r>
        <w:rPr>
          <w:rtl w:val="0"/>
          <w:lang w:val="en-US"/>
        </w:rPr>
        <w:t>µ</w:t>
      </w:r>
      <w:r>
        <w:rPr>
          <w:rtl w:val="0"/>
          <w:lang w:val="en-US"/>
        </w:rPr>
        <w:t>A, 120s acquisition time per spot.</w:t>
      </w:r>
    </w:p>
    <w:p>
      <w:pPr>
        <w:pStyle w:val="Normal.0"/>
        <w:spacing w:line="360" w:lineRule="auto"/>
        <w:ind w:firstLine="720"/>
        <w:jc w:val="both"/>
      </w:pPr>
      <w:r>
        <w:rPr>
          <w:rtl w:val="0"/>
          <w:lang w:val="en-US"/>
        </w:rPr>
        <w:t xml:space="preserve">Later, however, both papyri, P 11934 and P 11935 were brought to the BAM for investigation, so we could use an imaging </w:t>
      </w:r>
      <w:r>
        <w:rPr>
          <w:rtl w:val="0"/>
          <w:lang w:val="en-US"/>
        </w:rPr>
        <w:t>μ</w:t>
      </w:r>
      <w:r>
        <w:rPr>
          <w:rtl w:val="0"/>
          <w:lang w:val="en-US"/>
        </w:rPr>
        <w:t>-XRF spectrometer M6 Jetstream (Bruker GmbH). This device features focusing X-ray optics, variable interaction spots, and high-speed scanning. It is equipped with a low-power Rh X-ray tube, a 50 mm</w:t>
      </w:r>
      <w:r>
        <w:rPr>
          <w:vertAlign w:val="superscript"/>
          <w:rtl w:val="0"/>
          <w:lang w:val="en-US"/>
        </w:rPr>
        <w:t>2</w:t>
      </w:r>
      <w:r>
        <w:rPr>
          <w:rtl w:val="0"/>
          <w:lang w:val="en-US"/>
        </w:rPr>
        <w:t xml:space="preserve"> Xflash SDD detector, and two microscopes for positioning. Full size scanning was conducted in air atmosphere, at 50kV, 600</w:t>
      </w:r>
      <w:r>
        <w:rPr>
          <w:rtl w:val="0"/>
          <w:lang w:val="en-US"/>
        </w:rPr>
        <w:t>μ</w:t>
      </w:r>
      <w:r>
        <w:rPr>
          <w:rtl w:val="0"/>
          <w:lang w:val="en-US"/>
        </w:rPr>
        <w:t xml:space="preserve">A and an interaction spot of 100 </w:t>
      </w:r>
      <w:r>
        <w:rPr>
          <w:rtl w:val="0"/>
          <w:lang w:val="en-US"/>
        </w:rPr>
        <w:t>µ</w:t>
      </w:r>
      <w:r>
        <w:rPr>
          <w:rtl w:val="0"/>
          <w:lang w:val="en-US"/>
        </w:rPr>
        <w:t>m. Since we had limited time for the analysis, we adjusted the acquisition parameters using all the previous results. To answer the question whether any metals were present in the ink of P 11934, we chose a long acquisition time (30 ms / pixel) at a lower spatial resolution (250</w:t>
      </w:r>
      <w:r>
        <w:rPr>
          <w:rtl w:val="0"/>
          <w:lang w:val="en-US"/>
        </w:rPr>
        <w:t>µ</w:t>
      </w:r>
      <w:r>
        <w:rPr>
          <w:rtl w:val="0"/>
          <w:lang w:val="en-US"/>
        </w:rPr>
        <w:t xml:space="preserve">m / pixel size) resulting in 210816 spectra. In the case of P 11935, we could reduce the sensitivity since the XRF spot analysis had already revealed that the ink abundantly contained metals. A detailed image of P 11935 was achieved with a short acquisition time of 7 ms/pixel at a higher spatial resolution (100 </w:t>
      </w:r>
      <w:r>
        <w:rPr>
          <w:rtl w:val="0"/>
          <w:lang w:val="en-US"/>
        </w:rPr>
        <w:t>µ</w:t>
      </w:r>
      <w:r>
        <w:rPr>
          <w:rtl w:val="0"/>
          <w:lang w:val="en-US"/>
        </w:rPr>
        <w:t>m / pixel size) resulting in 1254686 spectra.</w:t>
      </w:r>
    </w:p>
    <w:p>
      <w:pPr>
        <w:pStyle w:val="Normal.0"/>
        <w:spacing w:line="360" w:lineRule="auto"/>
        <w:jc w:val="both"/>
        <w:rPr>
          <w:sz w:val="20"/>
          <w:szCs w:val="20"/>
        </w:rPr>
      </w:pPr>
    </w:p>
    <w:p>
      <w:pPr>
        <w:pStyle w:val="Normal.0"/>
        <w:jc w:val="both"/>
      </w:pPr>
      <w:r>
        <w:drawing xmlns:a="http://schemas.openxmlformats.org/drawingml/2006/main">
          <wp:anchor distT="0" distB="0" distL="0" distR="0" simplePos="0" relativeHeight="251659264" behindDoc="0" locked="0" layoutInCell="1" allowOverlap="1">
            <wp:simplePos x="0" y="0"/>
            <wp:positionH relativeFrom="column">
              <wp:posOffset>-133985</wp:posOffset>
            </wp:positionH>
            <wp:positionV relativeFrom="line">
              <wp:posOffset>72389</wp:posOffset>
            </wp:positionV>
            <wp:extent cx="4578968" cy="3352800"/>
            <wp:effectExtent l="0" t="0" r="0" b="0"/>
            <wp:wrapTopAndBottom distT="0" distB="0"/>
            <wp:docPr id="1073741832" name="officeArt object" descr="Grafik 9"/>
            <wp:cNvGraphicFramePr/>
            <a:graphic xmlns:a="http://schemas.openxmlformats.org/drawingml/2006/main">
              <a:graphicData uri="http://schemas.openxmlformats.org/drawingml/2006/picture">
                <pic:pic xmlns:pic="http://schemas.openxmlformats.org/drawingml/2006/picture">
                  <pic:nvPicPr>
                    <pic:cNvPr id="1073741832" name="Grafik 9" descr="Grafik 9"/>
                    <pic:cNvPicPr>
                      <a:picLocks noChangeAspect="1"/>
                    </pic:cNvPicPr>
                  </pic:nvPicPr>
                  <pic:blipFill>
                    <a:blip r:embed="rId10">
                      <a:extLst/>
                    </a:blip>
                    <a:stretch>
                      <a:fillRect/>
                    </a:stretch>
                  </pic:blipFill>
                  <pic:spPr>
                    <a:xfrm>
                      <a:off x="0" y="0"/>
                      <a:ext cx="4578968" cy="3352800"/>
                    </a:xfrm>
                    <a:prstGeom prst="rect">
                      <a:avLst/>
                    </a:prstGeom>
                    <a:ln w="12700" cap="flat">
                      <a:noFill/>
                      <a:miter lim="400000"/>
                    </a:ln>
                    <a:effectLst/>
                  </pic:spPr>
                </pic:pic>
              </a:graphicData>
            </a:graphic>
          </wp:anchor>
        </w:drawing>
      </w:r>
      <w:r>
        <w:rPr>
          <w:sz w:val="20"/>
          <w:szCs w:val="20"/>
          <w:rtl w:val="0"/>
          <w:lang w:val="en-US"/>
        </w:rPr>
        <w:t>Fig. 6. XRF spectra representative of inks (solid curves) and papyrus (broken curves). The spectra correspond to the areas of interest in the scans of P 11934 (a), P 11935 (b), and spot analysis of P 11935 (c). The non-annotated peaks at 2.7 and 2.96 keV are due to rhodium from X-ray tube and argon in the air, respectively.</w:t>
      </w:r>
    </w:p>
    <w:p>
      <w:pPr>
        <w:pStyle w:val="Normal.0"/>
        <w:spacing w:line="360" w:lineRule="auto"/>
        <w:jc w:val="both"/>
      </w:pPr>
    </w:p>
    <w:p>
      <w:pPr>
        <w:pStyle w:val="Normal.0"/>
        <w:spacing w:line="360" w:lineRule="auto"/>
        <w:ind w:firstLine="720"/>
        <w:jc w:val="both"/>
        <w:rPr>
          <w:rFonts w:ascii="Calibri" w:cs="Calibri" w:hAnsi="Calibri" w:eastAsia="Calibri"/>
        </w:rPr>
      </w:pPr>
      <w:r>
        <w:rPr>
          <w:rtl w:val="0"/>
          <w:lang w:val="en-US"/>
        </w:rPr>
        <w:t xml:space="preserve">The simplest way to qualitatively identify metals in the inks is to compare the spectra of inscribed and non-inscribed areas. However, it is crucial to compare the representative spectra or, in other words, to use statistically valid sampling. When working with extremely heterogeneous writing surfaces such as papyrus, a spot analysis is at a strong disadvantage as compared to the scanning one. However, by choosing a sufficient number of micro spots or a relatively large spot, one can overcome the disadvantage. In this work, we were lucky to be able to use both sampling methods in the study of P 11935 and we will see below that we obtained the same result. The XRF spectra of fig. 6a </w:t>
      </w:r>
      <w:r>
        <w:rPr>
          <w:rFonts w:ascii="Calibri" w:hAnsi="Calibri"/>
          <w:rtl w:val="0"/>
          <w:lang w:val="en-US"/>
        </w:rPr>
        <w:t xml:space="preserve">result from the averaging of 98 spectra collected on the letter </w:t>
      </w:r>
      <w:r>
        <w:rPr>
          <w:rFonts w:ascii="Calibri" w:hAnsi="Calibri" w:hint="default"/>
          <w:rtl w:val="0"/>
          <w:lang w:val="en-US"/>
        </w:rPr>
        <w:t>“</w:t>
      </w:r>
      <w:r>
        <w:rPr>
          <w:rFonts w:ascii="IFAO-Grec Unicode" w:hAnsi="IFAO-Grec Unicode" w:hint="default"/>
          <w:rtl w:val="0"/>
          <w:lang w:val="en-US"/>
        </w:rPr>
        <w:t>ⲟ</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ⲡⲕⲁⲣⲡⲟⲥ</w:t>
      </w:r>
      <w:r>
        <w:rPr>
          <w:rFonts w:ascii="Calibri" w:hAnsi="Calibri"/>
          <w:rtl w:val="0"/>
          <w:lang w:val="en-US"/>
        </w:rPr>
        <w:t xml:space="preserve"> (end of 7</w:t>
      </w:r>
      <w:r>
        <w:rPr>
          <w:rFonts w:ascii="Calibri" w:hAnsi="Calibri"/>
          <w:vertAlign w:val="superscript"/>
          <w:rtl w:val="0"/>
          <w:lang w:val="en-US"/>
        </w:rPr>
        <w:t>th</w:t>
      </w:r>
      <w:r>
        <w:rPr>
          <w:rFonts w:ascii="Calibri" w:hAnsi="Calibri"/>
          <w:rtl w:val="0"/>
          <w:lang w:val="en-US"/>
        </w:rPr>
        <w:t xml:space="preserve"> line) and 99 spectra from the non-inscribed area below this letter. Comparison of the spectra of the inscribed and non-inscribed areas reveals that copper (Cu) can be attested only for the first one and, therefore, is contained in the ink only. The peaks due to calcium (Ca) and iron (Fe) are present in both spectra but they display a higher abundance in the inked one suggesting their presence in the ink. A co-presence of iron and copper in the ink indicates that a common iron-gall ink was used in combination with a carbon ink as a writing material here, unequivocally identifying it as a mixed one. Presence of calcium cannot be explained easily, because on one hand, we can exclude the use of bone black as a writing material, while on the other, no ink recipe explicitly containing a Ca-based compound could be found. It is noteworthy though because we have already found calcium-containing iron-gall ink in the early medieval European manuscripts.</w:t>
      </w:r>
      <w:r>
        <w:rPr>
          <w:rFonts w:ascii="Calibri" w:cs="Calibri" w:hAnsi="Calibri" w:eastAsia="Calibri"/>
          <w:vertAlign w:val="superscript"/>
        </w:rPr>
        <w:footnoteReference w:id="25"/>
      </w:r>
      <w:r>
        <w:rPr>
          <w:rFonts w:ascii="Calibri" w:hAnsi="Calibri"/>
          <w:rtl w:val="0"/>
          <w:lang w:val="en-US"/>
        </w:rPr>
        <w:t xml:space="preserve"> Moreover, a much higher amount of iron than copper tentatively suggests that green vitriol, i.e., hydrated iron (II) sulphate was used as an iron source for the iron-gall component.</w:t>
      </w:r>
      <w:r>
        <w:rPr>
          <w:rFonts w:ascii="Calibri" w:cs="Calibri" w:hAnsi="Calibri" w:eastAsia="Calibri"/>
          <w:vertAlign w:val="superscript"/>
        </w:rPr>
        <w:footnoteReference w:id="26"/>
      </w:r>
    </w:p>
    <w:p>
      <w:pPr>
        <w:pStyle w:val="Normal.0"/>
        <w:spacing w:line="360" w:lineRule="auto"/>
        <w:ind w:firstLine="720"/>
        <w:jc w:val="both"/>
        <w:rPr>
          <w:rFonts w:ascii="Calibri" w:cs="Calibri" w:hAnsi="Calibri" w:eastAsia="Calibri"/>
        </w:rPr>
      </w:pPr>
      <w:r>
        <w:rPr>
          <w:rFonts w:ascii="Calibri" w:hAnsi="Calibri"/>
          <w:rtl w:val="0"/>
          <w:lang w:val="en-US"/>
        </w:rPr>
        <w:t>The XRF spectra in fig. 6b</w:t>
      </w:r>
      <w:r>
        <w:rPr>
          <w:sz w:val="16"/>
          <w:szCs w:val="16"/>
          <w:rtl w:val="0"/>
          <w:lang w:val="en-US"/>
        </w:rPr>
        <w:t xml:space="preserve"> </w:t>
      </w:r>
      <w:r>
        <w:rPr>
          <w:rFonts w:ascii="Calibri" w:hAnsi="Calibri"/>
          <w:rtl w:val="0"/>
          <w:lang w:val="en-US"/>
        </w:rPr>
        <w:t xml:space="preserve">result from the averaging of 470 spectra collected on the letter </w:t>
      </w:r>
      <w:r>
        <w:rPr>
          <w:rFonts w:ascii="Calibri" w:hAnsi="Calibri" w:hint="default"/>
          <w:rtl w:val="0"/>
          <w:lang w:val="en-US"/>
        </w:rPr>
        <w:t>“</w:t>
      </w:r>
      <w:r>
        <w:rPr>
          <w:rFonts w:ascii="IFAO-Grec Unicode" w:hAnsi="IFAO-Grec Unicode" w:hint="default"/>
          <w:rtl w:val="0"/>
          <w:lang w:val="en-US"/>
        </w:rPr>
        <w:t>ⲧ</w:t>
      </w:r>
      <w:r>
        <w:rPr>
          <w:rFonts w:ascii="Calibri" w:hAnsi="Calibri" w:hint="default"/>
          <w:rtl w:val="0"/>
          <w:lang w:val="en-US"/>
        </w:rPr>
        <w:t xml:space="preserve">” </w:t>
      </w:r>
      <w:r>
        <w:rPr>
          <w:rFonts w:ascii="Calibri" w:hAnsi="Calibri"/>
          <w:rtl w:val="0"/>
          <w:lang w:val="en-US"/>
        </w:rPr>
        <w:t xml:space="preserve">from the word </w:t>
      </w:r>
      <w:r>
        <w:rPr>
          <w:rFonts w:ascii="IFAO-Grec Unicode" w:hAnsi="IFAO-Grec Unicode" w:hint="default"/>
          <w:rtl w:val="0"/>
          <w:lang w:val="en-US"/>
        </w:rPr>
        <w:t>ⲉⲧⲟⲩ</w:t>
      </w:r>
      <w:r>
        <w:rPr>
          <w:rFonts w:ascii="IFAO-Grec Unicode" w:hAnsi="IFAO-Grec Unicode"/>
          <w:rtl w:val="0"/>
          <w:lang w:val="en-US"/>
        </w:rPr>
        <w:t>(</w:t>
      </w:r>
      <w:r>
        <w:rPr>
          <w:rFonts w:ascii="IFAO-Grec Unicode" w:hAnsi="IFAO-Grec Unicode" w:hint="default"/>
          <w:rtl w:val="0"/>
          <w:lang w:val="en-US"/>
        </w:rPr>
        <w:t>ⲁⲁⲃ̣</w:t>
      </w:r>
      <w:r>
        <w:rPr>
          <w:rFonts w:ascii="IFAO-Grec Unicode" w:hAnsi="IFAO-Grec Unicode"/>
          <w:rtl w:val="0"/>
          <w:lang w:val="en-US"/>
        </w:rPr>
        <w:t>)</w:t>
      </w:r>
      <w:r>
        <w:rPr>
          <w:rFonts w:ascii="Calibri" w:hAnsi="Calibri"/>
          <w:rtl w:val="0"/>
          <w:lang w:val="en-US"/>
        </w:rPr>
        <w:t xml:space="preserve"> (3rd line) and 476 spectra from the non-inscribed area just above this word. Note the effect of the spatial resolution chosen for the scans on the number of spectra required for presentation of a single letter of each manuscript. Fig. 6c shows the XRF spectra resulting from a single spot analysis from the same letter in P 11935. </w:t>
      </w:r>
    </w:p>
    <w:p>
      <w:pPr>
        <w:pStyle w:val="Normal.0"/>
        <w:spacing w:line="360" w:lineRule="auto"/>
        <w:ind w:firstLine="720"/>
        <w:jc w:val="both"/>
        <w:rPr>
          <w:rFonts w:ascii="Calibri" w:cs="Calibri" w:hAnsi="Calibri" w:eastAsia="Calibri"/>
        </w:rPr>
      </w:pPr>
      <w:r>
        <w:rPr>
          <w:rtl w:val="0"/>
          <w:lang w:val="en-US"/>
        </w:rPr>
        <w:t xml:space="preserve">Let us first compare the outputs of two different sampling methods, i.e., the spectra obtained the scanning (fig. 6b) and spot analysis (fig. 6c) performed with the imaging M6 and portable Elio, respectively. The main difference between the spectra manifests itself in the enhanced intensity of the light elements K, Ca and Ti in the spectra collected with Elio (fig. 6c) which is due to the combined effect of longer acquisition times and smaller distance between the object and the detector. For the identification of the differences between the spectra of the inscribed and non-inscribed areas both methods deliver identical result: the ink contains the metals iron, copper and zinc. It is noteworthy that the abundancy of copper is exceptionally high and that this time the element Cu constitutes the primary metallic component of the ink. The co-presence of iron, copper and zinc with the leading role of copper indicates the use of blue vitriol, hydrated copper II sulphate, in this ink. </w:t>
      </w:r>
    </w:p>
    <w:p>
      <w:pPr>
        <w:pStyle w:val="Normal.0"/>
        <w:spacing w:line="360" w:lineRule="auto"/>
        <w:ind w:firstLine="720"/>
        <w:jc w:val="both"/>
        <w:rPr>
          <w:rFonts w:ascii="Calibri" w:cs="Calibri" w:hAnsi="Calibri" w:eastAsia="Calibri"/>
        </w:rPr>
      </w:pPr>
      <w:r>
        <w:rPr>
          <w:rtl w:val="0"/>
          <w:lang w:val="en-US"/>
        </w:rPr>
        <w:t>It should be mentioned, however, that in less favourable cases, the heterogeneity of papyrus coupled with the low intensity of iron in the ink could present a difficulty for a spot analysis.</w:t>
      </w:r>
      <w:r>
        <w:rPr>
          <w:vertAlign w:val="superscript"/>
        </w:rPr>
        <w:footnoteReference w:id="27"/>
      </w:r>
      <w:r>
        <w:rPr>
          <w:rtl w:val="0"/>
          <w:lang w:val="en-US"/>
        </w:rPr>
        <w:t xml:space="preserve"> With an imaging </w:t>
      </w:r>
      <w:r>
        <w:rPr>
          <w:rtl w:val="0"/>
          <w:lang w:val="en-US"/>
        </w:rPr>
        <w:t>µ</w:t>
      </w:r>
      <w:r>
        <w:rPr>
          <w:rtl w:val="0"/>
          <w:lang w:val="en-US"/>
        </w:rPr>
        <w:t xml:space="preserve">-XRF spectrometer such as M6 Jet Stream, distribution of the element contained in the ink in a sufficient amount would reflect the text. </w:t>
      </w:r>
    </w:p>
    <w:p>
      <w:pPr>
        <w:pStyle w:val="Normal.0"/>
        <w:spacing w:line="360" w:lineRule="auto"/>
        <w:ind w:firstLine="720"/>
        <w:jc w:val="both"/>
        <w:rPr>
          <w:rFonts w:ascii="Calibri" w:cs="Calibri" w:hAnsi="Calibri" w:eastAsia="Calibri"/>
        </w:rPr>
      </w:pPr>
      <w:r>
        <w:rPr>
          <w:rtl w:val="0"/>
          <w:lang w:val="en-US"/>
        </w:rPr>
        <w:t xml:space="preserve">Figs. 7 and 8 depict the portions of the scans of P 11934 and P 11935, respectively. In both cases the photograph of the scanned area (Photo) is accompanied by the maps of the elements that reflect the text. In the first case, P 11934 (fig. 7), the maps of iron (orange, Fe) and calcium (white, Ca) present a legible text, while the copper map (yellow, Cu) reproduces it only partially, whereby the readable words are clearly correlated with ink intensity. In contrast, the scanned area (Photo) of fig. 8 (P 11935) lacks the map of calcium since this time it is not contained in the ink. The clarity of the text in the maps of iron (orange, Fe), copper (yellow, Cu) and zinc (violet, Zn) indicates that the main metallic element of the ink of P 11935 is copper. </w:t>
      </w:r>
    </w:p>
    <w:p>
      <w:pPr>
        <w:pStyle w:val="Normal.0"/>
        <w:spacing w:line="360" w:lineRule="auto"/>
        <w:jc w:val="both"/>
      </w:pPr>
    </w:p>
    <w:p>
      <w:pPr>
        <w:pStyle w:val="Normal.0"/>
        <w:jc w:val="center"/>
        <w:rPr>
          <w:sz w:val="20"/>
          <w:szCs w:val="20"/>
        </w:rPr>
      </w:pPr>
      <w:r>
        <w:rPr>
          <w:sz w:val="20"/>
          <w:szCs w:val="20"/>
        </w:rPr>
        <w:drawing xmlns:a="http://schemas.openxmlformats.org/drawingml/2006/main">
          <wp:inline distT="0" distB="0" distL="0" distR="0">
            <wp:extent cx="4054948" cy="1225296"/>
            <wp:effectExtent l="0" t="0" r="0" b="0"/>
            <wp:docPr id="1073741833" name="officeArt object" descr="Grafik 13"/>
            <wp:cNvGraphicFramePr/>
            <a:graphic xmlns:a="http://schemas.openxmlformats.org/drawingml/2006/main">
              <a:graphicData uri="http://schemas.openxmlformats.org/drawingml/2006/picture">
                <pic:pic xmlns:pic="http://schemas.openxmlformats.org/drawingml/2006/picture">
                  <pic:nvPicPr>
                    <pic:cNvPr id="1073741833" name="Grafik 13" descr="Grafik 13"/>
                    <pic:cNvPicPr>
                      <a:picLocks noChangeAspect="1"/>
                    </pic:cNvPicPr>
                  </pic:nvPicPr>
                  <pic:blipFill>
                    <a:blip r:embed="rId11">
                      <a:extLst/>
                    </a:blip>
                    <a:stretch>
                      <a:fillRect/>
                    </a:stretch>
                  </pic:blipFill>
                  <pic:spPr>
                    <a:xfrm>
                      <a:off x="0" y="0"/>
                      <a:ext cx="4054948" cy="1225296"/>
                    </a:xfrm>
                    <a:prstGeom prst="rect">
                      <a:avLst/>
                    </a:prstGeom>
                    <a:ln w="12700" cap="flat">
                      <a:noFill/>
                      <a:miter lim="400000"/>
                    </a:ln>
                    <a:effectLst/>
                  </pic:spPr>
                </pic:pic>
              </a:graphicData>
            </a:graphic>
          </wp:inline>
        </w:drawing>
      </w:r>
    </w:p>
    <w:p>
      <w:pPr>
        <w:pStyle w:val="Normal.0"/>
        <w:jc w:val="both"/>
        <w:rPr>
          <w:sz w:val="20"/>
          <w:szCs w:val="20"/>
        </w:rPr>
      </w:pPr>
    </w:p>
    <w:p>
      <w:pPr>
        <w:pStyle w:val="Normal.0"/>
        <w:jc w:val="both"/>
        <w:rPr>
          <w:sz w:val="20"/>
          <w:szCs w:val="20"/>
        </w:rPr>
      </w:pPr>
      <w:r>
        <w:rPr>
          <w:sz w:val="20"/>
          <w:szCs w:val="20"/>
          <w:rtl w:val="0"/>
          <w:lang w:val="en-US"/>
        </w:rPr>
        <w:t xml:space="preserve">Fig. 7. XRF scan of a portion of P 11934 and the corresponding distributions of iron (Fe), copper (Cu), and calcium (Ca). </w:t>
      </w:r>
    </w:p>
    <w:p>
      <w:pPr>
        <w:pStyle w:val="Normal.0"/>
        <w:spacing w:line="360" w:lineRule="auto"/>
        <w:jc w:val="both"/>
      </w:pPr>
    </w:p>
    <w:p>
      <w:pPr>
        <w:pStyle w:val="Normal.0"/>
        <w:spacing w:after="120" w:line="360" w:lineRule="auto"/>
        <w:jc w:val="center"/>
        <w:rPr>
          <w:rFonts w:ascii="Calibri" w:cs="Calibri" w:hAnsi="Calibri" w:eastAsia="Calibri"/>
        </w:rPr>
      </w:pPr>
      <w:r>
        <w:drawing xmlns:a="http://schemas.openxmlformats.org/drawingml/2006/main">
          <wp:inline distT="0" distB="0" distL="0" distR="0">
            <wp:extent cx="3352927" cy="2367691"/>
            <wp:effectExtent l="0" t="0" r="0" b="0"/>
            <wp:docPr id="1073741834" name="officeArt object" descr="Grafik 14"/>
            <wp:cNvGraphicFramePr/>
            <a:graphic xmlns:a="http://schemas.openxmlformats.org/drawingml/2006/main">
              <a:graphicData uri="http://schemas.openxmlformats.org/drawingml/2006/picture">
                <pic:pic xmlns:pic="http://schemas.openxmlformats.org/drawingml/2006/picture">
                  <pic:nvPicPr>
                    <pic:cNvPr id="1073741834" name="Grafik 14" descr="Grafik 14"/>
                    <pic:cNvPicPr>
                      <a:picLocks noChangeAspect="1"/>
                    </pic:cNvPicPr>
                  </pic:nvPicPr>
                  <pic:blipFill>
                    <a:blip r:embed="rId12">
                      <a:extLst/>
                    </a:blip>
                    <a:stretch>
                      <a:fillRect/>
                    </a:stretch>
                  </pic:blipFill>
                  <pic:spPr>
                    <a:xfrm>
                      <a:off x="0" y="0"/>
                      <a:ext cx="3352927" cy="2367691"/>
                    </a:xfrm>
                    <a:prstGeom prst="rect">
                      <a:avLst/>
                    </a:prstGeom>
                    <a:ln w="12700" cap="flat">
                      <a:noFill/>
                      <a:miter lim="400000"/>
                    </a:ln>
                    <a:effectLst/>
                  </pic:spPr>
                </pic:pic>
              </a:graphicData>
            </a:graphic>
          </wp:inline>
        </w:drawing>
      </w:r>
    </w:p>
    <w:p>
      <w:pPr>
        <w:pStyle w:val="Normal.0"/>
        <w:jc w:val="both"/>
        <w:rPr>
          <w:sz w:val="20"/>
          <w:szCs w:val="20"/>
        </w:rPr>
      </w:pPr>
      <w:r>
        <w:rPr>
          <w:sz w:val="20"/>
          <w:szCs w:val="20"/>
          <w:rtl w:val="0"/>
          <w:lang w:val="en-US"/>
        </w:rPr>
        <w:t xml:space="preserve">Fig. 8. XRF scan of a portion of P 11935 and the corresponding distributions of iron (Fe), copper (Cu), zinc (Zn). </w:t>
      </w:r>
    </w:p>
    <w:p>
      <w:pPr>
        <w:pStyle w:val="Normal.0"/>
        <w:spacing w:after="120" w:line="360" w:lineRule="auto"/>
        <w:jc w:val="both"/>
        <w:rPr>
          <w:rFonts w:ascii="Calibri" w:cs="Calibri" w:hAnsi="Calibri" w:eastAsia="Calibri"/>
        </w:rPr>
      </w:pPr>
    </w:p>
    <w:p>
      <w:pPr>
        <w:pStyle w:val="Normal.0"/>
        <w:spacing w:after="120" w:line="360" w:lineRule="auto"/>
        <w:jc w:val="both"/>
        <w:rPr>
          <w:rFonts w:ascii="Calibri" w:cs="Calibri" w:hAnsi="Calibri" w:eastAsia="Calibri"/>
        </w:rPr>
      </w:pPr>
      <w:bookmarkStart w:name="_Hlk91596208" w:id="3"/>
      <w:bookmarkEnd w:id="3"/>
    </w:p>
    <w:p>
      <w:pPr>
        <w:pStyle w:val="Normal.0"/>
        <w:spacing w:after="120" w:line="360" w:lineRule="auto"/>
        <w:ind w:firstLine="720"/>
        <w:jc w:val="both"/>
      </w:pPr>
      <w:r>
        <w:rPr>
          <w:rtl w:val="0"/>
          <w:lang w:val="en-US"/>
        </w:rPr>
        <w:t>P 11934 and P 11935, which</w:t>
      </w:r>
      <w:r>
        <w:rPr>
          <w:sz w:val="16"/>
          <w:szCs w:val="16"/>
          <w:rtl w:val="0"/>
          <w:lang w:val="en-US"/>
        </w:rPr>
        <w:t xml:space="preserve"> </w:t>
      </w:r>
      <w:r>
        <w:rPr>
          <w:rtl w:val="0"/>
          <w:lang w:val="en-US"/>
        </w:rPr>
        <w:t>are penned with mixed inks but of clearly different formulation, serve</w:t>
      </w:r>
      <w:r>
        <w:rPr>
          <w:sz w:val="16"/>
          <w:szCs w:val="16"/>
          <w:rtl w:val="0"/>
          <w:lang w:val="en-US"/>
        </w:rPr>
        <w:t xml:space="preserve"> </w:t>
      </w:r>
      <w:r>
        <w:rPr>
          <w:rtl w:val="0"/>
          <w:lang w:val="en-US"/>
        </w:rPr>
        <w:t>as an additional indication (see below) that pure iron-gall ink was not yet universally established in the early Middle Ages. Unfortunately, we cannot determine the ratio of carbon to iron-gall ink in these inks. We can speculate that the ink of the P 11934 contains more carbon since no signs of ink corrosion could be found on this document in contrast to the brownish appearance of the ink of P 11935. We do not know whether the addition of the primitive iron-gall ink or tannic solutions have arisen from the will to adulterate the carbon ink, or to make the text more durable, since iron-gall inks penetrate deeper inside the fibres of the papyrus support. These inks also illustrate well the lack of understanding that only the iron ions (green vitriol) react with the tannins to form the complexes responsible for the black colour of iron-gall ink. In fact, no clear understanding of the difference between the blue and green vitriol existed in Late Antiquity and the early Middle Ages</w:t>
      </w:r>
      <w:r>
        <w:rPr>
          <w:vertAlign w:val="superscript"/>
        </w:rPr>
        <w:footnoteReference w:id="28"/>
      </w:r>
      <w:r>
        <w:rPr>
          <w:rtl w:val="0"/>
          <w:lang w:val="en-US"/>
        </w:rPr>
        <w:t>. It is noteworthy, that inks similar in appearance to those found on P 11935 have been reported by Ghigo and Albarr</w:t>
      </w:r>
      <w:r>
        <w:rPr>
          <w:rtl w:val="0"/>
          <w:lang w:val="en-US"/>
        </w:rPr>
        <w:t>á</w:t>
      </w:r>
      <w:r>
        <w:rPr>
          <w:rtl w:val="0"/>
          <w:lang w:val="en-US"/>
        </w:rPr>
        <w:t>n Mart</w:t>
      </w:r>
      <w:r>
        <w:rPr>
          <w:rtl w:val="0"/>
          <w:lang w:val="en-US"/>
        </w:rPr>
        <w:t>í</w:t>
      </w:r>
      <w:r>
        <w:rPr>
          <w:rtl w:val="0"/>
          <w:lang w:val="en-US"/>
        </w:rPr>
        <w:t>nez in their study of the Coptic fragments from the Roca Puig collection (cf. inv. 227 and 345) originating from the monastery of Apa Apollo in Bawit and paleographically dated to the seventh to eighth</w:t>
      </w:r>
      <w:r>
        <w:rPr>
          <w:sz w:val="16"/>
          <w:szCs w:val="16"/>
          <w:rtl w:val="0"/>
          <w:lang w:val="en-US"/>
        </w:rPr>
        <w:t xml:space="preserve"> </w:t>
      </w:r>
      <w:r>
        <w:rPr>
          <w:rtl w:val="0"/>
          <w:lang w:val="en-US"/>
        </w:rPr>
        <w:t>centuries. Interestingly, the mixed ink of inv. 227 had more iron than copper as opposed to the mixed ink of inv. 345</w:t>
      </w:r>
      <w:r>
        <w:rPr>
          <w:vertAlign w:val="superscript"/>
        </w:rPr>
        <w:footnoteReference w:id="29"/>
      </w:r>
      <w:r>
        <w:rPr>
          <w:rtl w:val="0"/>
          <w:lang w:val="en-US"/>
        </w:rPr>
        <w:t>.</w:t>
      </w:r>
    </w:p>
    <w:p>
      <w:pPr>
        <w:pStyle w:val="Body"/>
        <w:bidi w:val="0"/>
        <w:rPr>
          <w:rFonts w:ascii="Times New Roman" w:cs="Times New Roman" w:hAnsi="Times New Roman" w:eastAsia="Times New Roman"/>
          <w:sz w:val="20"/>
          <w:szCs w:val="20"/>
        </w:rPr>
      </w:pPr>
      <w:r>
        <w:rPr>
          <w:rtl w:val="0"/>
          <w:lang w:val="en-US"/>
        </w:rPr>
        <w:t>#</w:t>
      </w:r>
      <w:r>
        <w:rPr>
          <w:sz w:val="20"/>
          <w:szCs w:val="20"/>
          <w:rtl w:val="0"/>
          <w:lang w:val="de-DE"/>
        </w:rPr>
        <w:t>articleHeader</w:t>
      </w:r>
    </w:p>
    <w:p>
      <w:pPr>
        <w:pStyle w:val="Body"/>
        <w:bidi w:val="0"/>
      </w:pPr>
      <w:r>
        <w:rPr>
          <w:rFonts w:ascii="Times New Roman" w:hAnsi="Times New Roman"/>
          <w:sz w:val="20"/>
          <w:szCs w:val="20"/>
          <w:rtl w:val="0"/>
          <w:lang w:val="de-DE"/>
        </w:rPr>
        <w:t xml:space="preserve">5. </w:t>
      </w:r>
      <w:r>
        <w:rPr>
          <w:rFonts w:ascii="Calibri" w:hAnsi="Calibri"/>
          <w:b w:val="1"/>
          <w:bCs w:val="1"/>
          <w:rtl w:val="0"/>
          <w:lang w:val="fr-FR"/>
        </w:rPr>
        <w:t>Conclusions</w:t>
      </w:r>
    </w:p>
    <w:p>
      <w:pPr>
        <w:pStyle w:val="Normal.0"/>
        <w:spacing w:after="120" w:line="360" w:lineRule="auto"/>
        <w:jc w:val="both"/>
      </w:pPr>
    </w:p>
    <w:p>
      <w:pPr>
        <w:pStyle w:val="Normal.0"/>
        <w:spacing w:after="120" w:line="360" w:lineRule="auto"/>
        <w:jc w:val="both"/>
      </w:pPr>
      <w:r>
        <w:rPr>
          <w:rtl w:val="0"/>
          <w:lang w:val="en-US"/>
        </w:rPr>
        <w:t>In this article, we have presented two papyri in a multidisciplinary approach. Even if the results of the material and ink analysis and the deciphering of the texts could not be brought into a dialogue in this case, we believe that such an approach holds potential for further studies. The more papyri are published with a detailed material and ink analysis, the greater the chance is that patterns could emerge, which could lead to a more integrated understanding of ancient written culture.</w:t>
      </w:r>
    </w:p>
    <w:p>
      <w:pPr>
        <w:pStyle w:val="Normal.0"/>
        <w:rPr>
          <w:lang w:val="en-US"/>
        </w:rPr>
      </w:pPr>
    </w:p>
    <w:p>
      <w:pPr>
        <w:pStyle w:val="Normal.0"/>
        <w:spacing w:line="360" w:lineRule="auto"/>
        <w:jc w:val="both"/>
        <w:rPr>
          <w:lang w:val="de-DE"/>
        </w:rPr>
      </w:pPr>
      <w:r>
        <w:rPr>
          <w:rtl w:val="0"/>
          <w:lang w:val="de-DE"/>
        </w:rPr>
        <w:t>#bibliography</w:t>
      </w:r>
    </w:p>
    <w:p>
      <w:pPr>
        <w:pStyle w:val="APF-Z Text D LZ"/>
      </w:pPr>
      <w:r>
        <w:rPr>
          <w:rStyle w:val="Hyperlink.0"/>
        </w:rPr>
        <w:fldChar w:fldCharType="begin" w:fldLock="0"/>
      </w:r>
      <w:r>
        <w:rPr>
          <w:rStyle w:val="Hyperlink.0"/>
        </w:rPr>
        <w:instrText xml:space="preserve"> HYPERLINK "https://papyri.info/biblio/96346"</w:instrText>
      </w:r>
      <w:r>
        <w:rPr>
          <w:rStyle w:val="Hyperlink.0"/>
        </w:rPr>
        <w:fldChar w:fldCharType="separate" w:fldLock="0"/>
      </w:r>
      <w:r>
        <w:rPr>
          <w:rStyle w:val="Hyperlink.0"/>
          <w:rtl w:val="0"/>
        </w:rPr>
        <w:t>Backhaus, R. (2004)</w:t>
      </w:r>
      <w:r>
        <w:rPr/>
        <w:fldChar w:fldCharType="end" w:fldLock="0"/>
      </w:r>
      <w:r>
        <w:rPr>
          <w:rtl w:val="0"/>
          <w:lang w:val="de-DE"/>
        </w:rPr>
        <w:t xml:space="preserve"> “</w:t>
      </w:r>
      <w:r>
        <w:rPr>
          <w:rtl w:val="0"/>
          <w:lang w:val="de-DE"/>
        </w:rPr>
        <w:t>Die Gefahrtragung bei gemeinsamen Unternehmungen und ihre Modifikation durch Parteiabsprachen im klassischen r</w:t>
      </w:r>
      <w:r>
        <w:rPr>
          <w:rtl w:val="0"/>
          <w:lang w:val="de-DE"/>
        </w:rPr>
        <w:t>ö</w:t>
      </w:r>
      <w:r>
        <w:rPr>
          <w:rtl w:val="0"/>
          <w:lang w:val="de-DE"/>
        </w:rPr>
        <w:t>mischen Recht,</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fr-FR"/>
        </w:rPr>
        <w:t>Abtg. 121: 232</w:t>
      </w:r>
      <w:r>
        <w:rPr>
          <w:rtl w:val="0"/>
          <w:lang w:val="fr-FR"/>
        </w:rPr>
        <w:t>–</w:t>
      </w:r>
      <w:r>
        <w:rPr>
          <w:rtl w:val="0"/>
          <w:lang w:val="fr-FR"/>
        </w:rPr>
        <w:t xml:space="preserve">261. </w:t>
      </w:r>
    </w:p>
    <w:p>
      <w:pPr>
        <w:pStyle w:val="APF-Z Text D LZ"/>
        <w:rPr>
          <w:lang w:val="fr-FR"/>
        </w:rPr>
      </w:pPr>
      <w:r>
        <w:rPr>
          <w:rStyle w:val="Hyperlink.0"/>
          <w:lang w:val="fr-FR"/>
        </w:rPr>
        <w:fldChar w:fldCharType="begin" w:fldLock="0"/>
      </w:r>
      <w:r>
        <w:rPr>
          <w:rStyle w:val="Hyperlink.0"/>
          <w:lang w:val="fr-FR"/>
        </w:rPr>
        <w:instrText xml:space="preserve"> HYPERLINK "https://papyri.info/biblio/86388"</w:instrText>
      </w:r>
      <w:r>
        <w:rPr>
          <w:rStyle w:val="Hyperlink.0"/>
          <w:lang w:val="fr-FR"/>
        </w:rPr>
        <w:fldChar w:fldCharType="separate" w:fldLock="0"/>
      </w:r>
      <w:r>
        <w:rPr>
          <w:rStyle w:val="Hyperlink.0"/>
          <w:rtl w:val="0"/>
          <w:lang w:val="fr-FR"/>
        </w:rPr>
        <w:t>Benaissa, A. (2014)</w:t>
      </w:r>
      <w:r>
        <w:rPr>
          <w:lang w:val="fr-FR"/>
        </w:rPr>
        <w:fldChar w:fldCharType="end" w:fldLock="0"/>
      </w:r>
      <w:r>
        <w:rPr>
          <w:rtl w:val="0"/>
          <w:lang w:val="fr-FR"/>
        </w:rPr>
        <w:t xml:space="preserve"> “</w:t>
      </w:r>
      <w:r>
        <w:rPr>
          <w:rtl w:val="0"/>
          <w:lang w:val="fr-FR"/>
        </w:rPr>
        <w:t>Frustula Beineckiana,</w:t>
      </w:r>
      <w:r>
        <w:rPr>
          <w:rtl w:val="0"/>
          <w:lang w:val="fr-FR"/>
        </w:rPr>
        <w:t xml:space="preserve">” </w:t>
      </w:r>
      <w:r>
        <w:rPr>
          <w:rtl w:val="0"/>
          <w:lang w:val="fr-FR"/>
        </w:rPr>
        <w:t>APF 60: 196</w:t>
      </w:r>
      <w:r>
        <w:rPr>
          <w:shd w:val="clear" w:color="auto" w:fill="ffffff"/>
          <w:rtl w:val="0"/>
          <w:lang w:val="fr-FR"/>
        </w:rPr>
        <w:t>–</w:t>
      </w:r>
      <w:r>
        <w:rPr>
          <w:rtl w:val="0"/>
          <w:lang w:val="fr-FR"/>
        </w:rPr>
        <w:t>208.</w:t>
      </w:r>
    </w:p>
    <w:p>
      <w:pPr>
        <w:pStyle w:val="APF-Z Text D LZ"/>
        <w:rPr>
          <w:lang w:val="fr-FR"/>
        </w:rPr>
      </w:pPr>
      <w:r>
        <w:rPr>
          <w:rStyle w:val="Hyperlink.0"/>
          <w:lang w:val="fr-FR"/>
        </w:rPr>
        <w:fldChar w:fldCharType="begin" w:fldLock="0"/>
      </w:r>
      <w:r>
        <w:rPr>
          <w:rStyle w:val="Hyperlink.0"/>
          <w:lang w:val="fr-FR"/>
        </w:rPr>
        <w:instrText xml:space="preserve"> HYPERLINK "https://papyri.info/biblio/63740"</w:instrText>
      </w:r>
      <w:r>
        <w:rPr>
          <w:rStyle w:val="Hyperlink.0"/>
          <w:lang w:val="fr-FR"/>
        </w:rPr>
        <w:fldChar w:fldCharType="separate" w:fldLock="0"/>
      </w:r>
      <w:r>
        <w:rPr>
          <w:rStyle w:val="Hyperlink.0"/>
          <w:rtl w:val="0"/>
          <w:lang w:val="fr-FR"/>
        </w:rPr>
        <w:t>Bonneau, D. (1994)</w:t>
      </w:r>
      <w:r>
        <w:rPr>
          <w:lang w:val="fr-FR"/>
        </w:rPr>
        <w:fldChar w:fldCharType="end" w:fldLock="0"/>
      </w:r>
      <w:r>
        <w:rPr>
          <w:rtl w:val="0"/>
          <w:lang w:val="fr-FR"/>
        </w:rPr>
        <w:t xml:space="preserve"> “</w:t>
      </w:r>
      <w:r>
        <w:rPr>
          <w:rtl w:val="0"/>
          <w:lang w:val="fr-FR"/>
        </w:rPr>
        <w:t>La s</w:t>
      </w:r>
      <w:r>
        <w:rPr>
          <w:rtl w:val="0"/>
          <w:lang w:val="fr-FR"/>
        </w:rPr>
        <w:t>é</w:t>
      </w:r>
      <w:r>
        <w:rPr>
          <w:rtl w:val="0"/>
          <w:lang w:val="fr-FR"/>
        </w:rPr>
        <w:t xml:space="preserve">cheresse en </w:t>
      </w:r>
      <w:r>
        <w:rPr>
          <w:rtl w:val="0"/>
          <w:lang w:val="fr-FR"/>
        </w:rPr>
        <w:t>É</w:t>
      </w:r>
      <w:r>
        <w:rPr>
          <w:rtl w:val="0"/>
          <w:lang w:val="fr-FR"/>
        </w:rPr>
        <w:t>gypte ancienne et ses cons</w:t>
      </w:r>
      <w:r>
        <w:rPr>
          <w:rtl w:val="0"/>
          <w:lang w:val="fr-FR"/>
        </w:rPr>
        <w:t>é</w:t>
      </w:r>
      <w:r>
        <w:rPr>
          <w:rtl w:val="0"/>
          <w:lang w:val="fr-FR"/>
        </w:rPr>
        <w:t xml:space="preserve">quences institutionelles (La terre </w:t>
      </w:r>
      <w:r>
        <w:rPr>
          <w:rFonts w:ascii="IFAO-Grec Unicode" w:hAnsi="IFAO-Grec Unicode" w:hint="default"/>
          <w:rtl w:val="0"/>
          <w:lang w:val="fr-FR"/>
        </w:rPr>
        <w:t>χέρσος</w:t>
      </w:r>
      <w:r>
        <w:rPr>
          <w:rtl w:val="0"/>
          <w:lang w:val="fr-FR"/>
        </w:rPr>
        <w:t xml:space="preserve"> et la terre </w:t>
      </w:r>
      <w:r>
        <w:rPr>
          <w:rFonts w:ascii="IFAO-Grec Unicode" w:hAnsi="IFAO-Grec Unicode" w:hint="default"/>
          <w:rtl w:val="0"/>
          <w:lang w:val="fr-FR"/>
        </w:rPr>
        <w:t>ἄβροχος</w:t>
      </w:r>
      <w:r>
        <w:rPr>
          <w:rtl w:val="0"/>
          <w:lang w:val="fr-FR"/>
        </w:rPr>
        <w:t>)</w:t>
      </w:r>
      <w:r>
        <w:rPr>
          <w:rtl w:val="0"/>
          <w:lang w:val="fr-FR"/>
        </w:rPr>
        <w:t>”</w:t>
      </w:r>
      <w:r>
        <w:rPr>
          <w:rtl w:val="0"/>
          <w:lang w:val="fr-FR"/>
        </w:rPr>
        <w:t>, in Sch. Allam (ed.), Grund und Boden in Alt</w:t>
      </w:r>
      <w:r>
        <w:rPr>
          <w:rtl w:val="0"/>
          <w:lang w:val="fr-FR"/>
        </w:rPr>
        <w:t>ä</w:t>
      </w:r>
      <w:r>
        <w:rPr>
          <w:rtl w:val="0"/>
          <w:lang w:val="fr-FR"/>
        </w:rPr>
        <w:t>gypten. T</w:t>
      </w:r>
      <w:r>
        <w:rPr>
          <w:rtl w:val="0"/>
          <w:lang w:val="fr-FR"/>
        </w:rPr>
        <w:t>ü</w:t>
      </w:r>
      <w:r>
        <w:rPr>
          <w:rtl w:val="0"/>
          <w:lang w:val="fr-FR"/>
        </w:rPr>
        <w:t>bingen: 15</w:t>
      </w:r>
      <w:r>
        <w:rPr>
          <w:rtl w:val="0"/>
          <w:lang w:val="fr-FR"/>
        </w:rPr>
        <w:t>–</w:t>
      </w:r>
      <w:r>
        <w:rPr>
          <w:rtl w:val="0"/>
          <w:lang w:val="fr-FR"/>
        </w:rPr>
        <w:t>30.</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"https://papyri.info/biblio/96354"</w:instrText>
      </w:r>
      <w:r>
        <w:rPr>
          <w:rStyle w:val="Hyperlink.0"/>
          <w:lang w:val="en-US"/>
        </w:rPr>
        <w:fldChar w:fldCharType="separate" w:fldLock="0"/>
      </w:r>
      <w:r>
        <w:rPr>
          <w:rStyle w:val="Hyperlink.0"/>
          <w:rtl w:val="0"/>
          <w:lang w:val="en-US"/>
        </w:rPr>
        <w:t>Coccato, A., Jehlicka, J., Moens, L., and Vandenabeele, P. (2015)</w:t>
      </w:r>
      <w:r>
        <w:rPr>
          <w:lang w:val="en-US"/>
        </w:rPr>
        <w:fldChar w:fldCharType="end" w:fldLock="0"/>
      </w:r>
      <w:r>
        <w:rPr>
          <w:rtl w:val="0"/>
          <w:lang w:val="en-US"/>
        </w:rPr>
        <w:t xml:space="preserve"> “</w:t>
      </w:r>
      <w:r>
        <w:rPr>
          <w:rtl w:val="0"/>
          <w:lang w:val="en-US"/>
        </w:rPr>
        <w:t>Raman spectroscopy for the investigation of carbon-based black pigments,</w:t>
      </w:r>
      <w:r>
        <w:rPr>
          <w:rtl w:val="0"/>
          <w:lang w:val="en-US"/>
        </w:rPr>
        <w:t xml:space="preserve">” </w:t>
      </w:r>
      <w:r>
        <w:rPr>
          <w:rtl w:val="0"/>
          <w:lang w:val="en-US"/>
        </w:rPr>
        <w:t>Journal of Raman Spectroscopy 46: 1003</w:t>
      </w:r>
      <w:r>
        <w:rPr>
          <w:rtl w:val="0"/>
          <w:lang w:val="en-US"/>
        </w:rPr>
        <w:t>–</w:t>
      </w:r>
      <w:r>
        <w:rPr>
          <w:rtl w:val="0"/>
          <w:lang w:val="en-US"/>
        </w:rPr>
        <w:t>1015.</w:t>
      </w:r>
    </w:p>
    <w:p>
      <w:pPr>
        <w:pStyle w:val="APF-Z Text D LZ"/>
        <w:spacing w:line="240" w:lineRule="auto"/>
      </w:pPr>
      <w:r>
        <w:rPr>
          <w:rStyle w:val="Hyperlink.0"/>
        </w:rPr>
        <w:fldChar w:fldCharType="begin" w:fldLock="0"/>
      </w:r>
      <w:r>
        <w:rPr>
          <w:rStyle w:val="Hyperlink.0"/>
        </w:rPr>
        <w:instrText xml:space="preserve"> HYPERLINK "https://papyri.info/biblio/96355"</w:instrText>
      </w:r>
      <w:r>
        <w:rPr>
          <w:rStyle w:val="Hyperlink.0"/>
        </w:rPr>
        <w:fldChar w:fldCharType="separate" w:fldLock="0"/>
      </w:r>
      <w:r>
        <w:rPr>
          <w:rStyle w:val="Hyperlink.0"/>
          <w:rtl w:val="0"/>
          <w:lang w:val="it-IT"/>
        </w:rPr>
        <w:t>Colini, C., Hahn, O., Bonnerot, O., Steger, S., Cohen, Z., Ghigo, T., Christiansen, T., Bicchieri, M., Biocca, P., Krutzsch, M., and Rabin, I. (2018)</w:t>
      </w:r>
      <w:r>
        <w:rPr/>
        <w:fldChar w:fldCharType="end" w:fldLock="0"/>
      </w:r>
      <w:r>
        <w:rPr>
          <w:rtl w:val="0"/>
          <w:lang w:val="en-US"/>
        </w:rPr>
        <w:t xml:space="preserve"> “</w:t>
      </w:r>
      <w:r>
        <w:rPr>
          <w:rtl w:val="0"/>
          <w:lang w:val="en-US"/>
        </w:rPr>
        <w:t>The Quest for the Mixed Inks,</w:t>
      </w:r>
      <w:r>
        <w:rPr>
          <w:rtl w:val="0"/>
          <w:lang w:val="en-US"/>
        </w:rPr>
        <w:t xml:space="preserve">” </w:t>
      </w:r>
      <w:r>
        <w:rPr>
          <w:rtl w:val="0"/>
          <w:lang w:val="en-US"/>
        </w:rPr>
        <w:t>Manuscript Cultures 11: 41</w:t>
      </w:r>
      <w:r>
        <w:rPr>
          <w:rtl w:val="0"/>
          <w:lang w:val="en-US"/>
        </w:rPr>
        <w:t>–</w:t>
      </w:r>
      <w:r>
        <w:rPr>
          <w:rtl w:val="0"/>
          <w:lang w:val="en-US"/>
        </w:rPr>
        <w:t>48.</w:t>
      </w:r>
    </w:p>
    <w:p>
      <w:pPr>
        <w:pStyle w:val="APF-Z Text D LZ"/>
      </w:pPr>
      <w:r>
        <w:rPr>
          <w:rStyle w:val="Hyperlink.0"/>
        </w:rPr>
        <w:fldChar w:fldCharType="begin" w:fldLock="0"/>
      </w:r>
      <w:r>
        <w:rPr>
          <w:rStyle w:val="Hyperlink.0"/>
        </w:rPr>
        <w:instrText xml:space="preserve"> HYPERLINK "https://papyri.info/biblio/96348"</w:instrText>
      </w:r>
      <w:r>
        <w:rPr>
          <w:rStyle w:val="Hyperlink.0"/>
        </w:rPr>
        <w:fldChar w:fldCharType="separate" w:fldLock="0"/>
      </w:r>
      <w:r>
        <w:rPr>
          <w:rStyle w:val="Hyperlink.0"/>
          <w:rtl w:val="0"/>
          <w:lang w:val="nl-NL"/>
        </w:rPr>
        <w:t>De Neeve, P.W. (1983)</w:t>
      </w:r>
      <w:r>
        <w:rPr/>
        <w:fldChar w:fldCharType="end" w:fldLock="0"/>
      </w:r>
      <w:r>
        <w:rPr>
          <w:rtl w:val="0"/>
          <w:lang w:val="de-DE"/>
        </w:rPr>
        <w:t xml:space="preserve"> “</w:t>
      </w:r>
      <w:r>
        <w:rPr>
          <w:rtl w:val="0"/>
          <w:lang w:val="de-DE"/>
        </w:rPr>
        <w:t>Remissio mercedis,</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100: 296</w:t>
      </w:r>
      <w:r>
        <w:rPr>
          <w:rtl w:val="0"/>
          <w:lang w:val="en-US"/>
        </w:rPr>
        <w:t>–</w:t>
      </w:r>
      <w:r>
        <w:rPr>
          <w:rtl w:val="0"/>
          <w:lang w:val="en-US"/>
        </w:rPr>
        <w:t>339.</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"https://papyri.info/biblio/96360"</w:instrText>
      </w:r>
      <w:r>
        <w:rPr>
          <w:rStyle w:val="Hyperlink.0"/>
          <w:lang w:val="en-US"/>
        </w:rPr>
        <w:fldChar w:fldCharType="separate" w:fldLock="0"/>
      </w:r>
      <w:r>
        <w:rPr>
          <w:rStyle w:val="Hyperlink.0"/>
          <w:rtl w:val="0"/>
          <w:lang w:val="en-US"/>
        </w:rPr>
        <w:t>Depauw, M. (2006)</w:t>
      </w:r>
      <w:r>
        <w:rPr>
          <w:lang w:val="en-US"/>
        </w:rPr>
        <w:fldChar w:fldCharType="end" w:fldLock="0"/>
      </w:r>
      <w:r>
        <w:rPr>
          <w:rtl w:val="0"/>
          <w:lang w:val="en-US"/>
        </w:rPr>
        <w:t xml:space="preserve"> The Demotic letter: a study of epistolographic scribal traditions against their intra- and intercultural background. Sommerhausen.</w:t>
      </w:r>
    </w:p>
    <w:p>
      <w:pPr>
        <w:pStyle w:val="APF-Z Text D LZ"/>
      </w:pPr>
      <w:r>
        <w:rPr>
          <w:rStyle w:val="Hyperlink.0"/>
        </w:rPr>
        <w:fldChar w:fldCharType="begin" w:fldLock="0"/>
      </w:r>
      <w:r>
        <w:rPr>
          <w:rStyle w:val="Hyperlink.0"/>
        </w:rPr>
        <w:instrText xml:space="preserve"> HYPERLINK "https://papyri.info/biblio/96347"</w:instrText>
      </w:r>
      <w:r>
        <w:rPr>
          <w:rStyle w:val="Hyperlink.0"/>
        </w:rPr>
        <w:fldChar w:fldCharType="separate" w:fldLock="0"/>
      </w:r>
      <w:r>
        <w:rPr>
          <w:rStyle w:val="Hyperlink.0"/>
          <w:rtl w:val="0"/>
        </w:rPr>
        <w:t>Ernst, W. (2004)</w:t>
      </w:r>
      <w:r>
        <w:rPr/>
        <w:fldChar w:fldCharType="end" w:fldLock="0"/>
      </w:r>
      <w:r>
        <w:rPr>
          <w:rtl w:val="0"/>
          <w:lang w:val="de-DE"/>
        </w:rPr>
        <w:t xml:space="preserve"> “</w:t>
      </w:r>
      <w:r>
        <w:rPr>
          <w:rtl w:val="0"/>
          <w:lang w:val="de-DE"/>
        </w:rPr>
        <w:t>Neues zur Gefahrtragung bei emptio venditio und locatio conductio?,</w:t>
      </w:r>
      <w:r>
        <w:rPr>
          <w:rtl w:val="0"/>
          <w:lang w:val="de-DE"/>
        </w:rPr>
        <w:t xml:space="preserve">” </w:t>
      </w:r>
      <w:r>
        <w:rPr>
          <w:rtl w:val="0"/>
          <w:lang w:val="de-DE"/>
        </w:rPr>
        <w:t>Savigny-Zeitschrift f</w:t>
      </w:r>
      <w:r>
        <w:rPr>
          <w:rtl w:val="0"/>
          <w:lang w:val="de-DE"/>
        </w:rPr>
        <w:t>ü</w:t>
      </w:r>
      <w:r>
        <w:rPr>
          <w:rtl w:val="0"/>
          <w:lang w:val="de-DE"/>
        </w:rPr>
        <w:t xml:space="preserve">r Rechtsgeschichte, Rom. </w:t>
      </w:r>
      <w:r>
        <w:rPr>
          <w:rtl w:val="0"/>
          <w:lang w:val="en-US"/>
        </w:rPr>
        <w:t>Abtg. 121: 363</w:t>
      </w:r>
      <w:r>
        <w:rPr>
          <w:rtl w:val="0"/>
          <w:lang w:val="en-US"/>
        </w:rPr>
        <w:t>–</w:t>
      </w:r>
      <w:r>
        <w:rPr>
          <w:rtl w:val="0"/>
          <w:lang w:val="en-US"/>
        </w:rPr>
        <w:t>378.</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"https://papyri.info/biblio/95783"</w:instrText>
      </w:r>
      <w:r>
        <w:rPr>
          <w:rStyle w:val="Hyperlink.0"/>
          <w:lang w:val="en-US"/>
        </w:rPr>
        <w:fldChar w:fldCharType="separate" w:fldLock="0"/>
      </w:r>
      <w:r>
        <w:rPr>
          <w:rStyle w:val="Hyperlink.0"/>
          <w:rtl w:val="0"/>
          <w:lang w:val="en-US"/>
        </w:rPr>
        <w:t>Fournet, J.-L. (2020)</w:t>
      </w:r>
      <w:r>
        <w:rPr>
          <w:lang w:val="en-US"/>
        </w:rPr>
        <w:fldChar w:fldCharType="end" w:fldLock="0"/>
      </w:r>
      <w:r>
        <w:rPr>
          <w:rtl w:val="0"/>
          <w:lang w:val="en-US"/>
        </w:rPr>
        <w:t xml:space="preserve"> The Rise of Coptic. Egyptian versus Greek in Late Antiquity. Princeton/Oxford.</w:t>
      </w:r>
    </w:p>
    <w:p>
      <w:pPr>
        <w:pStyle w:val="APF-Z Text D LZ"/>
      </w:pPr>
      <w:r>
        <w:rPr>
          <w:rStyle w:val="Hyperlink.0"/>
        </w:rPr>
        <w:fldChar w:fldCharType="begin" w:fldLock="0"/>
      </w:r>
      <w:r>
        <w:rPr>
          <w:rStyle w:val="Hyperlink.0"/>
        </w:rPr>
        <w:instrText xml:space="preserve"> HYPERLINK "https://papyri.info/biblio/96353"</w:instrText>
      </w:r>
      <w:r>
        <w:rPr>
          <w:rStyle w:val="Hyperlink.0"/>
        </w:rPr>
        <w:fldChar w:fldCharType="separate" w:fldLock="0"/>
      </w:r>
      <w:r>
        <w:rPr>
          <w:rStyle w:val="Hyperlink.0"/>
          <w:rFonts w:cs="Arial Unicode MS" w:eastAsia="Arial Unicode MS"/>
          <w:rtl w:val="0"/>
        </w:rPr>
        <w:t>Frier, B.W. (1989/90)</w:t>
      </w:r>
      <w:r>
        <w:rPr/>
        <w:fldChar w:fldCharType="end" w:fldLock="0"/>
      </w:r>
      <w:r>
        <w:rPr>
          <w:rFonts w:cs="Arial Unicode MS" w:eastAsia="Arial Unicode MS" w:hint="default"/>
          <w:rtl w:val="0"/>
          <w:lang w:val="en-US"/>
        </w:rPr>
        <w:t xml:space="preserve"> “</w:t>
      </w:r>
      <w:r>
        <w:rPr>
          <w:rFonts w:cs="Arial Unicode MS" w:eastAsia="Arial Unicode MS"/>
          <w:rtl w:val="0"/>
          <w:lang w:val="en-US"/>
        </w:rPr>
        <w:t xml:space="preserve">Law, Economics, and Disasters down on the Farm: </w:t>
      </w:r>
      <w:r>
        <w:rPr>
          <w:rFonts w:cs="Arial Unicode MS" w:eastAsia="Arial Unicode MS" w:hint="default"/>
          <w:rtl w:val="0"/>
          <w:lang w:val="en-US"/>
        </w:rPr>
        <w:t>‚</w:t>
      </w:r>
      <w:r>
        <w:rPr>
          <w:rFonts w:cs="Arial Unicode MS" w:eastAsia="Arial Unicode MS"/>
          <w:rtl w:val="0"/>
          <w:lang w:val="en-US"/>
        </w:rPr>
        <w:t>Remissio Mercedis</w:t>
      </w:r>
      <w:r>
        <w:rPr>
          <w:rFonts w:cs="Arial Unicode MS" w:eastAsia="Arial Unicode MS" w:hint="default"/>
          <w:rtl w:val="0"/>
          <w:lang w:val="en-US"/>
        </w:rPr>
        <w:t xml:space="preserve">‘ </w:t>
      </w:r>
      <w:r>
        <w:rPr>
          <w:rFonts w:cs="Arial Unicode MS" w:eastAsia="Arial Unicode MS"/>
          <w:rtl w:val="0"/>
          <w:lang w:val="en-US"/>
        </w:rPr>
        <w:t>Revisited,</w:t>
      </w:r>
      <w:r>
        <w:rPr>
          <w:rFonts w:cs="Arial Unicode MS" w:eastAsia="Arial Unicode MS" w:hint="default"/>
          <w:rtl w:val="0"/>
          <w:lang w:val="en-US"/>
        </w:rPr>
        <w:t xml:space="preserve">” </w:t>
      </w:r>
      <w:r>
        <w:rPr>
          <w:rFonts w:cs="Arial Unicode MS" w:eastAsia="Arial Unicode MS"/>
          <w:rtl w:val="0"/>
          <w:lang w:val="en-US"/>
        </w:rPr>
        <w:t>Bulletino dell</w:t>
      </w:r>
      <w:r>
        <w:rPr>
          <w:rFonts w:cs="Arial Unicode MS" w:eastAsia="Arial Unicode MS" w:hint="default"/>
          <w:rtl w:val="0"/>
          <w:lang w:val="en-US"/>
        </w:rPr>
        <w:t>’</w:t>
      </w:r>
      <w:r>
        <w:rPr>
          <w:rFonts w:cs="Arial Unicode MS" w:eastAsia="Arial Unicode MS"/>
          <w:rtl w:val="0"/>
          <w:lang w:val="en-US"/>
        </w:rPr>
        <w:t xml:space="preserve">Istituto di diritto Romano </w:t>
      </w:r>
      <w:r>
        <w:rPr>
          <w:rFonts w:cs="Arial Unicode MS" w:eastAsia="Arial Unicode MS" w:hint="default"/>
          <w:rtl w:val="0"/>
          <w:lang w:val="en-US"/>
        </w:rPr>
        <w:t>„</w:t>
      </w:r>
      <w:r>
        <w:rPr>
          <w:rFonts w:cs="Arial Unicode MS" w:eastAsia="Arial Unicode MS"/>
          <w:rtl w:val="0"/>
          <w:lang w:val="en-US"/>
        </w:rPr>
        <w:t>Vittorio Scialoja</w:t>
      </w:r>
      <w:r>
        <w:rPr>
          <w:rFonts w:cs="Arial Unicode MS" w:eastAsia="Arial Unicode MS" w:hint="default"/>
          <w:rtl w:val="0"/>
          <w:lang w:val="en-US"/>
        </w:rPr>
        <w:t xml:space="preserve">“ </w:t>
      </w:r>
      <w:r>
        <w:rPr>
          <w:rFonts w:cs="Arial Unicode MS" w:eastAsia="Arial Unicode MS"/>
          <w:rtl w:val="0"/>
          <w:lang w:val="en-US"/>
        </w:rPr>
        <w:t>31(92)/32(93): 237</w:t>
      </w:r>
      <w:r>
        <w:rPr>
          <w:rFonts w:cs="Arial Unicode MS" w:eastAsia="Arial Unicode MS" w:hint="default"/>
          <w:rtl w:val="0"/>
          <w:lang w:val="en-US"/>
        </w:rPr>
        <w:t>–</w:t>
      </w:r>
      <w:r>
        <w:rPr>
          <w:rFonts w:cs="Arial Unicode MS" w:eastAsia="Arial Unicode MS"/>
          <w:rtl w:val="0"/>
          <w:lang w:val="en-US"/>
        </w:rPr>
        <w:t>270.</w:t>
      </w:r>
    </w:p>
    <w:p>
      <w:pPr>
        <w:pStyle w:val="APF-Z Text D LZ"/>
      </w:pPr>
      <w:r>
        <w:rPr>
          <w:rStyle w:val="Hyperlink.0"/>
        </w:rPr>
        <w:fldChar w:fldCharType="begin" w:fldLock="0"/>
      </w:r>
      <w:r>
        <w:rPr>
          <w:rStyle w:val="Hyperlink.0"/>
        </w:rPr>
        <w:instrText xml:space="preserve"> HYPERLINK "https://papyri.info/biblio/16959"</w:instrText>
      </w:r>
      <w:r>
        <w:rPr>
          <w:rStyle w:val="Hyperlink.0"/>
        </w:rPr>
        <w:fldChar w:fldCharType="separate" w:fldLock="0"/>
      </w:r>
      <w:r>
        <w:rPr>
          <w:rStyle w:val="Hyperlink.0"/>
          <w:rtl w:val="0"/>
        </w:rPr>
        <w:t>F</w:t>
      </w:r>
      <w:r>
        <w:rPr>
          <w:rStyle w:val="Hyperlink.0"/>
          <w:rtl w:val="0"/>
          <w:lang w:val="sv-SE"/>
        </w:rPr>
        <w:t>ö</w:t>
      </w:r>
      <w:r>
        <w:rPr>
          <w:rStyle w:val="Hyperlink.0"/>
          <w:rtl w:val="0"/>
        </w:rPr>
        <w:t>rster, H. (2002)</w:t>
      </w:r>
      <w:r>
        <w:rPr/>
        <w:fldChar w:fldCharType="end" w:fldLock="0"/>
      </w:r>
      <w:r>
        <w:rPr>
          <w:rtl w:val="0"/>
          <w:lang w:val="de-DE"/>
        </w:rPr>
        <w:t xml:space="preserve"> W</w:t>
      </w:r>
      <w:r>
        <w:rPr>
          <w:rtl w:val="0"/>
          <w:lang w:val="de-DE"/>
        </w:rPr>
        <w:t>ö</w:t>
      </w:r>
      <w:r>
        <w:rPr>
          <w:rtl w:val="0"/>
          <w:lang w:val="de-DE"/>
        </w:rPr>
        <w:t>rterbuch der griechischen W</w:t>
      </w:r>
      <w:r>
        <w:rPr>
          <w:rtl w:val="0"/>
          <w:lang w:val="de-DE"/>
        </w:rPr>
        <w:t>ö</w:t>
      </w:r>
      <w:r>
        <w:rPr>
          <w:rtl w:val="0"/>
          <w:lang w:val="de-DE"/>
        </w:rPr>
        <w:t xml:space="preserve">rter in den koptischen dokumentarischen Texten (Texte und Untersuchungen zur Geschichte der altchristlichen Literatur 148). </w:t>
      </w:r>
      <w:r>
        <w:rPr>
          <w:rtl w:val="0"/>
          <w:lang w:val="en-US"/>
        </w:rPr>
        <w:t>Berlin.</w:t>
      </w:r>
    </w:p>
    <w:p>
      <w:pPr>
        <w:pStyle w:val="APF-Z Text D LZ"/>
        <w:spacing w:line="240" w:lineRule="auto"/>
      </w:pPr>
      <w:r>
        <w:rPr>
          <w:rStyle w:val="Hyperlink.0"/>
        </w:rPr>
        <w:fldChar w:fldCharType="begin" w:fldLock="0"/>
      </w:r>
      <w:r>
        <w:rPr>
          <w:rStyle w:val="Hyperlink.0"/>
        </w:rPr>
        <w:instrText xml:space="preserve"> HYPERLINK "https://papyri.info/biblio/96357"</w:instrText>
      </w:r>
      <w:r>
        <w:rPr>
          <w:rStyle w:val="Hyperlink.0"/>
        </w:rPr>
        <w:fldChar w:fldCharType="separate" w:fldLock="0"/>
      </w:r>
      <w:r>
        <w:rPr>
          <w:rStyle w:val="Hyperlink.0"/>
          <w:rtl w:val="0"/>
          <w:lang w:val="en-US"/>
        </w:rPr>
        <w:t>Ghigo, T., Rabin, I., and Buzi, P. (2020)</w:t>
      </w:r>
      <w:r>
        <w:rPr/>
        <w:fldChar w:fldCharType="end" w:fldLock="0"/>
      </w:r>
      <w:r>
        <w:rPr>
          <w:rtl w:val="0"/>
          <w:lang w:val="en-US"/>
        </w:rPr>
        <w:t xml:space="preserve"> “</w:t>
      </w:r>
      <w:r>
        <w:rPr>
          <w:rtl w:val="0"/>
          <w:lang w:val="en-US"/>
        </w:rPr>
        <w:t>Black Egyptian Inks in Late Antiquity: New Insights on Their Manufacture and Use,</w:t>
      </w:r>
      <w:r>
        <w:rPr>
          <w:rtl w:val="0"/>
          <w:lang w:val="en-US"/>
        </w:rPr>
        <w:t xml:space="preserve">” </w:t>
      </w:r>
      <w:r>
        <w:rPr>
          <w:rtl w:val="0"/>
          <w:lang w:val="en-US"/>
        </w:rPr>
        <w:t>Archaeological and Anthropological Sciences 12: 70</w:t>
      </w:r>
      <w:r>
        <w:rPr>
          <w:rtl w:val="0"/>
          <w:lang w:val="en-US"/>
        </w:rPr>
        <w:t>–</w:t>
      </w:r>
      <w:r>
        <w:rPr>
          <w:rtl w:val="0"/>
          <w:lang w:val="en-US"/>
        </w:rPr>
        <w:t>84.</w:t>
      </w:r>
    </w:p>
    <w:p>
      <w:pPr>
        <w:pStyle w:val="APF-Z Text D LZ"/>
        <w:spacing w:line="240" w:lineRule="auto"/>
      </w:pP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T. and Albarr</w:t>
      </w:r>
      <w:r>
        <w:rPr>
          <w:rStyle w:val="Hyperlink.0"/>
          <w:rtl w:val="0"/>
        </w:rPr>
        <w:t>á</w:t>
      </w:r>
      <w:r>
        <w:rPr>
          <w:rStyle w:val="Hyperlink.0"/>
          <w:rtl w:val="0"/>
          <w:lang w:val="fr-FR"/>
        </w:rPr>
        <w:t>n Mart</w:t>
      </w:r>
      <w:r>
        <w:rPr>
          <w:rStyle w:val="Hyperlink.0"/>
          <w:rtl w:val="0"/>
        </w:rPr>
        <w:t>í</w:t>
      </w:r>
      <w:r>
        <w:rPr>
          <w:rStyle w:val="Hyperlink.0"/>
          <w:rtl w:val="0"/>
        </w:rPr>
        <w:t>nez, M.J. (2021)</w:t>
      </w:r>
      <w:r>
        <w:rPr/>
        <w:fldChar w:fldCharType="end" w:fldLock="0"/>
      </w:r>
      <w:r>
        <w:rPr>
          <w:rtl w:val="0"/>
          <w:lang w:val="en-US"/>
        </w:rPr>
        <w:t xml:space="preserve"> “</w:t>
      </w:r>
      <w:r>
        <w:rPr>
          <w:rtl w:val="0"/>
          <w:lang w:val="en-US"/>
        </w:rPr>
        <w:t>The practice of writing inside an Egyptian monastic settlement: preliminary material characterisation of the inks used on Coptic manuscripts from the Monastery of Apa Apollo at Bawit,</w:t>
      </w:r>
      <w:r>
        <w:rPr>
          <w:rtl w:val="0"/>
          <w:lang w:val="en-US"/>
        </w:rPr>
        <w:t xml:space="preserve">” </w:t>
      </w:r>
      <w:r>
        <w:rPr>
          <w:rtl w:val="0"/>
          <w:lang w:val="en-US"/>
        </w:rPr>
        <w:t>Heritage Science 9</w:t>
      </w:r>
      <w:r>
        <w:rPr>
          <w:rtl w:val="0"/>
          <w:lang w:val="en-US"/>
        </w:rPr>
        <w:t xml:space="preserve">: </w:t>
      </w:r>
      <w:r>
        <w:rPr>
          <w:rtl w:val="0"/>
          <w:lang w:val="en-US"/>
        </w:rPr>
        <w:t>62.</w:t>
      </w:r>
    </w:p>
    <w:p>
      <w:pPr>
        <w:pStyle w:val="APF-Z Text D LZ"/>
        <w:rPr>
          <w:lang w:val="de-DE"/>
        </w:rPr>
      </w:pPr>
      <w:r>
        <w:rPr>
          <w:rStyle w:val="Hyperlink.0"/>
          <w:lang w:val="de-DE"/>
        </w:rPr>
        <w:fldChar w:fldCharType="begin" w:fldLock="0"/>
      </w:r>
      <w:r>
        <w:rPr>
          <w:rStyle w:val="Hyperlink.0"/>
          <w:lang w:val="de-DE"/>
        </w:rPr>
        <w:instrText xml:space="preserve"> HYPERLINK "https://papyri.info/biblio/66600"</w:instrText>
      </w:r>
      <w:r>
        <w:rPr>
          <w:rStyle w:val="Hyperlink.0"/>
          <w:lang w:val="de-DE"/>
        </w:rPr>
        <w:fldChar w:fldCharType="separate" w:fldLock="0"/>
      </w:r>
      <w:r>
        <w:rPr>
          <w:rStyle w:val="Hyperlink.0"/>
          <w:rtl w:val="0"/>
          <w:lang w:val="de-DE"/>
        </w:rPr>
        <w:t>Habermann, W. (1997)</w:t>
      </w:r>
      <w:r>
        <w:rPr>
          <w:lang w:val="de-DE"/>
        </w:rPr>
        <w:fldChar w:fldCharType="end" w:fldLock="0"/>
      </w:r>
      <w:r>
        <w:rPr>
          <w:rtl w:val="0"/>
          <w:lang w:val="de-DE"/>
        </w:rPr>
        <w:t xml:space="preserve"> “</w:t>
      </w:r>
      <w:r>
        <w:rPr>
          <w:rtl w:val="0"/>
          <w:lang w:val="de-DE"/>
        </w:rPr>
        <w:t>Aspekte des Bew</w:t>
      </w:r>
      <w:r>
        <w:rPr>
          <w:rtl w:val="0"/>
          <w:lang w:val="de-DE"/>
        </w:rPr>
        <w:t>ä</w:t>
      </w:r>
      <w:r>
        <w:rPr>
          <w:rtl w:val="0"/>
          <w:lang w:val="de-DE"/>
        </w:rPr>
        <w:t xml:space="preserve">sserungswesens im kaiserzeitlichen </w:t>
      </w:r>
      <w:r>
        <w:rPr>
          <w:rtl w:val="0"/>
          <w:lang w:val="de-DE"/>
        </w:rPr>
        <w:t>Ä</w:t>
      </w:r>
      <w:r>
        <w:rPr>
          <w:rtl w:val="0"/>
          <w:lang w:val="de-DE"/>
        </w:rPr>
        <w:t xml:space="preserve">gypten I: Die </w:t>
      </w:r>
      <w:r>
        <w:rPr>
          <w:rtl w:val="0"/>
          <w:lang w:val="de-DE"/>
        </w:rPr>
        <w:t>«</w:t>
      </w:r>
      <w:r>
        <w:rPr>
          <w:rtl w:val="0"/>
          <w:lang w:val="de-DE"/>
        </w:rPr>
        <w:t>Erkl</w:t>
      </w:r>
      <w:r>
        <w:rPr>
          <w:rtl w:val="0"/>
          <w:lang w:val="de-DE"/>
        </w:rPr>
        <w:t>ä</w:t>
      </w:r>
      <w:r>
        <w:rPr>
          <w:rtl w:val="0"/>
          <w:lang w:val="de-DE"/>
        </w:rPr>
        <w:t>rungen f</w:t>
      </w:r>
      <w:r>
        <w:rPr>
          <w:rtl w:val="0"/>
          <w:lang w:val="de-DE"/>
        </w:rPr>
        <w:t>ü</w:t>
      </w:r>
      <w:r>
        <w:rPr>
          <w:rtl w:val="0"/>
          <w:lang w:val="de-DE"/>
        </w:rPr>
        <w:t xml:space="preserve">r nicht </w:t>
      </w:r>
      <w:r>
        <w:rPr>
          <w:rtl w:val="0"/>
          <w:lang w:val="de-DE"/>
        </w:rPr>
        <w:t>ü</w:t>
      </w:r>
      <w:r>
        <w:rPr>
          <w:rtl w:val="0"/>
          <w:lang w:val="de-DE"/>
        </w:rPr>
        <w:t>berflutetes Land</w:t>
      </w:r>
      <w:r>
        <w:rPr>
          <w:rtl w:val="0"/>
          <w:lang w:val="de-DE"/>
        </w:rPr>
        <w:t xml:space="preserve">» </w:t>
      </w:r>
      <w:r>
        <w:rPr>
          <w:rtl w:val="0"/>
          <w:lang w:val="de-DE"/>
        </w:rPr>
        <w:t>(Abrochia-Deklarationen),</w:t>
      </w:r>
      <w:r>
        <w:rPr>
          <w:rtl w:val="0"/>
          <w:lang w:val="de-DE"/>
        </w:rPr>
        <w:t xml:space="preserve">” </w:t>
      </w:r>
      <w:r>
        <w:rPr>
          <w:rtl w:val="0"/>
          <w:lang w:val="de-DE"/>
        </w:rPr>
        <w:t>in K. Ruffing and B. Tenger (eds), Miscellanea oeconomica. Studien zur antiken Wirtschaftsgeschichte. Harald Winkel zum 65. Geburtstag. St. Katharinen: 213</w:t>
      </w:r>
      <w:r>
        <w:rPr>
          <w:rtl w:val="0"/>
          <w:lang w:val="de-DE"/>
        </w:rPr>
        <w:t>–</w:t>
      </w:r>
      <w:r>
        <w:rPr>
          <w:rtl w:val="0"/>
          <w:lang w:val="de-DE"/>
        </w:rPr>
        <w:t>283.</w:t>
      </w:r>
    </w:p>
    <w:p>
      <w:pPr>
        <w:pStyle w:val="APF-Z Text D LZ"/>
        <w:spacing w:line="240" w:lineRule="auto"/>
        <w:rPr>
          <w:lang w:val="en-US"/>
        </w:rPr>
      </w:pPr>
      <w:r>
        <w:rPr>
          <w:rStyle w:val="Hyperlink.0"/>
          <w:lang w:val="en-US"/>
        </w:rPr>
        <w:fldChar w:fldCharType="begin" w:fldLock="0"/>
      </w:r>
      <w:r>
        <w:rPr>
          <w:rStyle w:val="Hyperlink.0"/>
          <w:lang w:val="en-US"/>
        </w:rPr>
        <w:instrText xml:space="preserve"> HYPERLINK "https://papyri.info/biblio/96359"</w:instrText>
      </w:r>
      <w:r>
        <w:rPr>
          <w:rStyle w:val="Hyperlink.0"/>
          <w:lang w:val="en-US"/>
        </w:rPr>
        <w:fldChar w:fldCharType="separate" w:fldLock="0"/>
      </w:r>
      <w:r>
        <w:rPr>
          <w:rStyle w:val="Hyperlink.0"/>
          <w:rtl w:val="0"/>
          <w:lang w:val="en-US"/>
        </w:rPr>
        <w:t>Hahn, O., Nehring, G., Freisitzer, R., and Rabin, I. (2021)</w:t>
      </w:r>
      <w:r>
        <w:rPr>
          <w:lang w:val="en-US"/>
        </w:rPr>
        <w:fldChar w:fldCharType="end" w:fldLock="0"/>
      </w:r>
      <w:r>
        <w:rPr>
          <w:rtl w:val="0"/>
          <w:lang w:val="en-US"/>
        </w:rPr>
        <w:t xml:space="preserve"> “</w:t>
      </w:r>
      <w:r>
        <w:rPr>
          <w:rtl w:val="0"/>
          <w:lang w:val="en-US"/>
        </w:rPr>
        <w:t>A Study of Early European Inks from St. Paul in Lavanttal,</w:t>
      </w:r>
      <w:r>
        <w:rPr>
          <w:rtl w:val="0"/>
          <w:lang w:val="en-US"/>
        </w:rPr>
        <w:t xml:space="preserve">” </w:t>
      </w:r>
      <w:r>
        <w:rPr>
          <w:rtl w:val="0"/>
          <w:lang w:val="en-US"/>
        </w:rPr>
        <w:t>Gazette du livre m</w:t>
      </w:r>
      <w:r>
        <w:rPr>
          <w:rtl w:val="0"/>
          <w:lang w:val="en-US"/>
        </w:rPr>
        <w:t>é</w:t>
      </w:r>
      <w:r>
        <w:rPr>
          <w:rtl w:val="0"/>
          <w:lang w:val="en-US"/>
        </w:rPr>
        <w:t>di</w:t>
      </w:r>
      <w:r>
        <w:rPr>
          <w:rtl w:val="0"/>
          <w:lang w:val="en-US"/>
        </w:rPr>
        <w:t>é</w:t>
      </w:r>
      <w:r>
        <w:rPr>
          <w:rtl w:val="0"/>
          <w:lang w:val="en-US"/>
        </w:rPr>
        <w:t>val 65: 58</w:t>
      </w:r>
      <w:r>
        <w:rPr>
          <w:rtl w:val="0"/>
          <w:lang w:val="en-US"/>
        </w:rPr>
        <w:t>–</w:t>
      </w:r>
      <w:r>
        <w:rPr>
          <w:rtl w:val="0"/>
          <w:lang w:val="en-US"/>
        </w:rPr>
        <w:t>81.</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"https://papyri.info/biblio/48902"</w:instrText>
      </w:r>
      <w:r>
        <w:rPr>
          <w:rStyle w:val="Hyperlink.0"/>
          <w:lang w:val="de-DE"/>
        </w:rPr>
        <w:fldChar w:fldCharType="separate" w:fldLock="0"/>
      </w:r>
      <w:r>
        <w:rPr>
          <w:rStyle w:val="Hyperlink.0"/>
          <w:rtl w:val="0"/>
          <w:lang w:val="de-DE"/>
        </w:rPr>
        <w:t>Hennig, D. (1972)</w:t>
      </w:r>
      <w:r>
        <w:rPr>
          <w:lang w:val="de-DE"/>
        </w:rPr>
        <w:fldChar w:fldCharType="end" w:fldLock="0"/>
      </w:r>
      <w:r>
        <w:rPr>
          <w:rtl w:val="0"/>
          <w:lang w:val="de-DE"/>
        </w:rPr>
        <w:t xml:space="preserve"> “</w:t>
      </w:r>
      <w:r>
        <w:rPr>
          <w:rtl w:val="0"/>
          <w:lang w:val="de-DE"/>
        </w:rPr>
        <w:t>Die Arbeitsverpflichtungen der P</w:t>
      </w:r>
      <w:r>
        <w:rPr>
          <w:rtl w:val="0"/>
          <w:lang w:val="de-DE"/>
        </w:rPr>
        <w:t>ä</w:t>
      </w:r>
      <w:r>
        <w:rPr>
          <w:rtl w:val="0"/>
          <w:lang w:val="de-DE"/>
        </w:rPr>
        <w:t>chter in Landpachtvertr</w:t>
      </w:r>
      <w:r>
        <w:rPr>
          <w:rtl w:val="0"/>
          <w:lang w:val="de-DE"/>
        </w:rPr>
        <w:t>ä</w:t>
      </w:r>
      <w:r>
        <w:rPr>
          <w:rtl w:val="0"/>
          <w:lang w:val="de-DE"/>
        </w:rPr>
        <w:t>gen aus dem Faijum,</w:t>
      </w:r>
      <w:r>
        <w:rPr>
          <w:rtl w:val="0"/>
          <w:lang w:val="de-DE"/>
        </w:rPr>
        <w:t xml:space="preserve">” </w:t>
      </w:r>
      <w:r>
        <w:rPr>
          <w:rtl w:val="0"/>
          <w:lang w:val="de-DE"/>
        </w:rPr>
        <w:t>ZPE</w:t>
      </w:r>
      <w:r>
        <w:rPr>
          <w:i w:val="1"/>
          <w:iCs w:val="1"/>
          <w:rtl w:val="0"/>
          <w:lang w:val="de-DE"/>
        </w:rPr>
        <w:t xml:space="preserve"> </w:t>
      </w:r>
      <w:r>
        <w:rPr>
          <w:rtl w:val="0"/>
          <w:lang w:val="de-DE"/>
        </w:rPr>
        <w:t>9: 111</w:t>
      </w:r>
      <w:r>
        <w:rPr>
          <w:rtl w:val="0"/>
          <w:lang w:val="de-DE"/>
        </w:rPr>
        <w:t>–</w:t>
      </w:r>
      <w:r>
        <w:rPr>
          <w:rtl w:val="0"/>
          <w:lang w:val="de-DE"/>
        </w:rPr>
        <w:t>131.</w:t>
      </w:r>
    </w:p>
    <w:p>
      <w:pPr>
        <w:pStyle w:val="APF-Z Text D LZ"/>
        <w:spacing w:line="240" w:lineRule="auto"/>
      </w:pPr>
      <w:r>
        <w:rPr>
          <w:rStyle w:val="Hyperlink.0"/>
        </w:rPr>
        <w:fldChar w:fldCharType="begin" w:fldLock="0"/>
      </w:r>
      <w:r>
        <w:rPr>
          <w:rStyle w:val="Hyperlink.0"/>
        </w:rPr>
        <w:instrText xml:space="preserve"> HYPERLINK "https://papyri.info/biblio/5688"</w:instrText>
      </w:r>
      <w:r>
        <w:rPr>
          <w:rStyle w:val="Hyperlink.0"/>
        </w:rPr>
        <w:fldChar w:fldCharType="separate" w:fldLock="0"/>
      </w:r>
      <w:r>
        <w:rPr>
          <w:rStyle w:val="Hyperlink.0"/>
          <w:rtl w:val="0"/>
        </w:rPr>
        <w:t>Herrmann, J. (1958)</w:t>
      </w:r>
      <w:r>
        <w:rPr/>
        <w:fldChar w:fldCharType="end" w:fldLock="0"/>
      </w:r>
      <w:r>
        <w:rPr>
          <w:rtl w:val="0"/>
          <w:lang w:val="de-DE"/>
        </w:rPr>
        <w:t xml:space="preserve"> Studien zur Bodenpacht im Recht der graeco-aegyptischen Papyri (M</w:t>
      </w:r>
      <w:r>
        <w:rPr>
          <w:rtl w:val="0"/>
          <w:lang w:val="de-DE"/>
        </w:rPr>
        <w:t>ü</w:t>
      </w:r>
      <w:r>
        <w:rPr>
          <w:rtl w:val="0"/>
          <w:lang w:val="de-DE"/>
        </w:rPr>
        <w:t>nchener Beitr</w:t>
      </w:r>
      <w:r>
        <w:rPr>
          <w:rtl w:val="0"/>
          <w:lang w:val="de-DE"/>
        </w:rPr>
        <w:t>ä</w:t>
      </w:r>
      <w:r>
        <w:rPr>
          <w:rtl w:val="0"/>
          <w:lang w:val="de-DE"/>
        </w:rPr>
        <w:t xml:space="preserve">ge zur Papyrusforschung und antiken Rechtsgeschichte 41). </w:t>
      </w:r>
      <w:r>
        <w:rPr>
          <w:rtl w:val="0"/>
          <w:lang w:val="en-US"/>
        </w:rPr>
        <w:t>M</w:t>
      </w:r>
      <w:r>
        <w:rPr>
          <w:rtl w:val="0"/>
          <w:lang w:val="en-US"/>
        </w:rPr>
        <w:t>ü</w:t>
      </w:r>
      <w:r>
        <w:rPr>
          <w:rtl w:val="0"/>
          <w:lang w:val="en-US"/>
        </w:rPr>
        <w:t>nchen.</w:t>
      </w:r>
    </w:p>
    <w:p>
      <w:pPr>
        <w:pStyle w:val="APF-Z Text D LZ"/>
        <w:spacing w:line="240" w:lineRule="auto"/>
      </w:pPr>
      <w:r>
        <w:rPr>
          <w:rStyle w:val="Hyperlink.0"/>
        </w:rPr>
        <w:fldChar w:fldCharType="begin" w:fldLock="0"/>
      </w:r>
      <w:r>
        <w:rPr>
          <w:rStyle w:val="Hyperlink.0"/>
        </w:rPr>
        <w:instrText xml:space="preserve"> HYPERLINK "https://papyri.info/biblio/96362"</w:instrText>
      </w:r>
      <w:r>
        <w:rPr>
          <w:rStyle w:val="Hyperlink.0"/>
        </w:rPr>
        <w:fldChar w:fldCharType="separate" w:fldLock="0"/>
      </w:r>
      <w:bookmarkStart w:name="_Hlk59025526" w:id="4"/>
      <w:r>
        <w:rPr>
          <w:rStyle w:val="Hyperlink.0"/>
          <w:rtl w:val="0"/>
          <w:lang w:val="en-US"/>
        </w:rPr>
        <w:t>Karpenko, V. and Norris, J.A. (2002)</w:t>
      </w:r>
      <w:r>
        <w:rPr/>
        <w:fldChar w:fldCharType="end" w:fldLock="0"/>
      </w:r>
      <w:r>
        <w:rPr>
          <w:rtl w:val="0"/>
          <w:lang w:val="en-US"/>
        </w:rPr>
        <w:t xml:space="preserve"> “</w:t>
      </w:r>
      <w:r>
        <w:rPr>
          <w:rtl w:val="0"/>
          <w:lang w:val="en-US"/>
        </w:rPr>
        <w:t>Vitriol in the history of chemistry,</w:t>
      </w:r>
      <w:r>
        <w:rPr>
          <w:rtl w:val="0"/>
          <w:lang w:val="en-US"/>
        </w:rPr>
        <w:t xml:space="preserve">” </w:t>
      </w:r>
      <w:r>
        <w:rPr>
          <w:rtl w:val="0"/>
          <w:lang w:val="en-US"/>
        </w:rPr>
        <w:t>Chem List 96: 997</w:t>
      </w:r>
      <w:r>
        <w:rPr>
          <w:rtl w:val="0"/>
          <w:lang w:val="en-US"/>
        </w:rPr>
        <w:t>–</w:t>
      </w:r>
      <w:r>
        <w:rPr>
          <w:rtl w:val="0"/>
          <w:lang w:val="en-US"/>
        </w:rPr>
        <w:t>1005.</w:t>
      </w:r>
    </w:p>
    <w:p>
      <w:pPr>
        <w:pStyle w:val="APF-Z Text D LZ"/>
        <w:rPr>
          <w:lang w:val="de-DE"/>
        </w:rPr>
      </w:pPr>
      <w:r>
        <w:rPr>
          <w:rStyle w:val="Hyperlink.0"/>
          <w:lang w:val="de-DE"/>
        </w:rPr>
        <w:fldChar w:fldCharType="begin" w:fldLock="0"/>
      </w:r>
      <w:r>
        <w:rPr>
          <w:rStyle w:val="Hyperlink.0"/>
          <w:lang w:val="de-DE"/>
        </w:rPr>
        <w:instrText xml:space="preserve"> HYPERLINK "https://papyri.info/biblio/96349"</w:instrText>
      </w:r>
      <w:r>
        <w:rPr>
          <w:rStyle w:val="Hyperlink.0"/>
          <w:lang w:val="de-DE"/>
        </w:rPr>
        <w:fldChar w:fldCharType="separate" w:fldLock="0"/>
      </w:r>
      <w:r>
        <w:rPr>
          <w:rStyle w:val="Hyperlink.0"/>
          <w:rtl w:val="0"/>
          <w:lang w:val="de-DE"/>
        </w:rPr>
        <w:t>Kaser, M. (1957)</w:t>
      </w:r>
      <w:r>
        <w:rPr>
          <w:lang w:val="de-DE"/>
        </w:rPr>
        <w:fldChar w:fldCharType="end" w:fldLock="0"/>
      </w:r>
      <w:r>
        <w:rPr>
          <w:rtl w:val="0"/>
          <w:lang w:val="de-DE"/>
        </w:rPr>
        <w:t xml:space="preserve"> “</w:t>
      </w:r>
      <w:r>
        <w:rPr>
          <w:rtl w:val="0"/>
          <w:lang w:val="de-DE"/>
        </w:rPr>
        <w:t>Periculum locatoris,</w:t>
      </w:r>
      <w:r>
        <w:rPr>
          <w:rtl w:val="0"/>
          <w:lang w:val="de-DE"/>
        </w:rPr>
        <w:t xml:space="preserve">” </w:t>
      </w:r>
      <w:r>
        <w:rPr>
          <w:rtl w:val="0"/>
          <w:lang w:val="de-DE"/>
        </w:rPr>
        <w:t>Savigny-Zeitschrift f</w:t>
      </w:r>
      <w:r>
        <w:rPr>
          <w:rtl w:val="0"/>
          <w:lang w:val="de-DE"/>
        </w:rPr>
        <w:t>ü</w:t>
      </w:r>
      <w:r>
        <w:rPr>
          <w:rtl w:val="0"/>
          <w:lang w:val="de-DE"/>
        </w:rPr>
        <w:t>r Rechtsgeschichte, Rom. Abtg. 74: 155</w:t>
      </w:r>
      <w:r>
        <w:rPr>
          <w:rtl w:val="0"/>
          <w:lang w:val="de-DE"/>
        </w:rPr>
        <w:t>–</w:t>
      </w:r>
      <w:r>
        <w:rPr>
          <w:rtl w:val="0"/>
          <w:lang w:val="de-DE"/>
        </w:rPr>
        <w:t>200.</w:t>
      </w:r>
    </w:p>
    <w:p>
      <w:pPr>
        <w:pStyle w:val="APF-Z Text D LZ"/>
        <w:rPr>
          <w:lang w:val="de-DE"/>
        </w:rPr>
      </w:pPr>
      <w:r>
        <w:rPr>
          <w:rStyle w:val="Hyperlink.0"/>
          <w:lang w:val="de-DE"/>
        </w:rPr>
        <w:fldChar w:fldCharType="begin" w:fldLock="0"/>
      </w:r>
      <w:r>
        <w:rPr>
          <w:rStyle w:val="Hyperlink.0"/>
          <w:lang w:val="de-DE"/>
        </w:rPr>
        <w:instrText xml:space="preserve"> HYPERLINK "https://papyri.info/biblio/96378"</w:instrText>
      </w:r>
      <w:r>
        <w:rPr>
          <w:rStyle w:val="Hyperlink.0"/>
          <w:lang w:val="de-DE"/>
        </w:rPr>
        <w:fldChar w:fldCharType="separate" w:fldLock="0"/>
      </w:r>
      <w:r>
        <w:rPr>
          <w:rStyle w:val="Hyperlink.0"/>
          <w:rtl w:val="0"/>
          <w:lang w:val="de-DE"/>
        </w:rPr>
        <w:t>Kaser, M. and Kn</w:t>
      </w:r>
      <w:r>
        <w:rPr>
          <w:rStyle w:val="Hyperlink.0"/>
          <w:rtl w:val="0"/>
          <w:lang w:val="de-DE"/>
        </w:rPr>
        <w:t>ü</w:t>
      </w:r>
      <w:r>
        <w:rPr>
          <w:rStyle w:val="Hyperlink.0"/>
          <w:rtl w:val="0"/>
          <w:lang w:val="de-DE"/>
        </w:rPr>
        <w:t>tel, R. (2003)</w:t>
      </w:r>
      <w:r>
        <w:rPr>
          <w:lang w:val="de-DE"/>
        </w:rPr>
        <w:fldChar w:fldCharType="end" w:fldLock="0"/>
      </w:r>
      <w:r>
        <w:rPr>
          <w:rtl w:val="0"/>
          <w:lang w:val="de-DE"/>
        </w:rPr>
        <w:t xml:space="preserve"> R</w:t>
      </w:r>
      <w:r>
        <w:rPr>
          <w:rtl w:val="0"/>
          <w:lang w:val="de-DE"/>
        </w:rPr>
        <w:t>ö</w:t>
      </w:r>
      <w:r>
        <w:rPr>
          <w:rtl w:val="0"/>
          <w:lang w:val="de-DE"/>
        </w:rPr>
        <w:t>misches Privatrecht. M</w:t>
      </w:r>
      <w:r>
        <w:rPr>
          <w:rtl w:val="0"/>
          <w:lang w:val="de-DE"/>
        </w:rPr>
        <w:t>ü</w:t>
      </w:r>
      <w:r>
        <w:rPr>
          <w:rtl w:val="0"/>
          <w:lang w:val="de-DE"/>
        </w:rPr>
        <w:t>nchen.</w:t>
      </w:r>
    </w:p>
    <w:p>
      <w:pPr>
        <w:pStyle w:val="APF-Z Text D LZ"/>
      </w:pPr>
      <w:r>
        <w:rPr>
          <w:rStyle w:val="Hyperlink.0"/>
        </w:rPr>
        <w:fldChar w:fldCharType="begin" w:fldLock="0"/>
      </w:r>
      <w:r>
        <w:rPr>
          <w:rStyle w:val="Hyperlink.0"/>
        </w:rPr>
        <w:instrText xml:space="preserve"> HYPERLINK "https://papyri.info/biblio/75568"</w:instrText>
      </w:r>
      <w:r>
        <w:rPr>
          <w:rStyle w:val="Hyperlink.0"/>
        </w:rPr>
        <w:fldChar w:fldCharType="separate" w:fldLock="0"/>
      </w:r>
      <w:r>
        <w:rPr>
          <w:rStyle w:val="Hyperlink.0"/>
          <w:rtl w:val="0"/>
          <w:lang w:val="de-DE"/>
        </w:rPr>
        <w:t>Krutzsch, M. (2006)</w:t>
      </w:r>
      <w:r>
        <w:rPr/>
        <w:fldChar w:fldCharType="end" w:fldLock="0"/>
      </w:r>
      <w:r>
        <w:rPr>
          <w:rtl w:val="0"/>
          <w:lang w:val="de-DE"/>
        </w:rPr>
        <w:t xml:space="preserve"> “</w:t>
      </w:r>
      <w:r>
        <w:rPr>
          <w:rtl w:val="0"/>
          <w:lang w:val="de-DE"/>
        </w:rPr>
        <w:t xml:space="preserve">Falttechniken an Handschriften aus dem alten </w:t>
      </w:r>
      <w:r>
        <w:rPr>
          <w:rtl w:val="0"/>
          <w:lang w:val="de-DE"/>
        </w:rPr>
        <w:t>Ä</w:t>
      </w:r>
      <w:r>
        <w:rPr>
          <w:rtl w:val="0"/>
          <w:lang w:val="de-DE"/>
        </w:rPr>
        <w:t>gypten,</w:t>
      </w:r>
      <w:r>
        <w:rPr>
          <w:rtl w:val="0"/>
          <w:lang w:val="de-DE"/>
        </w:rPr>
        <w:t xml:space="preserve">” </w:t>
      </w:r>
      <w:r>
        <w:rPr>
          <w:rtl w:val="0"/>
          <w:lang w:val="de-DE"/>
        </w:rPr>
        <w:t>in B. Backes, I. Munro, and S. St</w:t>
      </w:r>
      <w:r>
        <w:rPr>
          <w:rtl w:val="0"/>
          <w:lang w:val="de-DE"/>
        </w:rPr>
        <w:t>ö</w:t>
      </w:r>
      <w:r>
        <w:rPr>
          <w:rtl w:val="0"/>
          <w:lang w:val="de-DE"/>
        </w:rPr>
        <w:t>hr (eds), Studien zum Alt</w:t>
      </w:r>
      <w:r>
        <w:rPr>
          <w:rtl w:val="0"/>
          <w:lang w:val="de-DE"/>
        </w:rPr>
        <w:t>ä</w:t>
      </w:r>
      <w:r>
        <w:rPr>
          <w:rtl w:val="0"/>
          <w:lang w:val="de-DE"/>
        </w:rPr>
        <w:t xml:space="preserve">gyptischen Totenbuch, Bd. 11. </w:t>
      </w:r>
      <w:r>
        <w:rPr>
          <w:rtl w:val="0"/>
          <w:lang w:val="en-US"/>
        </w:rPr>
        <w:t>Wiesbaden: 167</w:t>
      </w:r>
      <w:r>
        <w:rPr>
          <w:rtl w:val="0"/>
          <w:lang w:val="en-US"/>
        </w:rPr>
        <w:t>–</w:t>
      </w:r>
      <w:r>
        <w:rPr>
          <w:rtl w:val="0"/>
          <w:lang w:val="en-US"/>
        </w:rPr>
        <w:t>195.</w:t>
      </w:r>
    </w:p>
    <w:p>
      <w:pPr>
        <w:pStyle w:val="APF-Z Text D LZ"/>
        <w:rPr>
          <w:lang w:val="en-US"/>
        </w:rPr>
      </w:pPr>
      <w:r>
        <w:rPr>
          <w:rStyle w:val="Hyperlink.0"/>
          <w:lang w:val="en-US"/>
        </w:rPr>
        <w:fldChar w:fldCharType="begin" w:fldLock="0"/>
      </w:r>
      <w:r>
        <w:rPr>
          <w:rStyle w:val="Hyperlink.0"/>
          <w:lang w:val="en-US"/>
        </w:rPr>
        <w:instrText xml:space="preserve"> HYPERLINK "https://papyri.info/biblio/77228"</w:instrText>
      </w:r>
      <w:r>
        <w:rPr>
          <w:rStyle w:val="Hyperlink.0"/>
          <w:lang w:val="en-US"/>
        </w:rPr>
        <w:fldChar w:fldCharType="separate" w:fldLock="0"/>
      </w:r>
      <w:r>
        <w:rPr>
          <w:rStyle w:val="Hyperlink.0"/>
          <w:rtl w:val="0"/>
          <w:lang w:val="en-US"/>
        </w:rPr>
        <w:t>Krutzsch, M. (2008)</w:t>
      </w:r>
      <w:r>
        <w:rPr>
          <w:lang w:val="en-US"/>
        </w:rPr>
        <w:fldChar w:fldCharType="end" w:fldLock="0"/>
      </w:r>
      <w:r>
        <w:rPr>
          <w:rtl w:val="0"/>
          <w:lang w:val="en-US"/>
        </w:rPr>
        <w:t xml:space="preserve"> “</w:t>
      </w:r>
      <w:r>
        <w:rPr>
          <w:rtl w:val="0"/>
          <w:lang w:val="en-US"/>
        </w:rPr>
        <w:t>Falttechniken an alt</w:t>
      </w:r>
      <w:r>
        <w:rPr>
          <w:rtl w:val="0"/>
          <w:lang w:val="en-US"/>
        </w:rPr>
        <w:t>ä</w:t>
      </w:r>
      <w:r>
        <w:rPr>
          <w:rtl w:val="0"/>
          <w:lang w:val="en-US"/>
        </w:rPr>
        <w:t>gyptischen Handschriften,</w:t>
      </w:r>
      <w:r>
        <w:rPr>
          <w:rtl w:val="0"/>
          <w:lang w:val="en-US"/>
        </w:rPr>
        <w:t xml:space="preserve">” </w:t>
      </w:r>
      <w:r>
        <w:rPr>
          <w:rtl w:val="0"/>
          <w:lang w:val="en-US"/>
        </w:rPr>
        <w:t>APF 24: 71</w:t>
      </w:r>
      <w:r>
        <w:rPr>
          <w:rtl w:val="0"/>
          <w:lang w:val="en-US"/>
        </w:rPr>
        <w:t>–</w:t>
      </w:r>
      <w:r>
        <w:rPr>
          <w:rtl w:val="0"/>
          <w:lang w:val="en-US"/>
        </w:rPr>
        <w:t>83.</w:t>
      </w:r>
    </w:p>
    <w:p>
      <w:pPr>
        <w:pStyle w:val="Normal.0"/>
        <w:rPr>
          <w:lang w:val="en-US"/>
        </w:rPr>
      </w:pPr>
    </w:p>
    <w:p>
      <w:pPr>
        <w:pStyle w:val="Normal.0"/>
      </w:pPr>
      <w:r>
        <w:rPr>
          <w:rStyle w:val="Hyperlink.0"/>
        </w:rPr>
        <w:fldChar w:fldCharType="begin" w:fldLock="0"/>
      </w:r>
      <w:r>
        <w:rPr>
          <w:rStyle w:val="Hyperlink.0"/>
        </w:rPr>
        <w:instrText xml:space="preserve"> HYPERLINK "https://papyri.info/biblio/96368"</w:instrText>
      </w:r>
      <w:r>
        <w:rPr>
          <w:rStyle w:val="Hyperlink.0"/>
        </w:rPr>
        <w:fldChar w:fldCharType="separate" w:fldLock="0"/>
      </w:r>
      <w:r>
        <w:rPr>
          <w:rStyle w:val="Hyperlink.0"/>
          <w:rFonts w:cs="Arial Unicode MS" w:eastAsia="Arial Unicode MS"/>
          <w:rtl w:val="0"/>
        </w:rPr>
        <w:t>Maltomini, F., Ghigo, T., Hahn, O., and Rabin, I. (2021)</w:t>
      </w:r>
      <w:r>
        <w:rPr/>
        <w:fldChar w:fldCharType="end" w:fldLock="0"/>
      </w:r>
      <w:r>
        <w:rPr>
          <w:rFonts w:cs="Arial Unicode MS" w:eastAsia="Arial Unicode MS" w:hint="default"/>
          <w:rtl w:val="0"/>
          <w:lang w:val="en-US"/>
        </w:rPr>
        <w:t xml:space="preserve"> “</w:t>
      </w:r>
      <w:r>
        <w:rPr>
          <w:rFonts w:cs="Arial Unicode MS" w:eastAsia="Arial Unicode MS"/>
          <w:rtl w:val="0"/>
          <w:lang w:val="en-US"/>
        </w:rPr>
        <w:t>Florentine papyri under examination: the material study of the inks used at the beginning of the Common Era at the k</w:t>
      </w:r>
      <w:r>
        <w:rPr>
          <w:rFonts w:cs="Arial Unicode MS" w:eastAsia="Arial Unicode MS" w:hint="default"/>
          <w:rtl w:val="0"/>
          <w:lang w:val="en-US"/>
        </w:rPr>
        <w:t>ô</w:t>
      </w:r>
      <w:r>
        <w:rPr>
          <w:rFonts w:cs="Arial Unicode MS" w:eastAsia="Arial Unicode MS"/>
          <w:rtl w:val="0"/>
          <w:lang w:val="en-US"/>
        </w:rPr>
        <w:t>m K</w:t>
      </w:r>
      <w:r>
        <w:rPr>
          <w:rFonts w:cs="Arial Unicode MS" w:eastAsia="Arial Unicode MS" w:hint="default"/>
          <w:rtl w:val="0"/>
          <w:lang w:val="en-US"/>
        </w:rPr>
        <w:t>â</w:t>
      </w:r>
      <w:r>
        <w:rPr>
          <w:rFonts w:cs="Arial Unicode MS" w:eastAsia="Arial Unicode MS"/>
          <w:rtl w:val="0"/>
          <w:lang w:val="en-US"/>
        </w:rPr>
        <w:t>ss</w:t>
      </w:r>
      <w:r>
        <w:rPr>
          <w:rFonts w:cs="Arial Unicode MS" w:eastAsia="Arial Unicode MS" w:hint="default"/>
          <w:rtl w:val="0"/>
          <w:lang w:val="en-US"/>
        </w:rPr>
        <w:t>û</w:t>
      </w:r>
      <w:r>
        <w:rPr>
          <w:rFonts w:cs="Arial Unicode MS" w:eastAsia="Arial Unicode MS"/>
          <w:rtl w:val="0"/>
          <w:lang w:val="en-US"/>
        </w:rPr>
        <w:t>m near Hermopolis,</w:t>
      </w:r>
      <w:r>
        <w:rPr>
          <w:rFonts w:cs="Arial Unicode MS" w:eastAsia="Arial Unicode MS" w:hint="default"/>
          <w:rtl w:val="0"/>
          <w:lang w:val="en-US"/>
        </w:rPr>
        <w:t xml:space="preserve">” </w:t>
      </w:r>
      <w:r>
        <w:rPr>
          <w:rFonts w:cs="Arial Unicode MS" w:eastAsia="Arial Unicode MS"/>
          <w:rtl w:val="0"/>
          <w:lang w:val="en-US"/>
        </w:rPr>
        <w:t>APF 67: 146</w:t>
      </w:r>
      <w:r>
        <w:rPr>
          <w:rFonts w:cs="Arial Unicode MS" w:eastAsia="Arial Unicode MS" w:hint="default"/>
          <w:rtl w:val="0"/>
          <w:lang w:val="en-US"/>
        </w:rPr>
        <w:t>–</w:t>
      </w:r>
      <w:r>
        <w:rPr>
          <w:rFonts w:cs="Arial Unicode MS" w:eastAsia="Arial Unicode MS"/>
          <w:rtl w:val="0"/>
          <w:lang w:val="en-US"/>
        </w:rPr>
        <w:t>165.</w:t>
      </w:r>
    </w:p>
    <w:p>
      <w:pPr>
        <w:pStyle w:val="Normal.0"/>
      </w:pPr>
    </w:p>
    <w:p>
      <w:pPr>
        <w:pStyle w:val="Normal.0"/>
      </w:pPr>
      <w:r>
        <w:rPr>
          <w:rStyle w:val="Hyperlink.0"/>
        </w:rPr>
        <w:fldChar w:fldCharType="begin" w:fldLock="0"/>
      </w:r>
      <w:r>
        <w:rPr>
          <w:rStyle w:val="Hyperlink.0"/>
        </w:rPr>
        <w:instrText xml:space="preserve"> HYPERLINK "https://papyri.info/biblio/96369"</w:instrText>
      </w:r>
      <w:r>
        <w:rPr>
          <w:rStyle w:val="Hyperlink.0"/>
        </w:rPr>
        <w:fldChar w:fldCharType="separate" w:fldLock="0"/>
      </w:r>
      <w:r>
        <w:rPr>
          <w:rStyle w:val="Hyperlink.0"/>
          <w:rtl w:val="0"/>
          <w:lang w:val="it-IT"/>
        </w:rPr>
        <w:t>Mayer-Maly, Th. (1956)</w:t>
      </w:r>
      <w:r>
        <w:rPr/>
        <w:fldChar w:fldCharType="end" w:fldLock="0"/>
      </w:r>
      <w:r>
        <w:rPr>
          <w:rtl w:val="0"/>
          <w:lang w:val="en-US"/>
        </w:rPr>
        <w:t xml:space="preserve"> Locatio conductio. </w:t>
      </w:r>
      <w:r>
        <w:rPr>
          <w:rtl w:val="0"/>
          <w:lang w:val="de-DE"/>
        </w:rPr>
        <w:t>Eine Untersuchung zum klassischen r</w:t>
      </w:r>
      <w:r>
        <w:rPr>
          <w:rtl w:val="0"/>
          <w:lang w:val="de-DE"/>
        </w:rPr>
        <w:t>ö</w:t>
      </w:r>
      <w:r>
        <w:rPr>
          <w:rtl w:val="0"/>
          <w:lang w:val="de-DE"/>
        </w:rPr>
        <w:t xml:space="preserve">mischen Recht. Wien </w:t>
      </w:r>
      <w:r>
        <w:rPr>
          <w:rtl w:val="0"/>
          <w:lang w:val="de-DE"/>
        </w:rPr>
        <w:t xml:space="preserve">– </w:t>
      </w:r>
      <w:r>
        <w:rPr>
          <w:rtl w:val="0"/>
          <w:lang w:val="de-DE"/>
        </w:rPr>
        <w:t>M</w:t>
      </w:r>
      <w:r>
        <w:rPr>
          <w:rtl w:val="0"/>
          <w:lang w:val="de-DE"/>
        </w:rPr>
        <w:t>ü</w:t>
      </w:r>
      <w:r>
        <w:rPr>
          <w:rtl w:val="0"/>
          <w:lang w:val="de-DE"/>
        </w:rPr>
        <w:t>nchen.</w:t>
      </w:r>
    </w:p>
    <w:p>
      <w:pPr>
        <w:pStyle w:val="APF-Z Text D LZ"/>
        <w:spacing w:line="360" w:lineRule="auto"/>
        <w:rPr>
          <w:lang w:val="de-DE"/>
        </w:rPr>
      </w:pPr>
      <w:bookmarkStart w:name="_Hlk96067505" w:id="5"/>
      <w:r>
        <w:rPr>
          <w:rtl w:val="0"/>
          <w:lang w:val="de-DE"/>
        </w:rPr>
        <w:t>Michel Colour guide</w:t>
      </w:r>
      <w:bookmarkEnd w:id="5"/>
      <w:bookmarkEnd w:id="4"/>
      <w:r>
        <w:rPr>
          <w:rtl w:val="0"/>
          <w:lang w:val="de-DE"/>
        </w:rPr>
        <w:t>, 36. Edition, M</w:t>
      </w:r>
      <w:r>
        <w:rPr>
          <w:rtl w:val="0"/>
          <w:lang w:val="de-DE"/>
        </w:rPr>
        <w:t>ü</w:t>
      </w:r>
      <w:r>
        <w:rPr>
          <w:rtl w:val="0"/>
          <w:lang w:val="de-DE"/>
        </w:rPr>
        <w:t>nchen 1992.</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"https://papyri.info/biblio/96350"</w:instrText>
      </w:r>
      <w:r>
        <w:rPr>
          <w:rStyle w:val="Hyperlink.0"/>
          <w:lang w:val="de-DE"/>
        </w:rPr>
        <w:fldChar w:fldCharType="separate" w:fldLock="0"/>
      </w:r>
      <w:r>
        <w:rPr>
          <w:rStyle w:val="Hyperlink.0"/>
          <w:rtl w:val="0"/>
          <w:lang w:val="de-DE"/>
        </w:rPr>
        <w:t>Miquel, J. (1964)</w:t>
      </w:r>
      <w:r>
        <w:rPr>
          <w:lang w:val="de-DE"/>
        </w:rPr>
        <w:fldChar w:fldCharType="end" w:fldLock="0"/>
      </w:r>
      <w:r>
        <w:rPr>
          <w:rtl w:val="0"/>
          <w:lang w:val="de-DE"/>
        </w:rPr>
        <w:t xml:space="preserve"> “</w:t>
      </w:r>
      <w:r>
        <w:rPr>
          <w:rtl w:val="0"/>
          <w:lang w:val="de-DE"/>
        </w:rPr>
        <w:t>Periculum locatoris. Ricerche in tema di responsibilit</w:t>
      </w:r>
      <w:r>
        <w:rPr>
          <w:rtl w:val="0"/>
          <w:lang w:val="de-DE"/>
        </w:rPr>
        <w:t xml:space="preserve">à </w:t>
      </w:r>
      <w:r>
        <w:rPr>
          <w:rtl w:val="0"/>
          <w:lang w:val="de-DE"/>
        </w:rPr>
        <w:t>contrattuale,</w:t>
      </w:r>
      <w:r>
        <w:rPr>
          <w:rtl w:val="0"/>
          <w:lang w:val="de-DE"/>
        </w:rPr>
        <w:t xml:space="preserve">” </w:t>
      </w:r>
      <w:r>
        <w:rPr>
          <w:rtl w:val="0"/>
          <w:lang w:val="de-DE"/>
        </w:rPr>
        <w:t>Savigny-Zeitschrift f</w:t>
      </w:r>
      <w:r>
        <w:rPr>
          <w:rtl w:val="0"/>
          <w:lang w:val="de-DE"/>
        </w:rPr>
        <w:t>ü</w:t>
      </w:r>
      <w:r>
        <w:rPr>
          <w:rtl w:val="0"/>
          <w:lang w:val="de-DE"/>
        </w:rPr>
        <w:t>r Rechtsgeschichte, Rom. Abtg. 81: 134</w:t>
      </w:r>
      <w:r>
        <w:rPr>
          <w:rtl w:val="0"/>
          <w:lang w:val="de-DE"/>
        </w:rPr>
        <w:t>–</w:t>
      </w:r>
      <w:r>
        <w:rPr>
          <w:rtl w:val="0"/>
          <w:lang w:val="de-DE"/>
        </w:rPr>
        <w:t>190.</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"https://papyri.info/biblio/96374"</w:instrText>
      </w:r>
      <w:r>
        <w:rPr>
          <w:rStyle w:val="Hyperlink.0"/>
          <w:lang w:val="de-DE"/>
        </w:rPr>
        <w:fldChar w:fldCharType="separate" w:fldLock="0"/>
      </w:r>
      <w:r>
        <w:rPr>
          <w:rStyle w:val="Hyperlink.0"/>
          <w:rtl w:val="0"/>
          <w:lang w:val="de-DE"/>
        </w:rPr>
        <w:t>Moln</w:t>
      </w:r>
      <w:r>
        <w:rPr>
          <w:rStyle w:val="Hyperlink.0"/>
          <w:rtl w:val="0"/>
          <w:lang w:val="de-DE"/>
        </w:rPr>
        <w:t>á</w:t>
      </w:r>
      <w:r>
        <w:rPr>
          <w:rStyle w:val="Hyperlink.0"/>
          <w:rtl w:val="0"/>
          <w:lang w:val="de-DE"/>
        </w:rPr>
        <w:t>r, I. (1982)</w:t>
      </w:r>
      <w:r>
        <w:rPr>
          <w:lang w:val="de-DE"/>
        </w:rPr>
        <w:fldChar w:fldCharType="end" w:fldLock="0"/>
      </w:r>
      <w:r>
        <w:rPr>
          <w:rtl w:val="0"/>
          <w:lang w:val="de-DE"/>
        </w:rPr>
        <w:t xml:space="preserve"> “</w:t>
      </w:r>
      <w:r>
        <w:rPr>
          <w:rtl w:val="0"/>
          <w:lang w:val="de-DE"/>
        </w:rPr>
        <w:t>Verantwortung und Gefahrtragung bei der locatio conductio zur Zeit des Principates,</w:t>
      </w:r>
      <w:r>
        <w:rPr>
          <w:rtl w:val="0"/>
          <w:lang w:val="de-DE"/>
        </w:rPr>
        <w:t xml:space="preserve">” </w:t>
      </w:r>
      <w:r>
        <w:rPr>
          <w:rtl w:val="0"/>
          <w:lang w:val="de-DE"/>
        </w:rPr>
        <w:t>ANRW II 14: 583</w:t>
      </w:r>
      <w:r>
        <w:rPr>
          <w:rtl w:val="0"/>
          <w:lang w:val="de-DE"/>
        </w:rPr>
        <w:t>–</w:t>
      </w:r>
      <w:r>
        <w:rPr>
          <w:rtl w:val="0"/>
          <w:lang w:val="de-DE"/>
        </w:rPr>
        <w:t>680.</w:t>
      </w:r>
    </w:p>
    <w:p>
      <w:pPr>
        <w:pStyle w:val="APF-Z Text D LZ"/>
        <w:spacing w:line="240" w:lineRule="auto"/>
      </w:pPr>
      <w:r>
        <w:rPr>
          <w:rStyle w:val="Hyperlink.0"/>
        </w:rPr>
        <w:fldChar w:fldCharType="begin" w:fldLock="0"/>
      </w:r>
      <w:r>
        <w:rPr>
          <w:rStyle w:val="Hyperlink.0"/>
        </w:rPr>
        <w:instrText xml:space="preserve"> HYPERLINK "https://papyri.info/biblio/96372"</w:instrText>
      </w:r>
      <w:r>
        <w:rPr>
          <w:rStyle w:val="Hyperlink.0"/>
        </w:rPr>
        <w:fldChar w:fldCharType="separate" w:fldLock="0"/>
      </w:r>
      <w:r>
        <w:rPr>
          <w:rStyle w:val="Hyperlink.0"/>
          <w:rtl w:val="0"/>
        </w:rPr>
        <w:t>M</w:t>
      </w:r>
      <w:r>
        <w:rPr>
          <w:rStyle w:val="Hyperlink.0"/>
          <w:rtl w:val="0"/>
        </w:rPr>
        <w:t>ü</w:t>
      </w:r>
      <w:r>
        <w:rPr>
          <w:rStyle w:val="Hyperlink.0"/>
          <w:rtl w:val="0"/>
        </w:rPr>
        <w:t>ller, C.H. (2002)</w:t>
      </w:r>
      <w:r>
        <w:rPr/>
        <w:fldChar w:fldCharType="end" w:fldLock="0"/>
      </w:r>
      <w:r>
        <w:rPr>
          <w:rtl w:val="0"/>
          <w:lang w:val="de-DE"/>
        </w:rPr>
        <w:t xml:space="preserve"> Gefahrtragung bei der locatio conductio. Miete, Pacht, Dienst- und Werkvertrag im Kommentar r</w:t>
      </w:r>
      <w:r>
        <w:rPr>
          <w:rtl w:val="0"/>
          <w:lang w:val="de-DE"/>
        </w:rPr>
        <w:t>ö</w:t>
      </w:r>
      <w:r>
        <w:rPr>
          <w:rtl w:val="0"/>
          <w:lang w:val="de-DE"/>
        </w:rPr>
        <w:t>mischer Juristen</w:t>
      </w:r>
      <w:r>
        <w:rPr>
          <w:i w:val="1"/>
          <w:iCs w:val="1"/>
          <w:rtl w:val="0"/>
          <w:lang w:val="de-DE"/>
        </w:rPr>
        <w:t xml:space="preserve"> </w:t>
      </w:r>
      <w:r>
        <w:rPr>
          <w:rtl w:val="0"/>
          <w:lang w:val="de-DE"/>
        </w:rPr>
        <w:t>(Rechts- und Staatswissenschaftliche Ver</w:t>
      </w:r>
      <w:r>
        <w:rPr>
          <w:rtl w:val="0"/>
          <w:lang w:val="de-DE"/>
        </w:rPr>
        <w:t>ö</w:t>
      </w:r>
      <w:r>
        <w:rPr>
          <w:rtl w:val="0"/>
          <w:lang w:val="de-DE"/>
        </w:rPr>
        <w:t>ffentlichungen der G</w:t>
      </w:r>
      <w:r>
        <w:rPr>
          <w:rtl w:val="0"/>
          <w:lang w:val="de-DE"/>
        </w:rPr>
        <w:t>ö</w:t>
      </w:r>
      <w:r>
        <w:rPr>
          <w:rtl w:val="0"/>
          <w:lang w:val="de-DE"/>
        </w:rPr>
        <w:t xml:space="preserve">rres-Gesellschaft N.F. 99). </w:t>
      </w:r>
      <w:r>
        <w:rPr>
          <w:rtl w:val="0"/>
          <w:lang w:val="en-US"/>
        </w:rPr>
        <w:t xml:space="preserve">Paderborn </w:t>
      </w:r>
      <w:r>
        <w:rPr>
          <w:rtl w:val="0"/>
          <w:lang w:val="en-US"/>
        </w:rPr>
        <w:t xml:space="preserve">– </w:t>
      </w:r>
      <w:r>
        <w:rPr>
          <w:rtl w:val="0"/>
          <w:lang w:val="en-US"/>
        </w:rPr>
        <w:t>M</w:t>
      </w:r>
      <w:r>
        <w:rPr>
          <w:rtl w:val="0"/>
          <w:lang w:val="en-US"/>
        </w:rPr>
        <w:t>ü</w:t>
      </w:r>
      <w:r>
        <w:rPr>
          <w:rtl w:val="0"/>
          <w:lang w:val="en-US"/>
        </w:rPr>
        <w:t xml:space="preserve">nchen </w:t>
      </w:r>
      <w:r>
        <w:rPr>
          <w:rtl w:val="0"/>
          <w:lang w:val="en-US"/>
        </w:rPr>
        <w:t xml:space="preserve">– </w:t>
      </w:r>
      <w:r>
        <w:rPr>
          <w:rtl w:val="0"/>
          <w:lang w:val="en-US"/>
        </w:rPr>
        <w:t xml:space="preserve">Wien </w:t>
      </w:r>
      <w:r>
        <w:rPr>
          <w:rtl w:val="0"/>
          <w:lang w:val="en-US"/>
        </w:rPr>
        <w:t xml:space="preserve">– </w:t>
      </w:r>
      <w:r>
        <w:rPr>
          <w:rtl w:val="0"/>
          <w:lang w:val="en-US"/>
        </w:rPr>
        <w:t>Z</w:t>
      </w:r>
      <w:r>
        <w:rPr>
          <w:rtl w:val="0"/>
          <w:lang w:val="en-US"/>
        </w:rPr>
        <w:t>ü</w:t>
      </w:r>
      <w:r>
        <w:rPr>
          <w:rtl w:val="0"/>
          <w:lang w:val="en-US"/>
        </w:rPr>
        <w:t>rich.</w:t>
      </w:r>
    </w:p>
    <w:p>
      <w:pPr>
        <w:pStyle w:val="APF-Z Text D LZ"/>
        <w:spacing w:line="240" w:lineRule="auto"/>
      </w:pPr>
      <w:r>
        <w:rPr>
          <w:rStyle w:val="Hyperlink.0"/>
        </w:rPr>
        <w:fldChar w:fldCharType="begin" w:fldLock="0"/>
      </w:r>
      <w:r>
        <w:rPr>
          <w:rStyle w:val="Hyperlink.0"/>
        </w:rPr>
        <w:instrText xml:space="preserve"> HYPERLINK "https://papyri.info/biblio/96356"</w:instrText>
      </w:r>
      <w:r>
        <w:rPr>
          <w:rStyle w:val="Hyperlink.0"/>
        </w:rPr>
        <w:fldChar w:fldCharType="separate" w:fldLock="0"/>
      </w:r>
      <w:r>
        <w:rPr>
          <w:rStyle w:val="Hyperlink.0"/>
          <w:rtl w:val="0"/>
          <w:lang w:val="de-DE"/>
        </w:rPr>
        <w:t>Nehring, G., Bonnerot, O., Gerhardt, M., Krutzsch, M., and Rabin, I. (2021)</w:t>
      </w:r>
      <w:r>
        <w:rPr/>
        <w:fldChar w:fldCharType="end" w:fldLock="0"/>
      </w:r>
      <w:r>
        <w:rPr>
          <w:rtl w:val="0"/>
          <w:lang w:val="de-DE"/>
        </w:rPr>
        <w:t xml:space="preserve"> </w:t>
      </w:r>
      <w:r>
        <w:rPr>
          <w:rtl w:val="0"/>
          <w:lang w:val="en-US"/>
        </w:rPr>
        <w:t>“</w:t>
      </w:r>
      <w:r>
        <w:rPr>
          <w:rtl w:val="0"/>
          <w:lang w:val="en-US"/>
        </w:rPr>
        <w:t>Looking for the missing link in the evolution of black inks,</w:t>
      </w:r>
      <w:r>
        <w:rPr>
          <w:rtl w:val="0"/>
          <w:lang w:val="en-US"/>
        </w:rPr>
        <w:t xml:space="preserve">” </w:t>
      </w:r>
      <w:r>
        <w:rPr>
          <w:rtl w:val="0"/>
          <w:lang w:val="en-US"/>
        </w:rPr>
        <w:t xml:space="preserve">Archaeological and Anthropological Sciences </w:t>
      </w:r>
      <w:r>
        <w:rPr>
          <w:rtl w:val="0"/>
          <w:lang w:val="en-US"/>
        </w:rPr>
        <w:t>13: 71.</w:t>
      </w:r>
    </w:p>
    <w:p>
      <w:pPr>
        <w:pStyle w:val="APF-Z Text D LZ"/>
        <w:spacing w:line="240" w:lineRule="auto"/>
      </w:pPr>
      <w:r>
        <w:rPr>
          <w:rStyle w:val="Hyperlink.0"/>
        </w:rPr>
        <w:fldChar w:fldCharType="begin" w:fldLock="0"/>
      </w:r>
      <w:r>
        <w:rPr>
          <w:rStyle w:val="Hyperlink.0"/>
        </w:rPr>
        <w:instrText xml:space="preserve"> HYPERLINK "https://papyri.info/biblio/96371"</w:instrText>
      </w:r>
      <w:r>
        <w:rPr>
          <w:rStyle w:val="Hyperlink.0"/>
        </w:rPr>
        <w:fldChar w:fldCharType="separate" w:fldLock="0"/>
      </w:r>
      <w:r>
        <w:rPr>
          <w:rStyle w:val="Hyperlink.0"/>
          <w:rtl w:val="0"/>
        </w:rPr>
        <w:t>Rabin, I. (2015)</w:t>
      </w:r>
      <w:r>
        <w:rPr/>
        <w:fldChar w:fldCharType="end" w:fldLock="0"/>
      </w:r>
      <w:r>
        <w:rPr>
          <w:rtl w:val="0"/>
          <w:lang w:val="en-US"/>
        </w:rPr>
        <w:t xml:space="preserve"> “</w:t>
      </w:r>
      <w:r>
        <w:rPr>
          <w:rtl w:val="0"/>
          <w:lang w:val="en-US"/>
        </w:rPr>
        <w:t>Instrumental analysis in manuscript studies,</w:t>
      </w:r>
      <w:r>
        <w:rPr>
          <w:rtl w:val="0"/>
          <w:lang w:val="en-US"/>
        </w:rPr>
        <w:t xml:space="preserve">” </w:t>
      </w:r>
      <w:r>
        <w:rPr>
          <w:rtl w:val="0"/>
          <w:lang w:val="en-US"/>
        </w:rPr>
        <w:t xml:space="preserve">in A. Bausi et al. </w:t>
      </w:r>
      <w:r>
        <w:rPr>
          <w:rtl w:val="0"/>
          <w:lang w:val="en-US"/>
        </w:rPr>
        <w:t xml:space="preserve">(eds), </w:t>
      </w:r>
      <w:r>
        <w:rPr>
          <w:rtl w:val="0"/>
          <w:lang w:val="en-US"/>
        </w:rPr>
        <w:t>Comparative Oriental Manuscript Studies: an Introduction. Hamburg: 27</w:t>
      </w:r>
      <w:r>
        <w:rPr>
          <w:rtl w:val="0"/>
          <w:lang w:val="en-US"/>
        </w:rPr>
        <w:t>–</w:t>
      </w:r>
      <w:r>
        <w:rPr>
          <w:rtl w:val="0"/>
          <w:lang w:val="en-US"/>
        </w:rPr>
        <w:t>30.</w:t>
      </w:r>
    </w:p>
    <w:p>
      <w:pPr>
        <w:pStyle w:val="Normal.0"/>
      </w:pPr>
    </w:p>
    <w:p>
      <w:pPr>
        <w:pStyle w:val="Normal.0"/>
      </w:pPr>
      <w:r>
        <w:rPr>
          <w:rStyle w:val="Hyperlink.0"/>
        </w:rPr>
        <w:fldChar w:fldCharType="begin" w:fldLock="0"/>
      </w:r>
      <w:r>
        <w:rPr>
          <w:rStyle w:val="Hyperlink.0"/>
        </w:rPr>
        <w:instrText xml:space="preserve"> HYPERLINK "https://papyri.info/biblio/96351"</w:instrText>
      </w:r>
      <w:r>
        <w:rPr>
          <w:rStyle w:val="Hyperlink.0"/>
        </w:rPr>
        <w:fldChar w:fldCharType="separate" w:fldLock="0"/>
      </w:r>
      <w:r>
        <w:rPr>
          <w:rStyle w:val="Hyperlink.0"/>
          <w:rtl w:val="0"/>
          <w:lang w:val="en-US"/>
        </w:rPr>
        <w:t>Rabin, I., Wintermann, C., and Hahn, O. (2019)</w:t>
      </w:r>
      <w:r>
        <w:rPr/>
        <w:fldChar w:fldCharType="end" w:fldLock="0"/>
      </w:r>
      <w:r>
        <w:rPr>
          <w:rtl w:val="0"/>
          <w:lang w:val="en-US"/>
        </w:rPr>
        <w:t xml:space="preserve"> “</w:t>
      </w:r>
      <w:r>
        <w:rPr>
          <w:rtl w:val="0"/>
          <w:lang w:val="en-US"/>
        </w:rPr>
        <w:t>Ink characterization, performed in Biblioteca Medicea Laurenziana, in September 2018,</w:t>
      </w:r>
      <w:r>
        <w:rPr>
          <w:rtl w:val="0"/>
          <w:lang w:val="en-US"/>
        </w:rPr>
        <w:t xml:space="preserve">” </w:t>
      </w:r>
      <w:r>
        <w:rPr>
          <w:rtl w:val="0"/>
          <w:lang w:val="en-US"/>
        </w:rPr>
        <w:t>APapyrol</w:t>
      </w:r>
      <w:r>
        <w:rPr>
          <w:i w:val="1"/>
          <w:iCs w:val="1"/>
          <w:rtl w:val="0"/>
          <w:lang w:val="en-US"/>
        </w:rPr>
        <w:t xml:space="preserve"> </w:t>
      </w:r>
      <w:r>
        <w:rPr>
          <w:rtl w:val="0"/>
          <w:lang w:val="en-US"/>
        </w:rPr>
        <w:t>31</w:t>
      </w:r>
      <w:r>
        <w:rPr>
          <w:rtl w:val="0"/>
          <w:lang w:val="en-US"/>
        </w:rPr>
        <w:t>: 301</w:t>
      </w:r>
      <w:r>
        <w:rPr>
          <w:rtl w:val="0"/>
          <w:lang w:val="en-US"/>
        </w:rPr>
        <w:t>–</w:t>
      </w:r>
      <w:r>
        <w:rPr>
          <w:rtl w:val="0"/>
          <w:lang w:val="en-US"/>
        </w:rPr>
        <w:t>313.</w:t>
      </w:r>
    </w:p>
    <w:p>
      <w:pPr>
        <w:pStyle w:val="Normal.0"/>
        <w:rPr>
          <w:lang w:val="en-US"/>
        </w:rPr>
      </w:pPr>
    </w:p>
    <w:p>
      <w:pPr>
        <w:pStyle w:val="Normal.0"/>
      </w:pPr>
      <w:r>
        <w:rPr>
          <w:rStyle w:val="Hyperlink.0"/>
        </w:rPr>
        <w:fldChar w:fldCharType="begin" w:fldLock="0"/>
      </w:r>
      <w:r>
        <w:rPr>
          <w:rStyle w:val="Hyperlink.0"/>
        </w:rPr>
        <w:instrText xml:space="preserve"> HYPERLINK "https://papyri.info/biblio/84736"</w:instrText>
      </w:r>
      <w:r>
        <w:rPr>
          <w:rStyle w:val="Hyperlink.0"/>
        </w:rPr>
        <w:fldChar w:fldCharType="separate" w:fldLock="0"/>
      </w:r>
      <w:r>
        <w:rPr>
          <w:rStyle w:val="Hyperlink.0"/>
          <w:rtl w:val="0"/>
          <w:lang w:val="de-DE"/>
        </w:rPr>
        <w:t>Richter, T.S. (2008)2</w:t>
      </w:r>
      <w:r>
        <w:rPr/>
        <w:fldChar w:fldCharType="end" w:fldLock="0"/>
      </w:r>
      <w:r>
        <w:rPr>
          <w:rtl w:val="0"/>
          <w:lang w:val="de-DE"/>
        </w:rPr>
        <w:t xml:space="preserve"> Rechtsemantik und forensische Rhetorik: Untersuchungen zu Wortschatz, Stil und Grammatik der Sprache koptischer Rechtsurkunden (Philippika 20). </w:t>
      </w:r>
      <w:r>
        <w:rPr>
          <w:rtl w:val="0"/>
          <w:lang w:val="en-US"/>
        </w:rPr>
        <w:t>Wiesbaden.</w:t>
      </w:r>
    </w:p>
    <w:p>
      <w:pPr>
        <w:pStyle w:val="Normal.0"/>
        <w:rPr>
          <w:lang w:val="en-US"/>
        </w:rPr>
      </w:pPr>
    </w:p>
    <w:p>
      <w:pPr>
        <w:pStyle w:val="Normal.0"/>
      </w:pPr>
      <w:r>
        <w:rPr>
          <w:rStyle w:val="Hyperlink.0"/>
        </w:rPr>
        <w:fldChar w:fldCharType="begin" w:fldLock="0"/>
      </w:r>
      <w:r>
        <w:rPr>
          <w:rStyle w:val="Hyperlink.0"/>
        </w:rPr>
        <w:instrText xml:space="preserve"> HYPERLINK "https://papyri.info/biblio/96352"</w:instrText>
      </w:r>
      <w:r>
        <w:rPr>
          <w:rStyle w:val="Hyperlink.0"/>
        </w:rPr>
        <w:fldChar w:fldCharType="separate" w:fldLock="0"/>
      </w:r>
      <w:r>
        <w:rPr>
          <w:rStyle w:val="Hyperlink.0"/>
          <w:rtl w:val="0"/>
          <w:lang w:val="de-DE"/>
        </w:rPr>
        <w:t>Richter, T.S. (2009a)</w:t>
      </w:r>
      <w:r>
        <w:rPr/>
        <w:fldChar w:fldCharType="end" w:fldLock="0"/>
      </w:r>
      <w:r>
        <w:rPr>
          <w:rtl w:val="0"/>
          <w:lang w:val="en-US"/>
        </w:rPr>
        <w:t xml:space="preserve"> </w:t>
      </w:r>
      <w:r>
        <w:rPr>
          <w:rFonts w:ascii="Calibri" w:hAnsi="Calibri" w:hint="default"/>
          <w:rtl w:val="0"/>
          <w:lang w:val="en-US"/>
        </w:rPr>
        <w:t>“</w:t>
      </w:r>
      <w:r>
        <w:rPr>
          <w:rtl w:val="0"/>
          <w:lang w:val="en-US"/>
        </w:rPr>
        <w:t>The Cultivation of Monastic Estates in Late Antique and Early Islamic Egypt: Some Evidence from Coptic Land Leases and Related Documents,</w:t>
      </w:r>
      <w:r>
        <w:rPr>
          <w:rtl w:val="0"/>
          <w:lang w:val="en-US"/>
        </w:rPr>
        <w:t xml:space="preserve">” </w:t>
      </w:r>
      <w:r>
        <w:rPr>
          <w:rtl w:val="0"/>
          <w:lang w:val="en-US"/>
        </w:rPr>
        <w:t>in A. Boud</w:t>
      </w:r>
      <w:r>
        <w:rPr>
          <w:rtl w:val="0"/>
          <w:lang w:val="en-US"/>
        </w:rPr>
        <w:t>’</w:t>
      </w:r>
      <w:r>
        <w:rPr>
          <w:rtl w:val="0"/>
          <w:lang w:val="en-US"/>
        </w:rPr>
        <w:t xml:space="preserve">hors et al. (eds), Monastic Estates in Late Antique and Early Islamic Egypt: Ostraca, Papyri, and Essays in Memory of Sarah Clackson (P. Clackson) (American Studies in Papyrology 46). </w:t>
      </w:r>
      <w:r>
        <w:rPr>
          <w:rtl w:val="0"/>
          <w:lang w:val="de-DE"/>
        </w:rPr>
        <w:t>Ohio (Cincinnati): 205</w:t>
      </w:r>
      <w:r>
        <w:rPr>
          <w:rtl w:val="0"/>
          <w:lang w:val="de-DE"/>
        </w:rPr>
        <w:t>–</w:t>
      </w:r>
      <w:r>
        <w:rPr>
          <w:rtl w:val="0"/>
          <w:lang w:val="de-DE"/>
        </w:rPr>
        <w:t>215.</w:t>
      </w:r>
    </w:p>
    <w:p>
      <w:pPr>
        <w:pStyle w:val="Normal.0"/>
        <w:rPr>
          <w:lang w:val="de-DE"/>
        </w:rPr>
      </w:pPr>
    </w:p>
    <w:p>
      <w:pPr>
        <w:pStyle w:val="Normal.0"/>
        <w:rPr>
          <w:lang w:val="de-DE"/>
        </w:rPr>
      </w:pPr>
      <w:r>
        <w:rPr>
          <w:rStyle w:val="Hyperlink.0"/>
          <w:lang w:val="de-DE"/>
        </w:rPr>
        <w:fldChar w:fldCharType="begin" w:fldLock="0"/>
      </w:r>
      <w:r>
        <w:rPr>
          <w:rStyle w:val="Hyperlink.0"/>
          <w:lang w:val="de-DE"/>
        </w:rPr>
        <w:instrText xml:space="preserve"> HYPERLINK "https://papyri.info/biblio/77916"</w:instrText>
      </w:r>
      <w:r>
        <w:rPr>
          <w:rStyle w:val="Hyperlink.0"/>
          <w:lang w:val="de-DE"/>
        </w:rPr>
        <w:fldChar w:fldCharType="separate" w:fldLock="0"/>
      </w:r>
      <w:r>
        <w:rPr>
          <w:rStyle w:val="Hyperlink.0"/>
          <w:rtl w:val="0"/>
          <w:lang w:val="de-DE"/>
        </w:rPr>
        <w:t>Richter, T.S. (2009b)</w:t>
      </w:r>
      <w:r>
        <w:rPr>
          <w:lang w:val="de-DE"/>
        </w:rPr>
        <w:fldChar w:fldCharType="end" w:fldLock="0"/>
      </w:r>
      <w:r>
        <w:rPr>
          <w:rtl w:val="0"/>
          <w:lang w:val="de-DE"/>
        </w:rPr>
        <w:t xml:space="preserve"> “</w:t>
      </w:r>
      <w:r>
        <w:rPr>
          <w:rtl w:val="0"/>
          <w:lang w:val="de-DE"/>
        </w:rPr>
        <w:t>Die koptischen Paginae von P.Yale Inv. 1804. Mit einem Anhang zu den koptischen Pachturkunden,</w:t>
      </w:r>
      <w:r>
        <w:rPr>
          <w:rtl w:val="0"/>
          <w:lang w:val="de-DE"/>
        </w:rPr>
        <w:t xml:space="preserve">” </w:t>
      </w:r>
      <w:r>
        <w:rPr>
          <w:rtl w:val="0"/>
          <w:lang w:val="de-DE"/>
        </w:rPr>
        <w:t>APF 55: 426</w:t>
      </w:r>
      <w:r>
        <w:rPr>
          <w:shd w:val="clear" w:color="auto" w:fill="ffffff"/>
          <w:rtl w:val="0"/>
          <w:lang w:val="de-DE"/>
        </w:rPr>
        <w:t>–</w:t>
      </w:r>
      <w:r>
        <w:rPr>
          <w:rtl w:val="0"/>
          <w:lang w:val="de-DE"/>
        </w:rPr>
        <w:t>453.</w:t>
      </w:r>
    </w:p>
    <w:p>
      <w:pPr>
        <w:pStyle w:val="Normal.0"/>
        <w:rPr>
          <w:lang w:val="de-DE"/>
        </w:rPr>
      </w:pPr>
    </w:p>
    <w:p>
      <w:pPr>
        <w:pStyle w:val="Normal.0"/>
      </w:pPr>
      <w:r>
        <w:rPr>
          <w:rStyle w:val="Hyperlink.0"/>
        </w:rPr>
        <w:fldChar w:fldCharType="begin" w:fldLock="0"/>
      </w:r>
      <w:r>
        <w:rPr>
          <w:rStyle w:val="Hyperlink.0"/>
        </w:rPr>
        <w:instrText xml:space="preserve"> HYPERLINK "https://papyri.info/biblio/96358"</w:instrText>
      </w:r>
      <w:r>
        <w:rPr>
          <w:rStyle w:val="Hyperlink.0"/>
        </w:rPr>
        <w:fldChar w:fldCharType="separate" w:fldLock="0"/>
      </w:r>
      <w:r>
        <w:rPr>
          <w:rStyle w:val="Hyperlink.0"/>
          <w:rtl w:val="0"/>
          <w:lang w:val="de-DE"/>
        </w:rPr>
        <w:t>Richter, T.S. (2017)</w:t>
      </w:r>
      <w:r>
        <w:rPr/>
        <w:fldChar w:fldCharType="end" w:fldLock="0"/>
      </w:r>
      <w:r>
        <w:rPr>
          <w:rFonts w:ascii="Calibri" w:hAnsi="Calibri" w:hint="default"/>
          <w:rtl w:val="0"/>
          <w:lang w:val="de-DE"/>
        </w:rPr>
        <w:t xml:space="preserve"> “</w:t>
      </w:r>
      <w:r>
        <w:rPr>
          <w:rFonts w:ascii="Calibri" w:hAnsi="Calibri"/>
          <w:rtl w:val="0"/>
          <w:lang w:val="de-DE"/>
        </w:rPr>
        <w:t xml:space="preserve">The pattern </w:t>
      </w:r>
      <w:r>
        <w:rPr>
          <w:rFonts w:ascii="Calibri" w:hAnsi="Calibri" w:hint="default"/>
          <w:rtl w:val="0"/>
          <w:lang w:val="de-DE"/>
        </w:rPr>
        <w:t>“</w:t>
      </w:r>
      <w:r>
        <w:rPr>
          <w:rFonts w:ascii="IFAO-Grec Unicode" w:hAnsi="IFAO-Grec Unicode" w:hint="default"/>
          <w:rtl w:val="0"/>
          <w:lang w:val="en-US"/>
        </w:rPr>
        <w:t>ⲡⲉϥⲥⲱⲧⲙ</w:t>
      </w:r>
      <w:r>
        <w:rPr>
          <w:rFonts w:ascii="Calibri" w:hAnsi="Calibri" w:hint="default"/>
          <w:rtl w:val="0"/>
          <w:lang w:val="de-DE"/>
        </w:rPr>
        <w:t xml:space="preserve"> ‘</w:t>
      </w:r>
      <w:r>
        <w:rPr>
          <w:rFonts w:ascii="Calibri" w:hAnsi="Calibri"/>
          <w:rtl w:val="0"/>
          <w:lang w:val="de-DE"/>
        </w:rPr>
        <w:t>the one who hears</w:t>
      </w:r>
      <w:r>
        <w:rPr>
          <w:rFonts w:ascii="Calibri" w:hAnsi="Calibri" w:hint="default"/>
          <w:rtl w:val="0"/>
          <w:lang w:val="de-DE"/>
        </w:rPr>
        <w:t xml:space="preserve">’ </w:t>
      </w:r>
      <w:r>
        <w:rPr>
          <w:rFonts w:ascii="Calibri" w:hAnsi="Calibri"/>
          <w:rtl w:val="0"/>
          <w:lang w:val="de-DE"/>
        </w:rPr>
        <w:t>in Coptic documentary texts,</w:t>
      </w:r>
      <w:r>
        <w:rPr>
          <w:rFonts w:ascii="Calibri" w:hAnsi="Calibri" w:hint="default"/>
          <w:rtl w:val="0"/>
          <w:lang w:val="de-DE"/>
        </w:rPr>
        <w:t xml:space="preserve">” </w:t>
      </w:r>
      <w:r>
        <w:rPr>
          <w:rFonts w:ascii="Calibri" w:hAnsi="Calibri"/>
          <w:rtl w:val="0"/>
          <w:lang w:val="de-DE"/>
        </w:rPr>
        <w:t>in N. Bosson, A. Boud</w:t>
      </w:r>
      <w:r>
        <w:rPr>
          <w:rFonts w:ascii="Calibri" w:hAnsi="Calibri" w:hint="default"/>
          <w:rtl w:val="0"/>
          <w:lang w:val="de-DE"/>
        </w:rPr>
        <w:t>’</w:t>
      </w:r>
      <w:r>
        <w:rPr>
          <w:rFonts w:ascii="Calibri" w:hAnsi="Calibri"/>
          <w:rtl w:val="0"/>
          <w:lang w:val="de-DE"/>
        </w:rPr>
        <w:t>hors and S.H. Aufr</w:t>
      </w:r>
      <w:r>
        <w:rPr>
          <w:rFonts w:ascii="Calibri" w:hAnsi="Calibri" w:hint="default"/>
          <w:rtl w:val="0"/>
          <w:lang w:val="de-DE"/>
        </w:rPr>
        <w:t>è</w:t>
      </w:r>
      <w:r>
        <w:rPr>
          <w:rFonts w:ascii="Calibri" w:hAnsi="Calibri"/>
          <w:rtl w:val="0"/>
          <w:lang w:val="de-DE"/>
        </w:rPr>
        <w:t xml:space="preserve">re (eds), Labor omnia uincit improbus. </w:t>
      </w:r>
      <w:r>
        <w:rPr>
          <w:rFonts w:ascii="Calibri" w:hAnsi="Calibri"/>
          <w:rtl w:val="0"/>
          <w:lang w:val="it-IT"/>
        </w:rPr>
        <w:t>Miscellanea in honorem Arel Shisha-Halevy (OLA 256). Leuven: 315</w:t>
      </w:r>
      <w:r>
        <w:rPr>
          <w:rFonts w:ascii="Calibri" w:hAnsi="Calibri" w:hint="default"/>
          <w:rtl w:val="0"/>
          <w:lang w:val="it-IT"/>
        </w:rPr>
        <w:t>–</w:t>
      </w:r>
      <w:r>
        <w:rPr>
          <w:rFonts w:ascii="Calibri" w:hAnsi="Calibri"/>
          <w:rtl w:val="0"/>
          <w:lang w:val="it-IT"/>
        </w:rPr>
        <w:t>329.</w:t>
      </w:r>
    </w:p>
    <w:p>
      <w:pPr>
        <w:pStyle w:val="Normal.0"/>
        <w:rPr>
          <w:lang w:val="it-IT"/>
        </w:rPr>
      </w:pPr>
    </w:p>
    <w:p>
      <w:pPr>
        <w:pStyle w:val="Normal.0"/>
      </w:pPr>
      <w:r>
        <w:rPr>
          <w:rtl w:val="0"/>
          <w:lang w:val="it-IT"/>
        </w:rPr>
        <w:t xml:space="preserve">Sitzia, F. (1978) </w:t>
      </w:r>
      <w:r>
        <w:rPr>
          <w:rtl w:val="0"/>
          <w:lang w:val="it-IT"/>
        </w:rPr>
        <w:t>“</w:t>
      </w:r>
      <w:r>
        <w:rPr>
          <w:rtl w:val="0"/>
          <w:lang w:val="it-IT"/>
        </w:rPr>
        <w:t xml:space="preserve">Considerazioni in tema di </w:t>
      </w:r>
      <w:r>
        <w:rPr>
          <w:i w:val="1"/>
          <w:iCs w:val="1"/>
          <w:rtl w:val="0"/>
          <w:lang w:val="it-IT"/>
        </w:rPr>
        <w:t>periculum locatoris</w:t>
      </w:r>
      <w:r>
        <w:rPr>
          <w:rtl w:val="0"/>
          <w:lang w:val="it-IT"/>
        </w:rPr>
        <w:t xml:space="preserve"> e di </w:t>
      </w:r>
      <w:r>
        <w:rPr>
          <w:i w:val="1"/>
          <w:iCs w:val="1"/>
          <w:rtl w:val="0"/>
          <w:lang w:val="it-IT"/>
        </w:rPr>
        <w:t>remissio mercedis</w:t>
      </w:r>
      <w:r>
        <w:rPr>
          <w:rtl w:val="0"/>
          <w:lang w:val="it-IT"/>
        </w:rPr>
        <w:t>,</w:t>
      </w:r>
      <w:r>
        <w:rPr>
          <w:rtl w:val="0"/>
          <w:lang w:val="it-IT"/>
        </w:rPr>
        <w:t xml:space="preserve">” </w:t>
      </w:r>
      <w:r>
        <w:rPr>
          <w:rtl w:val="0"/>
          <w:lang w:val="it-IT"/>
        </w:rPr>
        <w:t>in</w:t>
      </w:r>
      <w:r>
        <w:rPr>
          <w:i w:val="1"/>
          <w:iCs w:val="1"/>
          <w:rtl w:val="0"/>
          <w:lang w:val="it-IT"/>
        </w:rPr>
        <w:t xml:space="preserve"> Studi in memoria di Giuliano D</w:t>
      </w:r>
      <w:r>
        <w:rPr>
          <w:i w:val="1"/>
          <w:iCs w:val="1"/>
          <w:rtl w:val="0"/>
          <w:lang w:val="it-IT"/>
        </w:rPr>
        <w:t>’</w:t>
      </w:r>
      <w:r>
        <w:rPr>
          <w:i w:val="1"/>
          <w:iCs w:val="1"/>
          <w:rtl w:val="0"/>
          <w:lang w:val="it-IT"/>
        </w:rPr>
        <w:t>Amelio</w:t>
      </w:r>
      <w:r>
        <w:rPr>
          <w:rtl w:val="0"/>
          <w:lang w:val="it-IT"/>
        </w:rPr>
        <w:t xml:space="preserve">. </w:t>
      </w:r>
      <w:r>
        <w:rPr>
          <w:rtl w:val="0"/>
          <w:lang w:val="en-US"/>
        </w:rPr>
        <w:t>Milano: 331</w:t>
      </w:r>
      <w:r>
        <w:rPr>
          <w:rtl w:val="0"/>
          <w:lang w:val="en-US"/>
        </w:rPr>
        <w:t>–</w:t>
      </w:r>
      <w:r>
        <w:rPr>
          <w:rtl w:val="0"/>
          <w:lang w:val="en-US"/>
        </w:rPr>
        <w:t>361.</w:t>
      </w:r>
    </w:p>
    <w:p>
      <w:pPr>
        <w:pStyle w:val="APF-Z Text D LZ"/>
        <w:spacing w:line="240" w:lineRule="auto"/>
      </w:pPr>
      <w:r>
        <w:rPr>
          <w:rStyle w:val="Hyperlink.0"/>
        </w:rPr>
        <w:fldChar w:fldCharType="begin" w:fldLock="0"/>
      </w:r>
      <w:r>
        <w:rPr>
          <w:rStyle w:val="Hyperlink.0"/>
        </w:rPr>
        <w:instrText xml:space="preserve"> HYPERLINK "https://papyri.info/biblio/96377"</w:instrText>
      </w:r>
      <w:r>
        <w:rPr>
          <w:rStyle w:val="Hyperlink.0"/>
        </w:rPr>
        <w:fldChar w:fldCharType="separate" w:fldLock="0"/>
      </w:r>
      <w:r>
        <w:rPr>
          <w:rStyle w:val="Hyperlink.0"/>
          <w:rtl w:val="0"/>
          <w:lang w:val="nl-NL"/>
        </w:rPr>
        <w:t>Steemers, T. (2006)</w:t>
      </w:r>
      <w:r>
        <w:rPr/>
        <w:fldChar w:fldCharType="end" w:fldLock="0"/>
      </w:r>
      <w:r>
        <w:rPr>
          <w:rtl w:val="0"/>
          <w:lang w:val="en-US"/>
        </w:rPr>
        <w:t xml:space="preserve"> “</w:t>
      </w:r>
      <w:r>
        <w:rPr>
          <w:rtl w:val="0"/>
          <w:lang w:val="en-US"/>
        </w:rPr>
        <w:t>Damage survey of archives containing iron-gall inks,</w:t>
      </w:r>
      <w:r>
        <w:rPr>
          <w:rtl w:val="0"/>
          <w:lang w:val="en-US"/>
        </w:rPr>
        <w:t xml:space="preserve">” </w:t>
      </w:r>
      <w:r>
        <w:rPr>
          <w:rtl w:val="0"/>
          <w:lang w:val="en-US"/>
        </w:rPr>
        <w:t xml:space="preserve">in J. Kolar and M. Strlic (eds), Iron gall inks: on manufacture, characterization, degradation and stabilisation. </w:t>
      </w:r>
      <w:r>
        <w:rPr>
          <w:rtl w:val="0"/>
          <w:lang w:val="de-DE"/>
        </w:rPr>
        <w:t>Ljubljana: 20</w:t>
      </w:r>
      <w:r>
        <w:rPr>
          <w:rtl w:val="0"/>
          <w:lang w:val="de-DE"/>
        </w:rPr>
        <w:t>–</w:t>
      </w:r>
      <w:r>
        <w:rPr>
          <w:rtl w:val="0"/>
          <w:lang w:val="de-DE"/>
        </w:rPr>
        <w:t>24.</w:t>
      </w:r>
    </w:p>
    <w:p>
      <w:pPr>
        <w:pStyle w:val="APF-Z Text D LZ"/>
        <w:spacing w:line="240" w:lineRule="auto"/>
        <w:rPr>
          <w:lang w:val="de-DE"/>
        </w:rPr>
      </w:pPr>
      <w:r>
        <w:rPr>
          <w:rStyle w:val="Hyperlink.0"/>
          <w:lang w:val="de-DE"/>
        </w:rPr>
        <w:fldChar w:fldCharType="begin" w:fldLock="0"/>
      </w:r>
      <w:r>
        <w:rPr>
          <w:rStyle w:val="Hyperlink.0"/>
          <w:lang w:val="de-DE"/>
        </w:rPr>
        <w:instrText xml:space="preserve"> HYPERLINK "https://papyri.info/biblio/41943"</w:instrText>
      </w:r>
      <w:r>
        <w:rPr>
          <w:rStyle w:val="Hyperlink.0"/>
          <w:lang w:val="de-DE"/>
        </w:rPr>
        <w:fldChar w:fldCharType="separate" w:fldLock="0"/>
      </w:r>
      <w:r>
        <w:rPr>
          <w:rStyle w:val="Hyperlink.0"/>
          <w:rtl w:val="0"/>
          <w:lang w:val="de-DE"/>
        </w:rPr>
        <w:t>Steinwenter, A. (1956)</w:t>
      </w:r>
      <w:r>
        <w:rPr>
          <w:lang w:val="de-DE"/>
        </w:rPr>
        <w:fldChar w:fldCharType="end" w:fldLock="0"/>
      </w:r>
      <w:r>
        <w:rPr>
          <w:rtl w:val="0"/>
          <w:lang w:val="de-DE"/>
        </w:rPr>
        <w:t xml:space="preserve"> “</w:t>
      </w:r>
      <w:r>
        <w:rPr>
          <w:rtl w:val="0"/>
          <w:lang w:val="de-DE"/>
        </w:rPr>
        <w:t>Vis major in griechischen und koptischen Papyri,</w:t>
      </w:r>
      <w:r>
        <w:rPr>
          <w:rtl w:val="0"/>
          <w:lang w:val="de-DE"/>
        </w:rPr>
        <w:t xml:space="preserve">” </w:t>
      </w:r>
      <w:r>
        <w:rPr>
          <w:rtl w:val="0"/>
          <w:lang w:val="de-DE"/>
        </w:rPr>
        <w:t>in I. Biez</w:t>
      </w:r>
      <w:r>
        <w:rPr>
          <w:rtl w:val="0"/>
          <w:lang w:val="de-DE"/>
        </w:rPr>
        <w:t>̀</w:t>
      </w:r>
      <w:r>
        <w:rPr>
          <w:rtl w:val="0"/>
          <w:lang w:val="de-DE"/>
        </w:rPr>
        <w:t>u</w:t>
      </w:r>
      <w:r>
        <w:rPr>
          <w:rtl w:val="0"/>
          <w:lang w:val="de-DE"/>
        </w:rPr>
        <w:t>ń</w:t>
      </w:r>
      <w:r>
        <w:rPr>
          <w:rtl w:val="0"/>
          <w:lang w:val="de-DE"/>
        </w:rPr>
        <w:t xml:space="preserve">ska-Malowist (ed), Symbolae Raphaeli Taubenschlag dedicatae (Eos 48/1) Warschau </w:t>
      </w:r>
      <w:r>
        <w:rPr>
          <w:rtl w:val="0"/>
          <w:lang w:val="de-DE"/>
        </w:rPr>
        <w:t xml:space="preserve">– </w:t>
      </w:r>
      <w:r>
        <w:rPr>
          <w:rtl w:val="0"/>
          <w:lang w:val="de-DE"/>
        </w:rPr>
        <w:t>Breslau: 261</w:t>
      </w:r>
      <w:r>
        <w:rPr>
          <w:rtl w:val="0"/>
          <w:lang w:val="de-DE"/>
        </w:rPr>
        <w:t>–</w:t>
      </w:r>
      <w:r>
        <w:rPr>
          <w:rtl w:val="0"/>
          <w:lang w:val="de-DE"/>
        </w:rPr>
        <w:t>271.</w:t>
      </w:r>
    </w:p>
    <w:p>
      <w:pPr>
        <w:pStyle w:val="APF-Z Text D LZ"/>
        <w:spacing w:line="360" w:lineRule="auto"/>
      </w:pPr>
      <w:r>
        <w:rPr>
          <w:rStyle w:val="Hyperlink.0"/>
          <w:lang w:val="de-DE"/>
        </w:rPr>
        <w:fldChar w:fldCharType="begin" w:fldLock="0"/>
      </w:r>
      <w:r>
        <w:rPr>
          <w:rStyle w:val="Hyperlink.0"/>
          <w:lang w:val="de-DE"/>
        </w:rPr>
        <w:instrText xml:space="preserve"> HYPERLINK "https://papyri.info/biblio/45772"</w:instrText>
      </w:r>
      <w:r>
        <w:rPr>
          <w:rStyle w:val="Hyperlink.0"/>
          <w:lang w:val="de-DE"/>
        </w:rPr>
        <w:fldChar w:fldCharType="separate" w:fldLock="0"/>
      </w:r>
      <w:r>
        <w:rPr>
          <w:rStyle w:val="Hyperlink.0"/>
          <w:rtl w:val="0"/>
          <w:lang w:val="de-DE"/>
        </w:rPr>
        <w:t>Vandoni, M. (1965)</w:t>
      </w:r>
      <w:r>
        <w:rPr>
          <w:lang w:val="de-DE"/>
        </w:rPr>
        <w:fldChar w:fldCharType="end" w:fldLock="0"/>
      </w:r>
      <w:r>
        <w:rPr>
          <w:rtl w:val="0"/>
          <w:lang w:val="de-DE"/>
        </w:rPr>
        <w:t xml:space="preserve"> “</w:t>
      </w:r>
      <w:r>
        <w:rPr>
          <w:rtl w:val="0"/>
          <w:lang w:val="de-DE"/>
        </w:rPr>
        <w:t>Beitr</w:t>
      </w:r>
      <w:r>
        <w:rPr>
          <w:rtl w:val="0"/>
          <w:lang w:val="de-DE"/>
        </w:rPr>
        <w:t>ä</w:t>
      </w:r>
      <w:r>
        <w:rPr>
          <w:rtl w:val="0"/>
          <w:lang w:val="de-DE"/>
        </w:rPr>
        <w:t>ge zum Pachtrecht,</w:t>
      </w:r>
      <w:r>
        <w:rPr>
          <w:rtl w:val="0"/>
          <w:lang w:val="de-DE"/>
        </w:rPr>
        <w:t>”</w:t>
      </w:r>
      <w:r>
        <w:rPr>
          <w:i w:val="1"/>
          <w:iCs w:val="1"/>
          <w:rtl w:val="0"/>
          <w:lang w:val="de-DE"/>
        </w:rPr>
        <w:t xml:space="preserve"> </w:t>
      </w:r>
      <w:r>
        <w:rPr>
          <w:rtl w:val="0"/>
          <w:lang w:val="de-DE"/>
        </w:rPr>
        <w:t>JJP 15: 145</w:t>
      </w:r>
      <w:r>
        <w:rPr>
          <w:rtl w:val="0"/>
          <w:lang w:val="de-DE"/>
        </w:rPr>
        <w:t>–</w:t>
      </w:r>
      <w:r>
        <w:rPr>
          <w:rtl w:val="0"/>
          <w:lang w:val="de-DE"/>
        </w:rPr>
        <w:t>150.</w:t>
      </w:r>
    </w:p>
    <w:sectPr>
      <w:headerReference w:type="default" r:id="rId13"/>
      <w:headerReference w:type="first" r:id="rId14"/>
      <w:footerReference w:type="default" r:id="rId15"/>
      <w:footerReference w:type="first" r:id="rId16"/>
      <w:pgSz w:w="8800" w:h="13020" w:orient="portrait"/>
      <w:pgMar w:top="1191" w:right="1191" w:bottom="1474" w:left="1021" w:header="567" w:footer="0"/>
      <w:pgNumType w:start="1"/>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IFAO-Grec Unicode">
    <w:charset w:val="00"/>
    <w:family w:val="roman"/>
    <w:pitch w:val="default"/>
  </w:font>
  <w:font w:name="Antinoou">
    <w:charset w:val="00"/>
    <w:family w:val="roman"/>
    <w:pitch w:val="default"/>
  </w:font>
  <w:font w:name="Helvetica">
    <w:charset w:val="00"/>
    <w:family w:val="roman"/>
    <w:pitch w:val="default"/>
  </w:font>
  <w:font w:name="Segoe UI Historic">
    <w:charset w:val="00"/>
    <w:family w:val="roman"/>
    <w:pitch w:val="default"/>
  </w:font>
  <w:font w:name="MS Gothic">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footnote text"/>
      </w:pPr>
      <w:r>
        <w:rPr>
          <w:vertAlign w:val="superscript"/>
          <w:lang w:val="en-US"/>
        </w:rPr>
        <w:footnoteRef/>
      </w:r>
      <w:r>
        <w:rPr>
          <w:rtl w:val="0"/>
          <w:lang w:val="en-US"/>
        </w:rPr>
        <w:t xml:space="preserve"> Similar sheet shapes, in both portrait and landscape format, can be found among demotic letters. For details, see Depauw 2006, 71</w:t>
      </w:r>
      <w:r>
        <w:rPr>
          <w:rtl w:val="0"/>
          <w:lang w:val="en-US"/>
        </w:rPr>
        <w:t>–</w:t>
      </w:r>
      <w:r>
        <w:rPr>
          <w:rtl w:val="0"/>
          <w:lang w:val="en-US"/>
        </w:rPr>
        <w:t>77.</w:t>
      </w:r>
    </w:p>
  </w:footnote>
  <w:footnote w:id="2">
    <w:p>
      <w:pPr>
        <w:pStyle w:val="footnote text"/>
      </w:pPr>
      <w:r>
        <w:rPr>
          <w:vertAlign w:val="superscript"/>
        </w:rPr>
        <w:footnoteRef/>
      </w:r>
      <w:r>
        <w:rPr>
          <w:rtl w:val="0"/>
          <w:lang w:val="en-US"/>
        </w:rPr>
        <w:t xml:space="preserve"> Krutzsch 2006, 167</w:t>
      </w:r>
      <w:r>
        <w:rPr>
          <w:rtl w:val="0"/>
          <w:lang w:val="en-US"/>
        </w:rPr>
        <w:t>–</w:t>
      </w:r>
      <w:r>
        <w:rPr>
          <w:rtl w:val="0"/>
          <w:lang w:val="en-US"/>
        </w:rPr>
        <w:t>195.</w:t>
      </w:r>
    </w:p>
  </w:footnote>
  <w:footnote w:id="3">
    <w:p>
      <w:pPr>
        <w:pStyle w:val="footnote text"/>
      </w:pPr>
      <w:r>
        <w:rPr>
          <w:vertAlign w:val="superscript"/>
        </w:rPr>
        <w:footnoteRef/>
      </w:r>
      <w:r>
        <w:rPr>
          <w:rFonts w:cs="Arial Unicode MS" w:eastAsia="Arial Unicode MS"/>
          <w:rtl w:val="0"/>
          <w:lang w:val="en-US"/>
        </w:rPr>
        <w:t xml:space="preserve"> Rod folding results from the folding in one direction only, Krutzsch 2008, 76.</w:t>
      </w:r>
    </w:p>
  </w:footnote>
  <w:footnote w:id="4">
    <w:p>
      <w:pPr>
        <w:pStyle w:val="Normal.0"/>
        <w:ind w:firstLine="227"/>
        <w:jc w:val="both"/>
      </w:pPr>
      <w:r>
        <w:rPr>
          <w:vertAlign w:val="superscript"/>
        </w:rPr>
        <w:footnoteRef/>
      </w:r>
      <w:r>
        <w:rPr>
          <w:sz w:val="18"/>
          <w:szCs w:val="18"/>
          <w:rtl w:val="0"/>
          <w:lang w:val="en-US"/>
        </w:rPr>
        <w:t xml:space="preserve"> Especially the fact that we only find a few raised letters to indicate them, as was usual in the 7th</w:t>
      </w:r>
      <w:r>
        <w:rPr>
          <w:sz w:val="18"/>
          <w:szCs w:val="18"/>
          <w:rtl w:val="0"/>
          <w:lang w:val="en-US"/>
        </w:rPr>
        <w:t>–</w:t>
      </w:r>
      <w:r>
        <w:rPr>
          <w:sz w:val="18"/>
          <w:szCs w:val="18"/>
          <w:rtl w:val="0"/>
          <w:lang w:val="en-US"/>
        </w:rPr>
        <w:t xml:space="preserve">8th century. </w:t>
      </w:r>
      <w:r>
        <w:rPr>
          <w:rFonts w:ascii="IFAO-Grec Unicode" w:hAnsi="IFAO-Grec Unicode" w:hint="default"/>
          <w:sz w:val="18"/>
          <w:szCs w:val="18"/>
          <w:rtl w:val="0"/>
          <w:lang w:val="en-US"/>
        </w:rPr>
        <w:t>Ἑρ</w:t>
      </w:r>
      <w:r>
        <w:rPr>
          <w:rFonts w:ascii="IFAO-Grec Unicode" w:hAnsi="IFAO-Grec Unicode"/>
          <w:sz w:val="18"/>
          <w:szCs w:val="18"/>
          <w:rtl w:val="0"/>
          <w:lang w:val="en-US"/>
        </w:rPr>
        <w:t>(</w:t>
      </w:r>
      <w:r>
        <w:rPr>
          <w:rFonts w:ascii="IFAO-Grec Unicode" w:hAnsi="IFAO-Grec Unicode" w:hint="default"/>
          <w:sz w:val="18"/>
          <w:szCs w:val="18"/>
          <w:rtl w:val="0"/>
          <w:lang w:val="en-US"/>
        </w:rPr>
        <w:t>μοῦ</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π</w:t>
      </w:r>
      <w:r>
        <w:rPr>
          <w:rFonts w:ascii="IFAO-Grec Unicode" w:hAnsi="IFAO-Grec Unicode"/>
          <w:sz w:val="18"/>
          <w:szCs w:val="18"/>
          <w:rtl w:val="0"/>
          <w:lang w:val="en-US"/>
        </w:rPr>
        <w:t>(</w:t>
      </w:r>
      <w:r>
        <w:rPr>
          <w:rFonts w:ascii="IFAO-Grec Unicode" w:hAnsi="IFAO-Grec Unicode" w:hint="default"/>
          <w:sz w:val="18"/>
          <w:szCs w:val="18"/>
          <w:rtl w:val="0"/>
          <w:lang w:val="en-US"/>
        </w:rPr>
        <w:t>όλεως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ερ</w:t>
      </w:r>
      <w:r>
        <w:rPr>
          <w:rFonts w:ascii="IFAO-Grec Unicode" w:hAnsi="IFAO-Grec Unicode" w:hint="default"/>
          <w:sz w:val="18"/>
          <w:szCs w:val="18"/>
          <w:vertAlign w:val="superscript"/>
          <w:rtl w:val="0"/>
          <w:lang w:val="en-US"/>
        </w:rPr>
        <w:t>π</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11 and</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ἰνδικ</w:t>
      </w:r>
      <w:r>
        <w:rPr>
          <w:rFonts w:ascii="IFAO-Grec Unicode" w:hAnsi="IFAO-Grec Unicode"/>
          <w:sz w:val="18"/>
          <w:szCs w:val="18"/>
          <w:rtl w:val="0"/>
          <w:lang w:val="en-US"/>
        </w:rPr>
        <w:t>(</w:t>
      </w:r>
      <w:r>
        <w:rPr>
          <w:rFonts w:ascii="IFAO-Grec Unicode" w:hAnsi="IFAO-Grec Unicode" w:hint="default"/>
          <w:sz w:val="18"/>
          <w:szCs w:val="18"/>
          <w:rtl w:val="0"/>
          <w:lang w:val="en-US"/>
        </w:rPr>
        <w:t>τίων</w:t>
      </w:r>
      <w:r>
        <w:rPr>
          <w:rFonts w:ascii="IFAO-Grec Unicode" w:hAnsi="IFAO-Grec Unicode"/>
          <w:sz w:val="18"/>
          <w:szCs w:val="18"/>
          <w:rtl w:val="0"/>
          <w:lang w:val="en-US"/>
        </w:rPr>
        <w:t>)</w:t>
      </w:r>
      <w:r>
        <w:rPr>
          <w:rFonts w:ascii="IFAO-Grec Unicode" w:hAnsi="IFAO-Grec Unicode" w:hint="default"/>
          <w:sz w:val="18"/>
          <w:szCs w:val="18"/>
          <w:rtl w:val="0"/>
          <w:lang w:val="en-US"/>
        </w:rPr>
        <w:t>ο</w:t>
      </w:r>
      <w:r>
        <w:rPr>
          <w:rFonts w:ascii="IFAO-Grec Unicode" w:hAnsi="IFAO-Grec Unicode"/>
          <w:sz w:val="18"/>
          <w:szCs w:val="18"/>
          <w:rtl w:val="0"/>
          <w:lang w:val="en-US"/>
        </w:rPr>
        <w:t>(</w:t>
      </w:r>
      <w:r>
        <w:rPr>
          <w:rFonts w:ascii="IFAO-Grec Unicode" w:hAnsi="IFAO-Grec Unicode" w:hint="default"/>
          <w:sz w:val="18"/>
          <w:szCs w:val="18"/>
          <w:rtl w:val="0"/>
          <w:lang w:val="en-US"/>
        </w:rPr>
        <w:t>ς</w:t>
      </w:r>
      <w:r>
        <w:rPr>
          <w:rFonts w:ascii="IFAO-Grec Unicode" w:hAnsi="IFAO-Grec Unicode"/>
          <w:sz w:val="18"/>
          <w:szCs w:val="18"/>
          <w:rtl w:val="0"/>
          <w:lang w:val="en-US"/>
        </w:rPr>
        <w:t xml:space="preserve">), </w:t>
      </w:r>
      <w:r>
        <w:rPr>
          <w:rFonts w:ascii="IFAO-Grec Unicode" w:hAnsi="IFAO-Grec Unicode" w:hint="default"/>
          <w:sz w:val="18"/>
          <w:szCs w:val="18"/>
          <w:rtl w:val="0"/>
          <w:lang w:val="en-US"/>
        </w:rPr>
        <w:t>ι</w:t>
      </w:r>
      <w:r>
        <w:rPr>
          <w:rFonts w:ascii="IFAO-Grec Unicode" w:hAnsi="IFAO-Grec Unicode" w:hint="default"/>
          <w:sz w:val="18"/>
          <w:szCs w:val="18"/>
          <w:rtl w:val="0"/>
          <w:lang w:val="en-US"/>
        </w:rPr>
        <w:t>̈</w:t>
      </w:r>
      <w:r>
        <w:rPr>
          <w:rFonts w:ascii="IFAO-Grec Unicode" w:hAnsi="IFAO-Grec Unicode" w:hint="default"/>
          <w:sz w:val="18"/>
          <w:szCs w:val="18"/>
          <w:rtl w:val="0"/>
          <w:lang w:val="en-US"/>
        </w:rPr>
        <w:t>νδικ</w:t>
      </w:r>
      <w:r>
        <w:rPr>
          <w:rFonts w:ascii="IFAO-Grec Unicode" w:hAnsi="IFAO-Grec Unicode" w:hint="default"/>
          <w:sz w:val="18"/>
          <w:szCs w:val="18"/>
          <w:vertAlign w:val="superscript"/>
          <w:rtl w:val="0"/>
          <w:lang w:val="en-US"/>
        </w:rPr>
        <w:t>ο̣</w:t>
      </w:r>
      <w:r>
        <w:rPr>
          <w:rFonts w:ascii="IFAO-Grec Unicode" w:hAnsi="IFAO-Grec Unicode"/>
          <w:sz w:val="18"/>
          <w:szCs w:val="18"/>
          <w:rtl w:val="0"/>
          <w:lang w:val="en-US"/>
        </w:rPr>
        <w:t xml:space="preserve"> </w:t>
      </w:r>
      <w:r>
        <w:rPr>
          <w:sz w:val="18"/>
          <w:szCs w:val="18"/>
          <w:rtl w:val="0"/>
          <w:lang w:val="en-US"/>
        </w:rPr>
        <w:t>pap</w:t>
      </w:r>
      <w:r>
        <w:rPr>
          <w:sz w:val="18"/>
          <w:szCs w:val="18"/>
          <w:rtl w:val="0"/>
          <w:lang w:val="en-US"/>
        </w:rPr>
        <w:t>., in l. 12 are abbreviated with raised letters, but these were common abbreviations already in the 6</w:t>
      </w:r>
      <w:r>
        <w:rPr>
          <w:sz w:val="18"/>
          <w:szCs w:val="18"/>
          <w:vertAlign w:val="superscript"/>
          <w:rtl w:val="0"/>
          <w:lang w:val="en-US"/>
        </w:rPr>
        <w:t>th</w:t>
      </w:r>
      <w:r>
        <w:rPr>
          <w:sz w:val="18"/>
          <w:szCs w:val="18"/>
          <w:rtl w:val="0"/>
          <w:lang w:val="en-US"/>
        </w:rPr>
        <w:t xml:space="preserve"> century.</w:t>
      </w:r>
      <w:r>
        <w:rPr>
          <w:rFonts w:ascii="IFAO-Grec Unicode" w:hAnsi="IFAO-Grec Unicode"/>
          <w:sz w:val="18"/>
          <w:szCs w:val="18"/>
          <w:rtl w:val="0"/>
          <w:lang w:val="en-US"/>
        </w:rPr>
        <w:t xml:space="preserve"> </w:t>
      </w:r>
    </w:p>
  </w:footnote>
  <w:footnote w:id="5">
    <w:p>
      <w:pPr>
        <w:pStyle w:val="footnote text"/>
      </w:pPr>
      <w:r>
        <w:rPr>
          <w:vertAlign w:val="superscript"/>
        </w:rPr>
        <w:footnoteRef/>
      </w:r>
      <w:r>
        <w:rPr>
          <w:rtl w:val="0"/>
          <w:lang w:val="de-DE"/>
        </w:rPr>
        <w:t xml:space="preserve"> </w:t>
      </w:r>
      <w:r>
        <w:rPr>
          <w:rtl w:val="0"/>
          <w:lang w:val="en-US"/>
        </w:rPr>
        <w:t>See Fournet 2020, 76</w:t>
      </w:r>
      <w:r>
        <w:rPr>
          <w:rtl w:val="0"/>
          <w:lang w:val="en-US"/>
        </w:rPr>
        <w:t>–</w:t>
      </w:r>
      <w:r>
        <w:rPr>
          <w:rtl w:val="0"/>
          <w:lang w:val="en-US"/>
        </w:rPr>
        <w:t>111.</w:t>
      </w:r>
    </w:p>
  </w:footnote>
  <w:footnote w:id="6">
    <w:p>
      <w:pPr>
        <w:pStyle w:val="footnote text"/>
      </w:pPr>
      <w:r>
        <w:rPr>
          <w:outline w:val="0"/>
          <w:color w:val="000000"/>
          <w:u w:color="000000"/>
          <w:vertAlign w:val="superscript"/>
          <w:lang w:val="de-DE"/>
          <w14:textFill>
            <w14:solidFill>
              <w14:srgbClr w14:val="000000"/>
            </w14:solidFill>
          </w14:textFill>
        </w:rPr>
        <w:footnoteRef/>
      </w:r>
      <w:r>
        <w:rPr>
          <w:outline w:val="0"/>
          <w:color w:val="000000"/>
          <w:u w:color="000000"/>
          <w:rtl w:val="0"/>
          <w:lang w:val="de-DE"/>
          <w14:textFill>
            <w14:solidFill>
              <w14:srgbClr w14:val="000000"/>
            </w14:solidFill>
          </w14:textFill>
        </w:rPr>
        <w:t xml:space="preserve"> </w:t>
      </w:r>
      <w:r>
        <w:rPr>
          <w:rtl w:val="0"/>
          <w:lang w:val="de-DE"/>
        </w:rPr>
        <w:t>Backhaus 2004; Ernst 2004; Kaser 1957; Kaser/Kn</w:t>
      </w:r>
      <w:r>
        <w:rPr>
          <w:rtl w:val="0"/>
          <w:lang w:val="de-DE"/>
        </w:rPr>
        <w:t>ü</w:t>
      </w:r>
      <w:r>
        <w:rPr>
          <w:rtl w:val="0"/>
          <w:lang w:val="de-DE"/>
        </w:rPr>
        <w:t xml:space="preserve">tel 2003, 276 </w:t>
      </w:r>
      <w:r>
        <w:rPr>
          <w:rtl w:val="0"/>
          <w:lang w:val="de-DE"/>
        </w:rPr>
        <w:t xml:space="preserve">§ </w:t>
      </w:r>
      <w:r>
        <w:rPr>
          <w:rtl w:val="0"/>
          <w:lang w:val="de-DE"/>
        </w:rPr>
        <w:t>42,9f.; Miquel 1964; Moln</w:t>
      </w:r>
      <w:r>
        <w:rPr>
          <w:rtl w:val="0"/>
          <w:lang w:val="de-DE"/>
        </w:rPr>
        <w:t>á</w:t>
      </w:r>
      <w:r>
        <w:rPr>
          <w:rtl w:val="0"/>
          <w:lang w:val="de-DE"/>
        </w:rPr>
        <w:t>r 1982; M</w:t>
      </w:r>
      <w:r>
        <w:rPr>
          <w:rtl w:val="0"/>
          <w:lang w:val="de-DE"/>
        </w:rPr>
        <w:t>ü</w:t>
      </w:r>
      <w:r>
        <w:rPr>
          <w:rtl w:val="0"/>
          <w:lang w:val="de-DE"/>
        </w:rPr>
        <w:t>ller 2002; Sitzia 1978.</w:t>
      </w:r>
    </w:p>
  </w:footnote>
  <w:footnote w:id="7">
    <w:p>
      <w:pPr>
        <w:pStyle w:val="footnote text"/>
      </w:pPr>
      <w:r>
        <w:rPr>
          <w:outline w:val="0"/>
          <w:color w:val="000000"/>
          <w:u w:color="000000"/>
          <w:vertAlign w:val="superscript"/>
          <w:lang w:val="de-DE"/>
          <w14:textFill>
            <w14:solidFill>
              <w14:srgbClr w14:val="000000"/>
            </w14:solidFill>
          </w14:textFill>
        </w:rPr>
        <w:footnoteRef/>
      </w:r>
      <w:r>
        <w:rPr>
          <w:rtl w:val="0"/>
          <w:lang w:val="en-US"/>
        </w:rPr>
        <w:t xml:space="preserve"> </w:t>
      </w:r>
      <w:r>
        <w:rPr>
          <w:rtl w:val="0"/>
          <w:lang w:val="en-US"/>
        </w:rPr>
        <w:t>De Neeve 1983; Frier 1989/90; Mayer-Maly 1956, 140</w:t>
      </w:r>
      <w:r>
        <w:rPr>
          <w:rtl w:val="0"/>
          <w:lang w:val="en-US"/>
        </w:rPr>
        <w:t>–</w:t>
      </w:r>
      <w:r>
        <w:rPr>
          <w:rtl w:val="0"/>
          <w:lang w:val="en-US"/>
        </w:rPr>
        <w:t>147.</w:t>
      </w:r>
    </w:p>
  </w:footnote>
  <w:footnote w:id="8">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rtl w:val="0"/>
          <w:lang w:val="en-US"/>
        </w:rPr>
        <w:t>See Steinwenter 1956, 267</w:t>
      </w:r>
      <w:r>
        <w:rPr>
          <w:rtl w:val="0"/>
          <w:lang w:val="en-US"/>
        </w:rPr>
        <w:t>–</w:t>
      </w:r>
      <w:r>
        <w:rPr>
          <w:rtl w:val="0"/>
          <w:lang w:val="en-US"/>
        </w:rPr>
        <w:t xml:space="preserve">271 and the list of Greek lease documents with </w:t>
      </w:r>
      <w:r>
        <w:rPr>
          <w:rFonts w:ascii="IFAO-Grec Unicode" w:hAnsi="IFAO-Grec Unicode"/>
          <w:rtl w:val="0"/>
          <w:lang w:val="en-US"/>
        </w:rPr>
        <w:t>abrochos</w:t>
      </w:r>
      <w:r>
        <w:rPr>
          <w:rFonts w:ascii="IFAO-Grec Unicode" w:hAnsi="IFAO-Grec Unicode"/>
          <w:rtl w:val="0"/>
          <w:lang w:val="en-US"/>
        </w:rPr>
        <w:t xml:space="preserve"> </w:t>
      </w:r>
      <w:r>
        <w:rPr>
          <w:rtl w:val="0"/>
          <w:lang w:val="en-US"/>
        </w:rPr>
        <w:t xml:space="preserve">clauses in Hennig 1972, 118 n. 29 (earliest examples from the later 3rd century). In the majority of examples the reduction of rent applied in cases of insufficient flood (e.g. BGU 6 1270.20: </w:t>
      </w:r>
      <w:r>
        <w:rPr>
          <w:rFonts w:ascii="IFAO-Grec Unicode" w:hAnsi="IFAO-Grec Unicode" w:hint="default"/>
          <w:rtl w:val="0"/>
          <w:lang w:val="en-US"/>
        </w:rPr>
        <w:t>τῆς δὲ γενομένης γῆς ἀ̣β̣</w:t>
      </w:r>
      <w:r>
        <w:rPr>
          <w:rFonts w:ascii="IFAO-Grec Unicode" w:hAnsi="IFAO-Grec Unicode"/>
          <w:rtl w:val="0"/>
          <w:lang w:val="en-US"/>
        </w:rPr>
        <w:t>[</w:t>
      </w:r>
      <w:r>
        <w:rPr>
          <w:rFonts w:ascii="IFAO-Grec Unicode" w:hAnsi="IFAO-Grec Unicode" w:hint="default"/>
          <w:rtl w:val="0"/>
          <w:lang w:val="en-US"/>
        </w:rPr>
        <w:t>ρό</w:t>
      </w:r>
      <w:r>
        <w:rPr>
          <w:rFonts w:ascii="IFAO-Grec Unicode" w:hAnsi="IFAO-Grec Unicode"/>
          <w:rtl w:val="0"/>
          <w:lang w:val="en-US"/>
        </w:rPr>
        <w:t>]</w:t>
      </w:r>
      <w:r>
        <w:rPr>
          <w:rFonts w:ascii="IFAO-Grec Unicode" w:hAnsi="IFAO-Grec Unicode" w:hint="default"/>
          <w:rtl w:val="0"/>
          <w:lang w:val="en-US"/>
        </w:rPr>
        <w:t>χου</w:t>
      </w:r>
      <w:r>
        <w:rPr>
          <w:rtl w:val="0"/>
          <w:lang w:val="en-US"/>
        </w:rPr>
        <w:t xml:space="preserve"> and similar in P.Frankf. 1,13ff. </w:t>
      </w:r>
      <w:r>
        <w:rPr>
          <w:i w:val="1"/>
          <w:iCs w:val="1"/>
          <w:rtl w:val="0"/>
          <w:lang w:val="en-US"/>
        </w:rPr>
        <w:t>et passim</w:t>
      </w:r>
      <w:r>
        <w:rPr>
          <w:rtl w:val="0"/>
          <w:lang w:val="en-US"/>
        </w:rPr>
        <w:t>); in other cases, also accidents such as soil carried away by the flood (</w:t>
      </w:r>
      <w:r>
        <w:rPr>
          <w:rFonts w:ascii="IFAO-Grec Unicode" w:hAnsi="IFAO-Grec Unicode" w:hint="default"/>
          <w:rtl w:val="0"/>
          <w:lang w:val="de-DE"/>
        </w:rPr>
        <w:t>ποταμοφόρητος</w:t>
      </w:r>
      <w:r>
        <w:rPr>
          <w:rtl w:val="0"/>
          <w:lang w:val="en-US"/>
        </w:rPr>
        <w:t>)</w:t>
      </w:r>
      <w:r>
        <w:rPr>
          <w:b w:val="1"/>
          <w:bCs w:val="1"/>
          <w:rtl w:val="0"/>
          <w:lang w:val="en-US"/>
        </w:rPr>
        <w:t xml:space="preserve"> </w:t>
      </w:r>
      <w:r>
        <w:rPr>
          <w:rtl w:val="0"/>
          <w:lang w:val="en-US"/>
        </w:rPr>
        <w:t xml:space="preserve">or silted soil are included (e.g. P.Amh. 2 85, 15ff., 78 CE). On </w:t>
      </w:r>
      <w:r>
        <w:rPr>
          <w:i w:val="1"/>
          <w:iCs w:val="1"/>
          <w:rtl w:val="0"/>
          <w:lang w:val="en-US"/>
        </w:rPr>
        <w:t>abrochos</w:t>
      </w:r>
      <w:r>
        <w:rPr>
          <w:rtl w:val="0"/>
          <w:lang w:val="en-US"/>
        </w:rPr>
        <w:t xml:space="preserve"> clauses see Vandoni 1965; Herrmann 1958, 161f.; Bonneau 1994; Habermann 1997, 218</w:t>
      </w:r>
      <w:r>
        <w:rPr>
          <w:rtl w:val="0"/>
          <w:lang w:val="en-US"/>
        </w:rPr>
        <w:t>–</w:t>
      </w:r>
      <w:r>
        <w:rPr>
          <w:rtl w:val="0"/>
          <w:lang w:val="en-US"/>
        </w:rPr>
        <w:t>220.</w:t>
      </w:r>
    </w:p>
  </w:footnote>
  <w:footnote w:id="9">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tl w:val="0"/>
          <w:lang w:val="en-US"/>
        </w:rPr>
        <w:t xml:space="preserve"> Lines </w:t>
      </w:r>
      <w:r>
        <w:rPr>
          <w:rtl w:val="0"/>
          <w:lang w:val="en-US"/>
        </w:rPr>
        <w:t>11</w:t>
      </w:r>
      <w:r>
        <w:rPr>
          <w:rtl w:val="0"/>
          <w:lang w:val="en-US"/>
        </w:rPr>
        <w:t>–</w:t>
      </w:r>
      <w:r>
        <w:rPr>
          <w:rtl w:val="0"/>
          <w:lang w:val="en-US"/>
        </w:rPr>
        <w:t xml:space="preserve">12: </w:t>
      </w:r>
      <w:r>
        <w:rPr>
          <w:rFonts w:ascii="IFAO-Grec Unicode" w:hAnsi="IFAO-Grec Unicode" w:hint="default"/>
          <w:rtl w:val="0"/>
          <w:lang w:val="en-US"/>
        </w:rPr>
        <w:t>τῶ</w:t>
      </w:r>
      <w:r>
        <w:rPr>
          <w:rFonts w:ascii="IFAO-Grec Unicode" w:hAnsi="IFAO-Grec Unicode" w:hint="default"/>
          <w:rtl w:val="0"/>
          <w:lang w:val="en-US"/>
        </w:rPr>
        <w:t xml:space="preserve">ͅ </w:t>
      </w:r>
      <w:r>
        <w:rPr>
          <w:rFonts w:ascii="IFAO-Grec Unicode" w:hAnsi="IFAO-Grec Unicode" w:hint="default"/>
          <w:rtl w:val="0"/>
          <w:lang w:val="en-US"/>
        </w:rPr>
        <w:t>ἀβρόχω</w:t>
      </w:r>
      <w:r>
        <w:rPr>
          <w:rFonts w:ascii="IFAO-Grec Unicode" w:hAnsi="IFAO-Grec Unicode" w:hint="default"/>
          <w:rtl w:val="0"/>
          <w:lang w:val="en-US"/>
        </w:rPr>
        <w:t>ͅ</w:t>
      </w:r>
      <w:r>
        <w:rPr>
          <w:rFonts w:ascii="IFAO-Grec Unicode" w:hAnsi="IFAO-Grec Unicode"/>
          <w:rtl w:val="0"/>
          <w:lang w:val="en-US"/>
        </w:rPr>
        <w:t xml:space="preserve">] | </w:t>
      </w:r>
      <w:r>
        <w:rPr>
          <w:rtl w:val="0"/>
          <w:lang w:val="en-US"/>
        </w:rPr>
        <w:t xml:space="preserve">– </w:t>
      </w:r>
      <w:r>
        <w:rPr>
          <w:rFonts w:ascii="IFAO-Grec Unicode" w:hAnsi="IFAO-Grec Unicode" w:hint="default"/>
          <w:rtl w:val="0"/>
          <w:lang w:val="en-US"/>
        </w:rPr>
        <w:t>τὸ</w:t>
      </w:r>
      <w:r>
        <w:rPr>
          <w:rFonts w:ascii="IFAO-Grec Unicode" w:hAnsi="IFAO-Grec Unicode"/>
          <w:rtl w:val="0"/>
          <w:lang w:val="en-US"/>
        </w:rPr>
        <w:t xml:space="preserve"> </w:t>
      </w:r>
      <w:r>
        <w:rPr>
          <w:rFonts w:ascii="IFAO-Grec Unicode" w:hAnsi="IFAO-Grec Unicode" w:hint="default"/>
          <w:rtl w:val="0"/>
          <w:lang w:val="en-US"/>
        </w:rPr>
        <w:t>μὴ</w:t>
      </w:r>
      <w:r>
        <w:rPr>
          <w:rFonts w:ascii="IFAO-Grec Unicode" w:hAnsi="IFAO-Grec Unicode"/>
          <w:rtl w:val="0"/>
          <w:lang w:val="en-US"/>
        </w:rPr>
        <w:t xml:space="preserve"> </w:t>
      </w:r>
      <w:r>
        <w:rPr>
          <w:rFonts w:ascii="IFAO-Grec Unicode" w:hAnsi="IFAO-Grec Unicode" w:hint="default"/>
          <w:rtl w:val="0"/>
          <w:lang w:val="en-US"/>
        </w:rPr>
        <w:t>εἴη</w:t>
      </w:r>
      <w:r>
        <w:rPr>
          <w:rFonts w:ascii="IFAO-Grec Unicode" w:hAnsi="IFAO-Grec Unicode"/>
          <w:rtl w:val="0"/>
          <w:lang w:val="en-US"/>
        </w:rPr>
        <w:t xml:space="preserve"> </w:t>
      </w:r>
      <w:r>
        <w:rPr>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τρίτου</w:t>
      </w:r>
      <w:r>
        <w:rPr>
          <w:rFonts w:ascii="IFAO-Grec Unicode" w:hAnsi="IFAO-Grec Unicode"/>
          <w:rtl w:val="0"/>
          <w:lang w:val="en-US"/>
        </w:rPr>
        <w:t xml:space="preserve"> </w:t>
      </w:r>
      <w:r>
        <w:rPr>
          <w:rFonts w:ascii="IFAO-Grec Unicode" w:hAnsi="IFAO-Grec Unicode" w:hint="default"/>
          <w:rtl w:val="0"/>
          <w:lang w:val="en-US"/>
        </w:rPr>
        <w:t>μέρους</w:t>
      </w:r>
      <w:r>
        <w:rPr>
          <w:rFonts w:ascii="IFAO-Grec Unicode" w:hAnsi="IFAO-Grec Unicode"/>
          <w:rtl w:val="0"/>
          <w:lang w:val="en-US"/>
        </w:rPr>
        <w:t xml:space="preserve"> </w:t>
      </w:r>
      <w:r>
        <w:rPr>
          <w:rFonts w:ascii="IFAO-Grec Unicode" w:hAnsi="IFAO-Grec Unicode" w:hint="default"/>
          <w:rtl w:val="0"/>
          <w:lang w:val="en-US"/>
        </w:rPr>
        <w:t>τοῦ</w:t>
      </w:r>
      <w:r>
        <w:rPr>
          <w:rFonts w:ascii="IFAO-Grec Unicode" w:hAnsi="IFAO-Grec Unicode"/>
          <w:rtl w:val="0"/>
          <w:lang w:val="en-US"/>
        </w:rPr>
        <w:t xml:space="preserve"> </w:t>
      </w:r>
      <w:r>
        <w:rPr>
          <w:rFonts w:ascii="IFAO-Grec Unicode" w:hAnsi="IFAO-Grec Unicode" w:hint="default"/>
          <w:rtl w:val="0"/>
          <w:lang w:val="en-US"/>
        </w:rPr>
        <w:t>προειρημένου</w:t>
      </w:r>
      <w:r>
        <w:rPr>
          <w:rFonts w:ascii="IFAO-Grec Unicode" w:hAnsi="IFAO-Grec Unicode"/>
          <w:rtl w:val="0"/>
          <w:lang w:val="en-US"/>
        </w:rPr>
        <w:t xml:space="preserve"> </w:t>
      </w:r>
      <w:r>
        <w:rPr>
          <w:rFonts w:ascii="IFAO-Grec Unicode" w:hAnsi="IFAO-Grec Unicode" w:hint="default"/>
          <w:rtl w:val="0"/>
          <w:lang w:val="en-US"/>
        </w:rPr>
        <w:t>φόρου</w:t>
      </w:r>
      <w:r>
        <w:rPr>
          <w:rFonts w:ascii="IFAO-Grec Unicode" w:hAnsi="IFAO-Grec Unicode"/>
          <w:rtl w:val="0"/>
          <w:lang w:val="en-US"/>
        </w:rPr>
        <w:t xml:space="preserve"> </w:t>
      </w:r>
      <w:r>
        <w:rPr>
          <w:rtl w:val="0"/>
          <w:lang w:val="en-US"/>
        </w:rPr>
        <w:t xml:space="preserve">“… </w:t>
      </w:r>
      <w:r>
        <w:rPr>
          <w:rtl w:val="0"/>
          <w:lang w:val="en-US"/>
        </w:rPr>
        <w:t xml:space="preserve">in (case of) remaining unwatered </w:t>
      </w:r>
      <w:r>
        <w:rPr>
          <w:rtl w:val="0"/>
          <w:lang w:val="en-US"/>
        </w:rPr>
        <w:t xml:space="preserve">– </w:t>
      </w:r>
      <w:r>
        <w:rPr>
          <w:rtl w:val="0"/>
          <w:lang w:val="en-US"/>
        </w:rPr>
        <w:t xml:space="preserve">may it not happen! </w:t>
      </w:r>
      <w:r>
        <w:rPr>
          <w:rtl w:val="0"/>
          <w:lang w:val="en-US"/>
        </w:rPr>
        <w:t xml:space="preserve">– </w:t>
      </w:r>
      <w:r>
        <w:rPr>
          <w:rtl w:val="0"/>
          <w:lang w:val="en-US"/>
        </w:rPr>
        <w:t>the third part of the rent agreed upon before</w:t>
      </w:r>
      <w:r>
        <w:rPr>
          <w:rtl w:val="0"/>
          <w:lang w:val="en-US"/>
        </w:rPr>
        <w:t>”</w:t>
      </w:r>
      <w:r>
        <w:rPr>
          <w:rtl w:val="0"/>
          <w:lang w:val="en-US"/>
        </w:rPr>
        <w:t>.</w:t>
      </w:r>
    </w:p>
  </w:footnote>
  <w:footnote w:id="10">
    <w:p>
      <w:pPr>
        <w:pStyle w:val="footnote text"/>
      </w:pPr>
      <w:r>
        <w:rPr>
          <w:vertAlign w:val="superscript"/>
          <w:lang w:val="en-US"/>
        </w:rPr>
        <w:footnoteRef/>
      </w:r>
      <w:r>
        <w:rPr>
          <w:rtl w:val="0"/>
          <w:lang w:val="en-US"/>
        </w:rPr>
        <w:t xml:space="preserve"> The hand of this document can be indeed dated to the 6</w:t>
      </w:r>
      <w:r>
        <w:rPr>
          <w:vertAlign w:val="superscript"/>
          <w:rtl w:val="0"/>
          <w:lang w:val="en-US"/>
        </w:rPr>
        <w:t>th</w:t>
      </w:r>
      <w:r>
        <w:rPr>
          <w:rtl w:val="0"/>
          <w:lang w:val="en-US"/>
        </w:rPr>
        <w:t xml:space="preserve"> century, as we have been able to confirm on a photo kindly provided to us by Paul Heilporn.</w:t>
      </w:r>
    </w:p>
  </w:footnote>
  <w:footnote w:id="11">
    <w:p>
      <w:pPr>
        <w:pStyle w:val="footnote text"/>
      </w:pPr>
      <w:r>
        <w:rPr>
          <w:vertAlign w:val="superscript"/>
        </w:rPr>
        <w:footnoteRef/>
      </w:r>
      <w:r>
        <w:rPr>
          <w:rtl w:val="0"/>
          <w:lang w:val="en-US"/>
        </w:rPr>
        <w:t xml:space="preserve"> For a detailed discussion of the identification and the location of these monasteries, see P.Mon.Apollo, p. 23 and 32</w:t>
      </w:r>
      <w:r>
        <w:rPr>
          <w:rtl w:val="0"/>
          <w:lang w:val="en-US"/>
        </w:rPr>
        <w:t>–</w:t>
      </w:r>
      <w:r>
        <w:rPr>
          <w:rtl w:val="0"/>
          <w:lang w:val="en-US"/>
        </w:rPr>
        <w:t>33, and (for Apa Anoup) also Benaissa 2014, 207</w:t>
      </w:r>
      <w:r>
        <w:rPr>
          <w:rtl w:val="0"/>
          <w:lang w:val="en-US"/>
        </w:rPr>
        <w:t>.</w:t>
      </w:r>
    </w:p>
  </w:footnote>
  <w:footnote w:id="12">
    <w:p>
      <w:pPr>
        <w:pStyle w:val="footnote text"/>
      </w:pPr>
      <w:r>
        <w:rPr>
          <w:outline w:val="0"/>
          <w:color w:val="000000"/>
          <w:u w:color="000000"/>
          <w:vertAlign w:val="superscript"/>
          <w:lang w:val="en-US"/>
          <w14:textFill>
            <w14:solidFill>
              <w14:srgbClr w14:val="000000"/>
            </w14:solidFill>
          </w14:textFill>
        </w:rPr>
        <w:footnoteRef/>
      </w:r>
      <w:r>
        <w:rPr>
          <w:rtl w:val="0"/>
          <w:lang w:val="en-US"/>
        </w:rPr>
        <w:t xml:space="preserve"> </w:t>
      </w:r>
      <w:r>
        <w:rPr>
          <w:outline w:val="0"/>
          <w:color w:val="000000"/>
          <w:u w:color="000000"/>
          <w:vertAlign w:val="superscript"/>
          <w:rtl w:val="0"/>
          <w:lang w:val="en-US"/>
          <w14:textFill>
            <w14:solidFill>
              <w14:srgbClr w14:val="000000"/>
            </w14:solidFill>
          </w14:textFill>
        </w:rPr>
        <w:t>1</w:t>
      </w:r>
      <w:r>
        <w:rPr>
          <w:rFonts w:ascii="IFAO-Grec Unicode" w:hAnsi="IFAO-Grec Unicode"/>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ⲡⲉⲧⲣⲉ ⲡⲉⲡⲣⲟⲓ̈ⲥⲧⲟⲥ ⲡⲉⲧⲥ</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2</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ⲁⲓ̈ ⲙⲡⲁⲥⲟⲛ ⲡ</w:t>
      </w:r>
      <w:r>
        <w:rPr>
          <w:rFonts w:ascii="IFAO-Grec Unicode" w:hAnsi="IFAO-Grec Unicode" w:hint="default"/>
          <w:outline w:val="0"/>
          <w:color w:val="000000"/>
          <w:u w:color="000000"/>
          <w:rtl w:val="0"/>
          <w:lang w:val="en-US"/>
          <w14:textFill>
            <w14:solidFill>
              <w14:srgbClr w14:val="000000"/>
            </w14:solidFill>
          </w14:textFill>
        </w:rPr>
        <w:t>ϣ</w:t>
      </w:r>
      <w:r>
        <w:rPr>
          <w:rFonts w:ascii="IFAO-Grec Unicode" w:hAnsi="IFAO-Grec Unicode" w:hint="default"/>
          <w:outline w:val="0"/>
          <w:color w:val="000000"/>
          <w:u w:color="000000"/>
          <w:rtl w:val="0"/>
          <w:lang w:val="en-US"/>
          <w14:textFill>
            <w14:solidFill>
              <w14:srgbClr w14:val="000000"/>
            </w14:solidFill>
          </w14:textFill>
        </w:rPr>
        <w:t xml:space="preserve">ⲱⲓ̈ </w:t>
      </w:r>
      <w:r>
        <w:rPr>
          <w:rFonts w:ascii="IFAO-Grec Unicode" w:hAnsi="IFAO-Grec Unicode" w:hint="default"/>
          <w:outline w:val="0"/>
          <w:color w:val="000000"/>
          <w:u w:color="000000"/>
          <w:rtl w:val="0"/>
          <w:lang w:val="en-US"/>
          <w14:textFill>
            <w14:solidFill>
              <w14:srgbClr w14:val="000000"/>
            </w14:solidFill>
          </w14:textFill>
        </w:rPr>
        <w:t>ϫ</w:t>
      </w:r>
      <w:r>
        <w:rPr>
          <w:rFonts w:ascii="IFAO-Grec Unicode" w:hAnsi="IFAO-Grec Unicode" w:hint="default"/>
          <w:outline w:val="0"/>
          <w:color w:val="000000"/>
          <w:u w:color="000000"/>
          <w:rtl w:val="0"/>
          <w:lang w:val="en-US"/>
          <w14:textFill>
            <w14:solidFill>
              <w14:srgbClr w14:val="000000"/>
            </w14:solidFill>
          </w14:textFill>
        </w:rPr>
        <w:t>ⲉⲓ̈ⲥ ⲟⲩ</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3</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ⲟⲗⲟⲕⲟⲧⲛ ⲁⲃⲓ̈ ⲉⲧⲟⲧ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4</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ⲙⲧⲉⲙⲟⲥⲉ ⲙⲃⲏⲛⲉ ⲙⲡⲟⲟⲩ </w:t>
      </w:r>
      <w:r>
        <w:rPr>
          <w:outline w:val="0"/>
          <w:color w:val="000000"/>
          <w:u w:color="000000"/>
          <w:vertAlign w:val="superscript"/>
          <w:rtl w:val="0"/>
          <w:lang w:val="en-US"/>
          <w14:textFill>
            <w14:solidFill>
              <w14:srgbClr w14:val="000000"/>
            </w14:solidFill>
          </w14:textFill>
        </w:rPr>
        <w:t>5</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ⲟⲟⲩ ⲉⲧⲉ ⲥⲟⲩ ⲓ̈ⲉ ⲙⲡⲁⲣⲉⲙ</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6</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ⲟⲧⲡ ⲛⲧⲓ̈ⲣⲟⲡⲉ ⲧⲁⲓ̈ ⲧⲉⲕⲁ</w:t>
      </w:r>
      <w:r>
        <w:rPr>
          <w:rFonts w:ascii="IFAO-Grec Unicode" w:hAnsi="IFAO-Grec Unicode"/>
          <w:outline w:val="0"/>
          <w:color w:val="000000"/>
          <w:u w:color="000000"/>
          <w:rtl w:val="0"/>
          <w:lang w:val="en-US"/>
          <w14:textFill>
            <w14:solidFill>
              <w14:srgbClr w14:val="000000"/>
            </w14:solidFill>
          </w14:textFill>
        </w:rPr>
        <w:t xml:space="preserve">- </w:t>
      </w:r>
      <w:r>
        <w:rPr>
          <w:outline w:val="0"/>
          <w:color w:val="000000"/>
          <w:u w:color="000000"/>
          <w:vertAlign w:val="superscript"/>
          <w:rtl w:val="0"/>
          <w:lang w:val="en-US"/>
          <w14:textFill>
            <w14:solidFill>
              <w14:srgbClr w14:val="000000"/>
            </w14:solidFill>
          </w14:textFill>
        </w:rPr>
        <w:t>7</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ⲧⲏⲥ ⲑⲱⲙⲁⲥ ⲡⲉⲧⲥ</w:t>
      </w:r>
      <w:r>
        <w:rPr>
          <w:rFonts w:ascii="IFAO-Grec Unicode" w:hAnsi="IFAO-Grec Unicode" w:hint="default"/>
          <w:outline w:val="0"/>
          <w:color w:val="000000"/>
          <w:u w:color="000000"/>
          <w:rtl w:val="0"/>
          <w:lang w:val="en-US"/>
          <w14:textFill>
            <w14:solidFill>
              <w14:srgbClr w14:val="000000"/>
            </w14:solidFill>
          </w14:textFill>
        </w:rPr>
        <w:t>ϩ</w:t>
      </w:r>
      <w:r>
        <w:rPr>
          <w:rFonts w:ascii="IFAO-Grec Unicode" w:hAnsi="IFAO-Grec Unicode" w:hint="default"/>
          <w:outline w:val="0"/>
          <w:color w:val="000000"/>
          <w:u w:color="000000"/>
          <w:rtl w:val="0"/>
          <w:lang w:val="en-US"/>
          <w14:textFill>
            <w14:solidFill>
              <w14:srgbClr w14:val="000000"/>
            </w14:solidFill>
          </w14:textFill>
        </w:rPr>
        <w:t xml:space="preserve">ⲁⲓ̣̈ </w:t>
      </w:r>
      <w:r>
        <w:rPr>
          <w:outline w:val="0"/>
          <w:color w:val="000000"/>
          <w:u w:color="000000"/>
          <w:vertAlign w:val="superscript"/>
          <w:rtl w:val="0"/>
          <w:lang w:val="en-US"/>
          <w14:textFill>
            <w14:solidFill>
              <w14:srgbClr w14:val="000000"/>
            </w14:solidFill>
          </w14:textFill>
        </w:rPr>
        <w:t>8</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ⲡⲉⲧⲣⲉ 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ⲉⲡⲣⲟⲓ̈ⲥⲧⲟⲥ ⲥⲧⲏⲭⲉ </w:t>
      </w:r>
      <w:r>
        <w:rPr>
          <w:rFonts w:ascii="IFAO-Grec Unicode" w:hAnsi="IFAO-Grec Unicode"/>
          <w:outline w:val="0"/>
          <w:color w:val="000000"/>
          <w:u w:color="000000"/>
          <w:rtl w:val="0"/>
          <w:lang w:val="en-US"/>
          <w14:textFill>
            <w14:solidFill>
              <w14:srgbClr w14:val="000000"/>
            </w14:solidFill>
          </w14:textFill>
        </w:rPr>
        <w:t xml:space="preserve">+ ]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xml:space="preserve">It is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who writes to the friar Psh</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i: Lo a solidus came to me as the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 xml:space="preserve">mosion </w:t>
      </w:r>
      <w:r>
        <w:rPr>
          <w:rFonts w:ascii="Calibri" w:hAnsi="Calibri"/>
          <w:outline w:val="0"/>
          <w:color w:val="000000"/>
          <w:u w:color="000000"/>
          <w:rtl w:val="0"/>
          <w:lang w:val="en-US"/>
          <w14:textFill>
            <w14:solidFill>
              <w14:srgbClr w14:val="000000"/>
            </w14:solidFill>
          </w14:textFill>
        </w:rPr>
        <w:t>of B</w:t>
      </w:r>
      <w:r>
        <w:rPr>
          <w:outline w:val="0"/>
          <w:color w:val="000000"/>
          <w:u w:color="000000"/>
          <w:rtl w:val="0"/>
          <w:lang w:val="en-US"/>
          <w14:textFill>
            <w14:solidFill>
              <w14:srgbClr w14:val="000000"/>
            </w14:solidFill>
          </w14:textFill>
        </w:rPr>
        <w:t>ē</w:t>
      </w:r>
      <w:r>
        <w:rPr>
          <w:rFonts w:ascii="Calibri" w:hAnsi="Calibri"/>
          <w:outline w:val="0"/>
          <w:color w:val="000000"/>
          <w:u w:color="000000"/>
          <w:rtl w:val="0"/>
          <w:lang w:val="en-US"/>
          <w14:textFill>
            <w14:solidFill>
              <w14:srgbClr w14:val="000000"/>
            </w14:solidFill>
          </w14:textFill>
        </w:rPr>
        <w:t>ne today, day 15 of Phamen</w:t>
      </w:r>
      <w:r>
        <w:rPr>
          <w:outline w:val="0"/>
          <w:color w:val="000000"/>
          <w:u w:color="000000"/>
          <w:rtl w:val="0"/>
          <w:lang w:val="en-US"/>
          <w14:textFill>
            <w14:solidFill>
              <w14:srgbClr w14:val="000000"/>
            </w14:solidFill>
          </w14:textFill>
        </w:rPr>
        <w:t>ō</w:t>
      </w:r>
      <w:r>
        <w:rPr>
          <w:rFonts w:ascii="Calibri" w:hAnsi="Calibri"/>
          <w:outline w:val="0"/>
          <w:color w:val="000000"/>
          <w:u w:color="000000"/>
          <w:rtl w:val="0"/>
          <w:lang w:val="en-US"/>
          <w14:textFill>
            <w14:solidFill>
              <w14:srgbClr w14:val="000000"/>
            </w14:solidFill>
          </w14:textFill>
        </w:rPr>
        <w:t xml:space="preserve">t of this being tenth year of indiction. </w:t>
      </w:r>
      <w:r>
        <w:rPr>
          <w:rFonts w:ascii="Calibri" w:hAnsi="Calibri"/>
          <w:outline w:val="0"/>
          <w:color w:val="000000"/>
          <w:u w:color="000000"/>
          <w:rtl w:val="0"/>
          <w:lang w:val="en-US"/>
          <w14:textFill>
            <w14:solidFill>
              <w14:srgbClr w14:val="000000"/>
            </w14:solidFill>
          </w14:textFill>
        </w:rPr>
        <w:t>It is Thomas who writes. Petre the [</w:t>
      </w:r>
      <w:r>
        <w:rPr>
          <w:rFonts w:ascii="Calibri" w:hAnsi="Calibri"/>
          <w:i w:val="1"/>
          <w:iCs w:val="1"/>
          <w:outline w:val="0"/>
          <w:color w:val="000000"/>
          <w:u w:color="000000"/>
          <w:rtl w:val="0"/>
          <w:lang w:val="en-US"/>
          <w14:textFill>
            <w14:solidFill>
              <w14:srgbClr w14:val="000000"/>
            </w14:solidFill>
          </w14:textFill>
        </w:rPr>
        <w:t>proest</w:t>
      </w:r>
      <w:r>
        <w:rPr>
          <w:i w:val="1"/>
          <w:iCs w:val="1"/>
          <w:outline w:val="0"/>
          <w:color w:val="000000"/>
          <w:u w:color="000000"/>
          <w:rtl w:val="0"/>
          <w:lang w:val="en-US"/>
          <w14:textFill>
            <w14:solidFill>
              <w14:srgbClr w14:val="000000"/>
            </w14:solidFill>
          </w14:textFill>
        </w:rPr>
        <w:t>ō</w:t>
      </w:r>
      <w:r>
        <w:rPr>
          <w:rFonts w:ascii="Calibri" w:hAnsi="Calibri"/>
          <w:i w:val="1"/>
          <w:iCs w:val="1"/>
          <w:outline w:val="0"/>
          <w:color w:val="000000"/>
          <w:u w:color="000000"/>
          <w:rtl w:val="0"/>
          <w:lang w:val="en-US"/>
          <w14:textFill>
            <w14:solidFill>
              <w14:srgbClr w14:val="000000"/>
            </w14:solidFill>
          </w14:textFill>
        </w:rPr>
        <w:t xml:space="preserve">s </w:t>
      </w:r>
      <w:r>
        <w:rPr>
          <w:rFonts w:ascii="Calibri" w:hAnsi="Calibri"/>
          <w:outline w:val="0"/>
          <w:color w:val="000000"/>
          <w:u w:color="000000"/>
          <w:rtl w:val="0"/>
          <w:lang w:val="en-US"/>
          <w14:textFill>
            <w14:solidFill>
              <w14:srgbClr w14:val="000000"/>
            </w14:solidFill>
          </w14:textFill>
        </w:rPr>
        <w:t>agrees].</w:t>
      </w:r>
      <w:r>
        <w:rPr>
          <w:rFonts w:ascii="Calibri" w:hAnsi="Calibri" w:hint="default"/>
          <w:outline w:val="0"/>
          <w:color w:val="000000"/>
          <w:u w:color="000000"/>
          <w:rtl w:val="0"/>
          <w:lang w:val="en-US"/>
          <w14:textFill>
            <w14:solidFill>
              <w14:srgbClr w14:val="000000"/>
            </w14:solidFill>
          </w14:textFill>
        </w:rPr>
        <w:t>”</w:t>
      </w:r>
    </w:p>
  </w:footnote>
  <w:footnote w:id="13">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ⲁⲕⲛⲟϭⲥ ⲉϫⲱϥ ⲉⲧⲣⲉⲃⲥⲱⲕ ϩⲁⲛⲉⲥⲇⲏⲙⲟⲥⲓⲟⲛ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you cast it (</w:t>
      </w:r>
      <w:r>
        <w:rPr>
          <w:rFonts w:ascii="Calibri" w:hAnsi="Calibri"/>
          <w:i w:val="1"/>
          <w:iCs w:val="1"/>
          <w:outline w:val="0"/>
          <w:color w:val="000000"/>
          <w:u w:color="000000"/>
          <w:rtl w:val="0"/>
          <w:lang w:val="en-US"/>
          <w14:textFill>
            <w14:solidFill>
              <w14:srgbClr w14:val="000000"/>
            </w14:solidFill>
          </w14:textFill>
        </w:rPr>
        <w:t xml:space="preserve">i.e., </w:t>
      </w:r>
      <w:r>
        <w:rPr>
          <w:rFonts w:ascii="Calibri" w:hAnsi="Calibri"/>
          <w:outline w:val="0"/>
          <w:color w:val="000000"/>
          <w:u w:color="000000"/>
          <w:rtl w:val="0"/>
          <w:lang w:val="en-US"/>
          <w14:textFill>
            <w14:solidFill>
              <w14:srgbClr w14:val="000000"/>
            </w14:solidFill>
          </w14:textFill>
        </w:rPr>
        <w:t xml:space="preserve">the plot of land, </w:t>
      </w:r>
      <w:r>
        <w:rPr>
          <w:rFonts w:ascii="Calibri" w:hAnsi="Calibri"/>
          <w:i w:val="1"/>
          <w:iCs w:val="1"/>
          <w:outline w:val="0"/>
          <w:color w:val="000000"/>
          <w:u w:color="000000"/>
          <w:rtl w:val="0"/>
          <w:lang w:val="en-US"/>
          <w14:textFill>
            <w14:solidFill>
              <w14:srgbClr w14:val="000000"/>
            </w14:solidFill>
          </w14:textFill>
        </w:rPr>
        <w:t>resp</w:t>
      </w:r>
      <w:r>
        <w:rPr>
          <w:rFonts w:ascii="Calibri" w:hAnsi="Calibri"/>
          <w:outline w:val="0"/>
          <w:color w:val="000000"/>
          <w:u w:color="000000"/>
          <w:rtl w:val="0"/>
          <w:lang w:val="en-US"/>
          <w14:textFill>
            <w14:solidFill>
              <w14:srgbClr w14:val="000000"/>
            </w14:solidFill>
          </w14:textFill>
        </w:rPr>
        <w:t>. responsibility for it) to him (the issuer</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fellow-monk) so that he shall be liable (</w:t>
      </w:r>
      <w:r>
        <w:rPr>
          <w:rFonts w:ascii="Calibri" w:hAnsi="Calibri"/>
          <w:i w:val="1"/>
          <w:iCs w:val="1"/>
          <w:outline w:val="0"/>
          <w:color w:val="000000"/>
          <w:u w:color="000000"/>
          <w:rtl w:val="0"/>
          <w:lang w:val="en-US"/>
          <w14:textFill>
            <w14:solidFill>
              <w14:srgbClr w14:val="000000"/>
            </w14:solidFill>
          </w14:textFill>
        </w:rPr>
        <w:t>lit</w:t>
      </w:r>
      <w:r>
        <w:rPr>
          <w:rFonts w:ascii="Calibri" w:hAnsi="Calibri"/>
          <w:outline w:val="0"/>
          <w:color w:val="000000"/>
          <w:u w:color="000000"/>
          <w:rtl w:val="0"/>
          <w:lang w:val="en-US"/>
          <w14:textFill>
            <w14:solidFill>
              <w14:srgbClr w14:val="000000"/>
            </w14:solidFill>
          </w14:textFill>
        </w:rPr>
        <w:t xml:space="preserve">. </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draw</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 for its taxes (</w:t>
      </w:r>
      <w:r>
        <w:rPr>
          <w:rFonts w:ascii="Calibri" w:hAnsi="Calibri"/>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rFonts w:ascii="Calibri" w:hAnsi="Calibri"/>
          <w:i w:val="1"/>
          <w:iCs w:val="1"/>
          <w:outline w:val="0"/>
          <w:color w:val="000000"/>
          <w:u w:color="000000"/>
          <w:rtl w:val="0"/>
          <w:lang w:val="en-US"/>
          <w14:textFill>
            <w14:solidFill>
              <w14:srgbClr w14:val="000000"/>
            </w14:solidFill>
          </w14:textFill>
        </w:rPr>
        <w:t>mosion</w:t>
      </w:r>
      <w:r>
        <w:rPr>
          <w:rFonts w:ascii="Calibri" w:hAnsi="Calibri"/>
          <w:outline w:val="0"/>
          <w:color w:val="000000"/>
          <w:u w:color="000000"/>
          <w:rtl w:val="0"/>
          <w:lang w:val="en-US"/>
          <w14:textFill>
            <w14:solidFill>
              <w14:srgbClr w14:val="000000"/>
            </w14:solidFill>
          </w14:textFill>
        </w:rPr>
        <w: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w:t>
      </w:r>
    </w:p>
  </w:footnote>
  <w:footnote w:id="14">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2: </w:t>
      </w:r>
      <w:r>
        <w:rPr>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ϩⲛⲛⲉⲇⲏⲙ</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ⲟⲥⲓⲟⲛ</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ⲛϯⲣⲟⲙⲡ</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ⲉ</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ⲧⲁⲓ ⲓ</w:t>
      </w:r>
      <w:r>
        <w:rPr>
          <w:rFonts w:ascii="IFAO-Grec Unicode" w:hAnsi="IFAO-Grec Unicode" w:hint="default"/>
          <w:outline w:val="0"/>
          <w:color w:val="000000"/>
          <w:u w:color="000000"/>
          <w:vertAlign w:val="superscript"/>
          <w:rtl w:val="0"/>
          <w:lang w:val="en-US"/>
          <w14:textFill>
            <w14:solidFill>
              <w14:srgbClr w14:val="000000"/>
            </w14:solidFill>
          </w14:textFill>
        </w:rPr>
        <w:t>ⲇ</w:t>
      </w:r>
      <w:r>
        <w:rPr>
          <w:rFonts w:ascii="IFAO-Grec Unicode" w:hAnsi="IFAO-Grec Unicode" w:hint="default"/>
          <w:outline w:val="0"/>
          <w:color w:val="000000"/>
          <w:u w:color="000000"/>
          <w:rtl w:val="0"/>
          <w:lang w:val="en-US"/>
          <w14:textFill>
            <w14:solidFill>
              <w14:srgbClr w14:val="000000"/>
            </w14:solidFill>
          </w14:textFill>
        </w:rPr>
        <w:t xml:space="preserve"> … </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as</w:t>
      </w:r>
      <w:r>
        <w:rPr>
          <w:i w:val="1"/>
          <w:iCs w:val="1"/>
          <w:outline w:val="0"/>
          <w:color w:val="000000"/>
          <w:u w:color="000000"/>
          <w:rtl w:val="0"/>
          <w:lang w:val="en-US"/>
          <w14:textFill>
            <w14:solidFill>
              <w14:srgbClr w14:val="000000"/>
            </w14:solidFill>
          </w14:textFill>
        </w:rPr>
        <w:t xml:space="preserve"> 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for this </w:t>
      </w:r>
      <w:r>
        <w:rPr>
          <w:outline w:val="0"/>
          <w:color w:val="000000"/>
          <w:u w:color="000000"/>
          <w:rtl w:val="0"/>
          <w:lang w:val="en-US"/>
          <w14:textFill>
            <w14:solidFill>
              <w14:srgbClr w14:val="000000"/>
            </w14:solidFill>
          </w14:textFill>
        </w:rPr>
        <w:t xml:space="preserve">… </w:t>
      </w:r>
      <w:r>
        <w:rPr>
          <w:rFonts w:ascii="Calibri" w:hAnsi="Calibri"/>
          <w:outline w:val="0"/>
          <w:color w:val="000000"/>
          <w:u w:color="000000"/>
          <w:rtl w:val="0"/>
          <w:lang w:val="en-US"/>
          <w14:textFill>
            <w14:solidFill>
              <w14:srgbClr w14:val="000000"/>
            </w14:solidFill>
          </w14:textFill>
        </w:rPr>
        <w:t xml:space="preserve">i(n)d(iction) </w:t>
      </w:r>
      <w:r>
        <w:rPr>
          <w:outline w:val="0"/>
          <w:color w:val="000000"/>
          <w:u w:color="000000"/>
          <w:rtl w:val="0"/>
          <w:lang w:val="en-US"/>
          <w14:textFill>
            <w14:solidFill>
              <w14:srgbClr w14:val="000000"/>
            </w14:solidFill>
          </w14:textFill>
        </w:rPr>
        <w:t xml:space="preserve">year </w:t>
      </w:r>
      <w:r>
        <w:rPr>
          <w:outline w:val="0"/>
          <w:color w:val="000000"/>
          <w:u w:color="000000"/>
          <w:rtl w:val="0"/>
          <w:lang w:val="en-US"/>
          <w14:textFill>
            <w14:solidFill>
              <w14:srgbClr w14:val="000000"/>
            </w14:solidFill>
          </w14:textFill>
        </w:rPr>
        <w:t>…”</w:t>
      </w:r>
    </w:p>
  </w:footnote>
  <w:footnote w:id="15">
    <w:p>
      <w:pPr>
        <w:pStyle w:val="footnote text"/>
      </w:pPr>
      <w:r>
        <w:rPr>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Line 1: </w:t>
      </w:r>
      <w:r>
        <w:rPr>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 xml:space="preserve">ⲉⲧⲛⲧⲁϩⲟ ⲛⲛⲉⲛⲇⲏⲙⲟⲥⲓⲟⲛ … </w:t>
      </w:r>
      <w:r>
        <w:rPr>
          <w:rFonts w:ascii="IFAO-Grec Unicode" w:hAnsi="IFAO-Grec Unicode"/>
          <w:outline w:val="0"/>
          <w:color w:val="000000"/>
          <w:u w:color="000000"/>
          <w:rtl w:val="0"/>
          <w:lang w:val="en-US"/>
          <w14:textFill>
            <w14:solidFill>
              <w14:srgbClr w14:val="000000"/>
            </w14:solidFill>
          </w14:textFill>
        </w:rPr>
        <w:t xml:space="preserve">[ </w:t>
      </w:r>
      <w:r>
        <w:rPr>
          <w:rFonts w:ascii="IFAO-Grec Unicode" w:hAnsi="IFAO-Grec Unicode" w:hint="default"/>
          <w:outline w:val="0"/>
          <w:color w:val="000000"/>
          <w:u w:color="000000"/>
          <w:rtl w:val="0"/>
          <w:lang w:val="en-US"/>
          <w14:textFill>
            <w14:solidFill>
              <w14:srgbClr w14:val="000000"/>
            </w14:solidFill>
          </w14:textFill>
        </w:rPr>
        <w:t xml:space="preserve">… </w:t>
      </w:r>
      <w:r>
        <w:rPr>
          <w:rFonts w:ascii="IFAO-Grec Unicode" w:hAnsi="IFAO-Grec Unicode"/>
          <w:outline w:val="0"/>
          <w:color w:val="000000"/>
          <w:u w:color="000000"/>
          <w:rtl w:val="0"/>
          <w:lang w:val="en-US"/>
          <w14:textFill>
            <w14:solidFill>
              <w14:srgbClr w14:val="000000"/>
            </w14:solidFill>
          </w14:textFill>
        </w:rPr>
        <w:t>]</w:t>
      </w:r>
      <w:r>
        <w:rPr>
          <w:rFonts w:ascii="IFAO-Grec Unicode" w:hAnsi="IFAO-Grec Unicode" w:hint="default"/>
          <w:outline w:val="0"/>
          <w:color w:val="000000"/>
          <w:u w:color="000000"/>
          <w:rtl w:val="0"/>
          <w:lang w:val="en-US"/>
          <w14:textFill>
            <w14:solidFill>
              <w14:srgbClr w14:val="000000"/>
            </w14:solidFill>
          </w14:textFill>
        </w:rPr>
        <w:t>ⲧ̣ⲛⲛⲟⲟⲩⲥⲟⲩ ⲛⲧⲟⲟⲧϥ ⲛⲡⲁⲥⲟⲛ ⲓ̈ⲁⲕⲱⲃ</w:t>
      </w:r>
      <w:r>
        <w:rPr>
          <w:outline w:val="0"/>
          <w:color w:val="000000"/>
          <w:u w:color="000000"/>
          <w:rtl w:val="0"/>
          <w:lang w:val="en-US"/>
          <w14:textFill>
            <w14:solidFill>
              <w14:srgbClr w14:val="000000"/>
            </w14:solidFill>
          </w14:textFill>
        </w:rPr>
        <w:t>… “</w:t>
      </w:r>
      <w:r>
        <w:rPr>
          <w:outline w:val="0"/>
          <w:color w:val="000000"/>
          <w:u w:color="000000"/>
          <w:rtl w:val="0"/>
          <w:lang w:val="en-US"/>
          <w14:textFill>
            <w14:solidFill>
              <w14:srgbClr w14:val="000000"/>
            </w14:solidFill>
          </w14:textFill>
        </w:rPr>
        <w:t xml:space="preserve">you have set up our </w:t>
      </w:r>
      <w:r>
        <w:rPr>
          <w:i w:val="1"/>
          <w:iCs w:val="1"/>
          <w:outline w:val="0"/>
          <w:color w:val="000000"/>
          <w:u w:color="000000"/>
          <w:rtl w:val="0"/>
          <w:lang w:val="en-US"/>
          <w14:textFill>
            <w14:solidFill>
              <w14:srgbClr w14:val="000000"/>
            </w14:solidFill>
          </w14:textFill>
        </w:rPr>
        <w:t>d</w:t>
      </w:r>
      <w:r>
        <w:rPr>
          <w:i w:val="1"/>
          <w:iCs w:val="1"/>
          <w:outline w:val="0"/>
          <w:color w:val="000000"/>
          <w:u w:color="000000"/>
          <w:rtl w:val="0"/>
          <w:lang w:val="en-US"/>
          <w14:textFill>
            <w14:solidFill>
              <w14:srgbClr w14:val="000000"/>
            </w14:solidFill>
          </w14:textFill>
        </w:rPr>
        <w:t>ē</w:t>
      </w:r>
      <w:r>
        <w:rPr>
          <w:i w:val="1"/>
          <w:iCs w:val="1"/>
          <w:outline w:val="0"/>
          <w:color w:val="000000"/>
          <w:u w:color="000000"/>
          <w:rtl w:val="0"/>
          <w:lang w:val="en-US"/>
          <w14:textFill>
            <w14:solidFill>
              <w14:srgbClr w14:val="000000"/>
            </w14:solidFill>
          </w14:textFill>
        </w:rPr>
        <w:t xml:space="preserve">mosia </w:t>
      </w:r>
      <w:r>
        <w:rPr>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[we will]</w:t>
      </w:r>
      <w:r>
        <w:rPr>
          <w:i w:val="1"/>
          <w:iCs w:val="1"/>
          <w:outline w:val="0"/>
          <w:color w:val="000000"/>
          <w:u w:color="000000"/>
          <w:rtl w:val="0"/>
          <w:lang w:val="en-US"/>
          <w14:textFill>
            <w14:solidFill>
              <w14:srgbClr w14:val="000000"/>
            </w14:solidFill>
          </w14:textFill>
        </w:rPr>
        <w:t xml:space="preserve"> </w:t>
      </w:r>
      <w:r>
        <w:rPr>
          <w:outline w:val="0"/>
          <w:color w:val="000000"/>
          <w:u w:color="000000"/>
          <w:rtl w:val="0"/>
          <w:lang w:val="en-US"/>
          <w14:textFill>
            <w14:solidFill>
              <w14:srgbClr w14:val="000000"/>
            </w14:solidFill>
          </w14:textFill>
        </w:rPr>
        <w:t>send them through the friar Jacob</w:t>
      </w:r>
      <w:r>
        <w:rPr>
          <w:outline w:val="0"/>
          <w:color w:val="000000"/>
          <w:u w:color="000000"/>
          <w:rtl w:val="0"/>
          <w:lang w:val="en-US"/>
          <w14:textFill>
            <w14:solidFill>
              <w14:srgbClr w14:val="000000"/>
            </w14:solidFill>
          </w14:textFill>
        </w:rPr>
        <w:t>”</w:t>
      </w:r>
      <w:r>
        <w:rPr>
          <w:outline w:val="0"/>
          <w:color w:val="000000"/>
          <w:u w:color="000000"/>
          <w:rtl w:val="0"/>
          <w:lang w:val="en-US"/>
          <w14:textFill>
            <w14:solidFill>
              <w14:srgbClr w14:val="000000"/>
            </w14:solidFill>
          </w14:textFill>
        </w:rPr>
        <w:t>).</w:t>
      </w:r>
    </w:p>
  </w:footnote>
  <w:footnote w:id="16">
    <w:p>
      <w:pPr>
        <w:pStyle w:val="footnote text"/>
      </w:pPr>
      <w:r>
        <w:rPr>
          <w:rFonts w:ascii="Calibri" w:cs="Calibri" w:hAnsi="Calibri" w:eastAsia="Calibri"/>
          <w:outline w:val="0"/>
          <w:color w:val="000000"/>
          <w:u w:color="000000"/>
          <w:vertAlign w:val="superscript"/>
          <w:lang w:val="en-US"/>
          <w14:textFill>
            <w14:solidFill>
              <w14:srgbClr w14:val="000000"/>
            </w14:solidFill>
          </w14:textFill>
        </w:rPr>
        <w:footnoteRef/>
      </w:r>
      <w:r>
        <w:rPr>
          <w:outline w:val="0"/>
          <w:color w:val="000000"/>
          <w:u w:color="000000"/>
          <w:rtl w:val="0"/>
          <w:lang w:val="en-US"/>
          <w14:textFill>
            <w14:solidFill>
              <w14:srgbClr w14:val="000000"/>
            </w14:solidFill>
          </w14:textFill>
        </w:rPr>
        <w:t xml:space="preserve"> The Coptic parts are reedited in </w:t>
      </w:r>
      <w:r>
        <w:rPr>
          <w:rtl w:val="0"/>
          <w:lang w:val="en-US"/>
        </w:rPr>
        <w:t>Richter 2009b</w:t>
      </w:r>
      <w:r>
        <w:rPr>
          <w:rtl w:val="0"/>
          <w:lang w:val="en-US"/>
        </w:rPr>
        <w:t>.</w:t>
      </w:r>
    </w:p>
  </w:footnote>
  <w:footnote w:id="17">
    <w:p>
      <w:pPr>
        <w:pStyle w:val="footnote text"/>
      </w:pPr>
      <w:r>
        <w:rPr>
          <w:rFonts w:ascii="Calibri" w:cs="Calibri" w:hAnsi="Calibri" w:eastAsia="Calibri"/>
          <w:outline w:val="0"/>
          <w:color w:val="000000"/>
          <w:u w:color="000000"/>
          <w:vertAlign w:val="superscript"/>
          <w14:textFill>
            <w14:solidFill>
              <w14:srgbClr w14:val="000000"/>
            </w14:solidFill>
          </w14:textFill>
        </w:rPr>
        <w:footnoteRef/>
      </w:r>
      <w:r>
        <w:rPr>
          <w:rFonts w:cs="Arial Unicode MS" w:eastAsia="Arial Unicode MS"/>
          <w:rtl w:val="0"/>
          <w:lang w:val="en-US"/>
        </w:rPr>
        <w:t xml:space="preserve"> </w:t>
      </w:r>
      <w:r>
        <w:rPr>
          <w:rFonts w:ascii="Calibri" w:hAnsi="Calibri"/>
          <w:outline w:val="0"/>
          <w:color w:val="000000"/>
          <w:u w:color="000000"/>
          <w:rtl w:val="0"/>
          <w:lang w:val="en-US"/>
          <w14:textFill>
            <w14:solidFill>
              <w14:srgbClr w14:val="000000"/>
            </w14:solidFill>
          </w14:textFill>
        </w:rPr>
        <w:t>See e.g.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1.35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8</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60 and SPP 3</w:t>
      </w:r>
      <w:r>
        <w:rPr>
          <w:rFonts w:ascii="Calibri" w:hAnsi="Calibri"/>
          <w:outline w:val="0"/>
          <w:color w:val="000000"/>
          <w:u w:color="000000"/>
          <w:vertAlign w:val="superscript"/>
          <w:rtl w:val="0"/>
          <w:lang w:val="en-US"/>
          <w14:textFill>
            <w14:solidFill>
              <w14:srgbClr w14:val="000000"/>
            </w14:solidFill>
          </w14:textFill>
        </w:rPr>
        <w:t>2</w:t>
      </w:r>
      <w:r>
        <w:rPr>
          <w:rFonts w:ascii="Calibri" w:hAnsi="Calibri"/>
          <w:outline w:val="0"/>
          <w:color w:val="000000"/>
          <w:u w:color="000000"/>
          <w:rtl w:val="0"/>
          <w:lang w:val="en-US"/>
          <w14:textFill>
            <w14:solidFill>
              <w14:srgbClr w14:val="000000"/>
            </w14:solidFill>
          </w14:textFill>
        </w:rPr>
        <w:t xml:space="preserve"> 1.38 (Ars., 7</w:t>
      </w:r>
      <w:r>
        <w:rPr>
          <w:rFonts w:ascii="Calibri" w:hAnsi="Calibri"/>
          <w:outline w:val="0"/>
          <w:color w:val="000000"/>
          <w:u w:color="000000"/>
          <w:vertAlign w:val="superscript"/>
          <w:rtl w:val="0"/>
          <w:lang w:val="en-US"/>
          <w14:textFill>
            <w14:solidFill>
              <w14:srgbClr w14:val="000000"/>
            </w14:solidFill>
          </w14:textFill>
        </w:rPr>
        <w:t>th</w:t>
      </w:r>
      <w:r>
        <w:rPr>
          <w:rFonts w:ascii="Calibri" w:hAnsi="Calibri"/>
          <w:outline w:val="0"/>
          <w:color w:val="000000"/>
          <w:u w:color="000000"/>
          <w:rtl w:val="0"/>
          <w:lang w:val="en-US"/>
          <w14:textFill>
            <w14:solidFill>
              <w14:srgbClr w14:val="000000"/>
            </w14:solidFill>
          </w14:textFill>
        </w:rPr>
        <w:t xml:space="preserve"> c.) with Sven Tost</w:t>
      </w:r>
      <w:r>
        <w:rPr>
          <w:rFonts w:ascii="Calibri" w:hAnsi="Calibri" w:hint="default"/>
          <w:outline w:val="0"/>
          <w:color w:val="000000"/>
          <w:u w:color="000000"/>
          <w:rtl w:val="0"/>
          <w:lang w:val="en-US"/>
          <w14:textFill>
            <w14:solidFill>
              <w14:srgbClr w14:val="000000"/>
            </w14:solidFill>
          </w14:textFill>
        </w:rPr>
        <w:t>’</w:t>
      </w:r>
      <w:r>
        <w:rPr>
          <w:rFonts w:ascii="Calibri" w:hAnsi="Calibri"/>
          <w:outline w:val="0"/>
          <w:color w:val="000000"/>
          <w:u w:color="000000"/>
          <w:rtl w:val="0"/>
          <w:lang w:val="en-US"/>
          <w14:textFill>
            <w14:solidFill>
              <w14:srgbClr w14:val="000000"/>
            </w14:solidFill>
          </w14:textFill>
        </w:rPr>
        <w:t>s discussion at p. 122.</w:t>
      </w:r>
    </w:p>
  </w:footnote>
  <w:footnote w:id="18">
    <w:p>
      <w:pPr>
        <w:pStyle w:val="footnote text"/>
      </w:pPr>
      <w:r>
        <w:rPr>
          <w:vertAlign w:val="superscript"/>
        </w:rPr>
        <w:footnoteRef/>
      </w:r>
      <w:r>
        <w:rPr>
          <w:rFonts w:cs="Arial Unicode MS" w:eastAsia="Arial Unicode MS"/>
          <w:rtl w:val="0"/>
          <w:lang w:val="en-US"/>
        </w:rPr>
        <w:t xml:space="preserve"> On leasing in monasteries and by monks, see Richter 2009a.</w:t>
      </w:r>
    </w:p>
  </w:footnote>
  <w:footnote w:id="19">
    <w:p>
      <w:pPr>
        <w:pStyle w:val="footnote text"/>
      </w:pPr>
      <w:r>
        <w:rPr>
          <w:vertAlign w:val="superscript"/>
          <w:lang w:val="en-US"/>
        </w:rPr>
        <w:footnoteRef/>
      </w:r>
      <w:r>
        <w:rPr>
          <w:rtl w:val="0"/>
          <w:lang w:val="en-US"/>
        </w:rPr>
        <w:t xml:space="preserve"> See for example Rabin 2015 or Nehring et al. 2021.</w:t>
      </w:r>
    </w:p>
  </w:footnote>
  <w:footnote w:id="20">
    <w:p>
      <w:pPr>
        <w:pStyle w:val="footnote text"/>
      </w:pPr>
      <w:r>
        <w:rPr>
          <w:vertAlign w:val="superscript"/>
          <w:lang w:val="it-IT"/>
        </w:rPr>
        <w:footnoteRef/>
      </w:r>
      <w:r>
        <w:rPr>
          <w:rtl w:val="0"/>
          <w:lang w:val="it-IT"/>
        </w:rPr>
        <w:t xml:space="preserve"> Ghigo et al. 2020.</w:t>
      </w:r>
    </w:p>
  </w:footnote>
  <w:footnote w:id="21">
    <w:p>
      <w:pPr>
        <w:pStyle w:val="footnote text"/>
      </w:pPr>
      <w:r>
        <w:rPr>
          <w:vertAlign w:val="superscript"/>
          <w:lang w:val="it-IT"/>
        </w:rPr>
        <w:footnoteRef/>
      </w:r>
      <w:r>
        <w:rPr>
          <w:rtl w:val="0"/>
          <w:lang w:val="it-IT"/>
        </w:rPr>
        <w:t xml:space="preserve"> Rabin 2015.</w:t>
      </w:r>
    </w:p>
  </w:footnote>
  <w:footnote w:id="22">
    <w:p>
      <w:pPr>
        <w:pStyle w:val="footnote text"/>
      </w:pPr>
      <w:r>
        <w:rPr>
          <w:vertAlign w:val="superscript"/>
          <w:lang w:val="it-IT"/>
        </w:rPr>
        <w:footnoteRef/>
      </w:r>
      <w:r>
        <w:rPr>
          <w:rtl w:val="0"/>
          <w:lang w:val="it-IT"/>
        </w:rPr>
        <w:t xml:space="preserve"> Colini et al. 2018.</w:t>
      </w:r>
    </w:p>
  </w:footnote>
  <w:footnote w:id="23">
    <w:p>
      <w:pPr>
        <w:pStyle w:val="footnote text"/>
      </w:pPr>
      <w:r>
        <w:rPr>
          <w:vertAlign w:val="superscript"/>
          <w:lang w:val="en-US"/>
        </w:rPr>
        <w:footnoteRef/>
      </w:r>
      <w:r>
        <w:rPr>
          <w:rtl w:val="0"/>
          <w:lang w:val="en-US"/>
        </w:rPr>
        <w:t xml:space="preserve"> Steemers 2000.</w:t>
      </w:r>
    </w:p>
  </w:footnote>
  <w:footnote w:id="24">
    <w:p>
      <w:pPr>
        <w:pStyle w:val="footnote text"/>
      </w:pPr>
      <w:r>
        <w:rPr>
          <w:vertAlign w:val="superscript"/>
        </w:rPr>
        <w:footnoteRef/>
      </w:r>
      <w:r>
        <w:rPr>
          <w:rtl w:val="0"/>
          <w:lang w:val="en-US"/>
        </w:rPr>
        <w:t xml:space="preserve"> The exact position, relative intensity and width of these bands varies depending on several factors such as experimental conditions, crystallite size, the presence of impurities etc. For detailed discussion see </w:t>
      </w:r>
      <w:r>
        <w:rPr>
          <w:rtl w:val="0"/>
          <w:lang w:val="en-US"/>
        </w:rPr>
        <w:t>Coccato et al. 2015.</w:t>
      </w:r>
    </w:p>
  </w:footnote>
  <w:footnote w:id="25">
    <w:p>
      <w:pPr>
        <w:pStyle w:val="footnote text"/>
      </w:pPr>
      <w:r>
        <w:rPr>
          <w:rFonts w:ascii="Calibri" w:cs="Calibri" w:hAnsi="Calibri" w:eastAsia="Calibri"/>
          <w:vertAlign w:val="superscript"/>
          <w:lang w:val="en-US"/>
        </w:rPr>
        <w:footnoteRef/>
      </w:r>
      <w:r>
        <w:rPr>
          <w:rtl w:val="0"/>
          <w:lang w:val="en-US"/>
        </w:rPr>
        <w:t xml:space="preserve"> Hahn et al. 2021.</w:t>
      </w:r>
    </w:p>
  </w:footnote>
  <w:footnote w:id="26">
    <w:p>
      <w:pPr>
        <w:pStyle w:val="footnote text"/>
      </w:pPr>
      <w:r>
        <w:rPr>
          <w:rFonts w:ascii="Calibri" w:cs="Calibri" w:hAnsi="Calibri" w:eastAsia="Calibri"/>
          <w:vertAlign w:val="superscript"/>
          <w:lang w:val="fr-FR"/>
        </w:rPr>
        <w:footnoteRef/>
      </w:r>
      <w:r>
        <w:rPr>
          <w:rtl w:val="0"/>
          <w:lang w:val="fr-FR"/>
        </w:rPr>
        <w:t xml:space="preserve"> Karpenko et Norris 2002.</w:t>
      </w:r>
    </w:p>
  </w:footnote>
  <w:footnote w:id="27">
    <w:p>
      <w:pPr>
        <w:pStyle w:val="footnote text"/>
      </w:pPr>
      <w:r>
        <w:rPr>
          <w:vertAlign w:val="superscript"/>
          <w:lang w:val="fr-FR"/>
        </w:rPr>
        <w:footnoteRef/>
      </w:r>
      <w:r>
        <w:rPr>
          <w:rtl w:val="0"/>
          <w:lang w:val="fr-FR"/>
        </w:rPr>
        <w:t xml:space="preserve"> Rabin et al. 2019, Ghigo et al. 2020, Maltomini et al. 2021.</w:t>
      </w:r>
    </w:p>
  </w:footnote>
  <w:footnote w:id="28">
    <w:p>
      <w:pPr>
        <w:pStyle w:val="footnote text"/>
      </w:pPr>
      <w:r>
        <w:rPr>
          <w:vertAlign w:val="superscript"/>
        </w:rPr>
        <w:footnoteRef/>
      </w:r>
      <w:r>
        <w:rPr>
          <w:rtl w:val="0"/>
          <w:lang w:val="en-US"/>
        </w:rPr>
        <w:t xml:space="preserve"> It is only around 900 CE with the classification made by Muhammad ibn Zakkar</w:t>
      </w:r>
      <w:r>
        <w:rPr>
          <w:rFonts w:ascii="IFAO-Grec Unicode" w:hAnsi="IFAO-Grec Unicode" w:hint="default"/>
          <w:rtl w:val="0"/>
          <w:lang w:val="en-US"/>
        </w:rPr>
        <w:t>ī</w:t>
      </w:r>
      <w:r>
        <w:rPr>
          <w:rtl w:val="0"/>
          <w:lang w:val="en-US"/>
        </w:rPr>
        <w:t>ja ar-R</w:t>
      </w:r>
      <w:r>
        <w:rPr>
          <w:rFonts w:ascii="IFAO-Grec Unicode" w:hAnsi="IFAO-Grec Unicode" w:hint="default"/>
          <w:rtl w:val="0"/>
          <w:lang w:val="en-US"/>
        </w:rPr>
        <w:t>ā</w:t>
      </w:r>
      <w:r>
        <w:rPr>
          <w:rtl w:val="0"/>
          <w:lang w:val="en-US"/>
        </w:rPr>
        <w:t>z</w:t>
      </w:r>
      <w:r>
        <w:rPr>
          <w:rFonts w:ascii="IFAO-Grec Unicode" w:hAnsi="IFAO-Grec Unicode" w:hint="default"/>
          <w:rtl w:val="0"/>
          <w:lang w:val="en-US"/>
        </w:rPr>
        <w:t>ī</w:t>
      </w:r>
      <w:r>
        <w:rPr>
          <w:rtl w:val="0"/>
          <w:lang w:val="en-US"/>
        </w:rPr>
        <w:t xml:space="preserve"> that the difference between </w:t>
      </w:r>
      <w:r>
        <w:rPr>
          <w:rtl w:val="0"/>
          <w:lang w:val="en-US"/>
        </w:rPr>
        <w:t>“</w:t>
      </w:r>
      <w:r>
        <w:rPr>
          <w:rtl w:val="0"/>
          <w:lang w:val="en-US"/>
        </w:rPr>
        <w:t>green vitriol</w:t>
      </w:r>
      <w:r>
        <w:rPr>
          <w:rtl w:val="0"/>
          <w:lang w:val="en-US"/>
        </w:rPr>
        <w:t xml:space="preserve">” </w:t>
      </w:r>
      <w:r>
        <w:rPr>
          <w:rtl w:val="0"/>
          <w:lang w:val="en-US"/>
        </w:rPr>
        <w:t xml:space="preserve">and </w:t>
      </w:r>
      <w:r>
        <w:rPr>
          <w:rtl w:val="0"/>
          <w:lang w:val="en-US"/>
        </w:rPr>
        <w:t>“</w:t>
      </w:r>
      <w:r>
        <w:rPr>
          <w:rtl w:val="0"/>
          <w:lang w:val="en-US"/>
        </w:rPr>
        <w:t>blue vitriol</w:t>
      </w:r>
      <w:r>
        <w:rPr>
          <w:rtl w:val="0"/>
          <w:lang w:val="en-US"/>
        </w:rPr>
        <w:t xml:space="preserve">” </w:t>
      </w:r>
      <w:r>
        <w:rPr>
          <w:rtl w:val="0"/>
          <w:lang w:val="en-US"/>
        </w:rPr>
        <w:t>became clear (</w:t>
      </w:r>
      <w:r>
        <w:rPr>
          <w:rStyle w:val="Hyperlink.0"/>
        </w:rPr>
        <w:fldChar w:fldCharType="begin" w:fldLock="0"/>
      </w:r>
      <w:r>
        <w:rPr>
          <w:rStyle w:val="Hyperlink.0"/>
        </w:rPr>
        <w:instrText xml:space="preserve"> HYPERLINK "https://papyri.info/biblio/96362"</w:instrText>
      </w:r>
      <w:r>
        <w:rPr>
          <w:rStyle w:val="Hyperlink.0"/>
        </w:rPr>
        <w:fldChar w:fldCharType="separate" w:fldLock="0"/>
      </w:r>
      <w:r>
        <w:rPr>
          <w:rStyle w:val="Hyperlink.0"/>
          <w:rtl w:val="0"/>
          <w:lang w:val="en-US"/>
        </w:rPr>
        <w:t>Karpenko and Norris 2002</w:t>
      </w:r>
      <w:r>
        <w:rPr/>
        <w:fldChar w:fldCharType="end" w:fldLock="0"/>
      </w:r>
      <w:r>
        <w:rPr>
          <w:rtl w:val="0"/>
          <w:lang w:val="en-US"/>
        </w:rPr>
        <w:t>).</w:t>
      </w:r>
    </w:p>
  </w:footnote>
  <w:footnote w:id="29">
    <w:p>
      <w:pPr>
        <w:pStyle w:val="footnote text"/>
        <w:ind w:firstLine="0"/>
      </w:pPr>
      <w:r>
        <w:rPr>
          <w:vertAlign w:val="superscript"/>
        </w:rPr>
        <w:footnoteRef/>
      </w:r>
      <w:r>
        <w:rPr>
          <w:rtl w:val="0"/>
          <w:lang w:val="en-US"/>
        </w:rPr>
        <w:t xml:space="preserve"> </w:t>
      </w:r>
      <w:r>
        <w:rPr>
          <w:rStyle w:val="Hyperlink.0"/>
        </w:rPr>
        <w:fldChar w:fldCharType="begin" w:fldLock="0"/>
      </w:r>
      <w:r>
        <w:rPr>
          <w:rStyle w:val="Hyperlink.0"/>
        </w:rPr>
        <w:instrText xml:space="preserve"> HYPERLINK "https://papyri.info/biblio/96361"</w:instrText>
      </w:r>
      <w:r>
        <w:rPr>
          <w:rStyle w:val="Hyperlink.0"/>
        </w:rPr>
        <w:fldChar w:fldCharType="separate" w:fldLock="0"/>
      </w:r>
      <w:r>
        <w:rPr>
          <w:rStyle w:val="Hyperlink.0"/>
          <w:rtl w:val="0"/>
          <w:lang w:val="en-US"/>
        </w:rPr>
        <w:t>Ghigo and Albarr</w:t>
      </w:r>
      <w:r>
        <w:rPr>
          <w:rStyle w:val="Hyperlink.0"/>
          <w:rtl w:val="0"/>
        </w:rPr>
        <w:t>á</w:t>
      </w:r>
      <w:r>
        <w:rPr>
          <w:rStyle w:val="Hyperlink.0"/>
          <w:rtl w:val="0"/>
          <w:lang w:val="fr-FR"/>
        </w:rPr>
        <w:t>n Mart</w:t>
      </w:r>
      <w:r>
        <w:rPr>
          <w:rStyle w:val="Hyperlink.0"/>
          <w:rtl w:val="0"/>
        </w:rPr>
        <w:t>í</w:t>
      </w:r>
      <w:r>
        <w:rPr>
          <w:rStyle w:val="Hyperlink.0"/>
          <w:rtl w:val="0"/>
        </w:rPr>
        <w:t>nez 2021</w:t>
      </w:r>
      <w:r>
        <w:rPr/>
        <w:fldChar w:fldCharType="end" w:fldLock="0"/>
      </w:r>
      <w:r>
        <w:rPr>
          <w:rtl w:val="0"/>
          <w:lang w:val="fr-FR"/>
        </w:rPr>
        <w: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6568"/>
        <w:tab w:val="clear" w:pos="6577"/>
      </w:tabs>
    </w:pPr>
    <w:r>
      <w:tab/>
      <w:tab/>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3289"/>
        <w:tab w:val="right" w:pos="6577"/>
      </w:tabs>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de-DE"/>
      <w14:textOutline>
        <w14:noFill/>
      </w14:textOutline>
      <w14:textFill>
        <w14:solidFill>
          <w14:srgbClr w14:val="000000"/>
        </w14:solidFill>
      </w14:textFill>
    </w:rPr>
  </w:style>
  <w:style w:type="paragraph" w:styleId="APF-Z Abstract_Keywords">
    <w:name w:val="APF-Z Abstract_Keywords"/>
    <w:next w:val="APF-Z Abstract_Keywords"/>
    <w:pPr>
      <w:keepNext w:val="0"/>
      <w:keepLines w:val="0"/>
      <w:pageBreakBefore w:val="0"/>
      <w:widowControl w:val="1"/>
      <w:shd w:val="clear" w:color="auto" w:fill="auto"/>
      <w:tabs>
        <w:tab w:val="left" w:pos="227"/>
      </w:tabs>
      <w:suppressAutoHyphens w:val="0"/>
      <w:bidi w:val="0"/>
      <w:spacing w:before="220" w:after="220" w:line="22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Normal.0">
    <w:name w:val="Normal"/>
    <w:next w:val="Normal.0"/>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note text">
    <w:name w:val="footnote text"/>
    <w:next w:val="footnote text"/>
    <w:pPr>
      <w:keepNext w:val="0"/>
      <w:keepLines w:val="0"/>
      <w:pageBreakBefore w:val="0"/>
      <w:widowControl w:val="1"/>
      <w:shd w:val="clear" w:color="auto" w:fill="auto"/>
      <w:suppressAutoHyphens w:val="0"/>
      <w:bidi w:val="0"/>
      <w:spacing w:before="0" w:after="0" w:line="220" w:lineRule="exact"/>
      <w:ind w:left="0" w:right="0" w:firstLine="227"/>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0"/>
      <w:szCs w:val="20"/>
      <w:u w:val="none"/>
      <w:shd w:val="nil" w:color="auto" w:fill="auto"/>
      <w:vertAlign w:val="baseline"/>
      <w:lang w:val="de-DE"/>
      <w14:textOutline>
        <w14:noFill/>
      </w14:textOutline>
      <w14:textFill>
        <w14:solidFill>
          <w14:srgbClr w14:val="000000"/>
        </w14:solidFill>
      </w14:textFill>
    </w:rPr>
  </w:style>
  <w:style w:type="character" w:styleId="Hyperlink.0">
    <w:name w:val="Hyperlink.0"/>
    <w:basedOn w:val="Hyperlink"/>
    <w:next w:val="Hyperlink.0"/>
    <w:rPr>
      <w:outline w:val="0"/>
      <w:color w:val="0000ff"/>
      <w:u w:val="single" w:color="0000ff"/>
      <w14:textFill>
        <w14:solidFill>
          <w14:srgbClr w14:val="0000FF"/>
        </w14:solidFill>
      </w14:textFill>
    </w:rPr>
  </w:style>
  <w:style w:type="paragraph" w:styleId="APF-Z Text D LZ">
    <w:name w:val="APF-Z Text D LZ"/>
    <w:next w:val="APF-Z Text D LZ"/>
    <w:pPr>
      <w:keepNext w:val="0"/>
      <w:keepLines w:val="0"/>
      <w:pageBreakBefore w:val="0"/>
      <w:widowControl w:val="1"/>
      <w:shd w:val="clear" w:color="auto" w:fill="auto"/>
      <w:tabs>
        <w:tab w:val="left" w:pos="227"/>
      </w:tabs>
      <w:suppressAutoHyphens w:val="0"/>
      <w:bidi w:val="0"/>
      <w:spacing w:before="260" w:after="0" w:line="260" w:lineRule="exact"/>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otnotes" Target="footnotes.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