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Times New Roman" w:cs="Times New Roman" w:hAnsi="Times New Roman" w:eastAsia="Times New Roman"/>
          <w:lang w:val="de-DE"/>
        </w:rPr>
      </w:pPr>
      <w:r>
        <w:rPr>
          <w:rFonts w:ascii="Times New Roman" w:hAnsi="Times New Roman"/>
          <w:rtl w:val="0"/>
          <w:lang w:val="de-DE"/>
        </w:rPr>
        <w:t>#articleTitle</w:t>
      </w:r>
    </w:p>
    <w:p>
      <w:pPr>
        <w:pStyle w:val="Body"/>
        <w:bidi w:val="0"/>
        <w:rPr>
          <w:rFonts w:ascii="Times New Roman" w:cs="Times New Roman" w:hAnsi="Times New Roman" w:eastAsia="Times New Roman"/>
          <w:b w:val="1"/>
          <w:bCs w:val="1"/>
          <w:lang w:val="de-DE"/>
        </w:rPr>
      </w:pPr>
      <w:r>
        <w:rPr>
          <w:rFonts w:ascii="Times New Roman" w:hAnsi="Times New Roman"/>
          <w:rtl w:val="0"/>
          <w:lang w:val="de-DE"/>
        </w:rPr>
        <w:t xml:space="preserve">P.DimeData 34v </w:t>
      </w:r>
      <w:r>
        <w:rPr>
          <w:rFonts w:ascii="Times New Roman" w:hAnsi="Times New Roman" w:hint="default"/>
          <w:rtl w:val="0"/>
          <w:lang w:val="de-DE"/>
        </w:rPr>
        <w:t xml:space="preserve">– </w:t>
      </w:r>
      <w:r>
        <w:rPr>
          <w:rFonts w:ascii="Times New Roman" w:hAnsi="Times New Roman"/>
          <w:rtl w:val="0"/>
          <w:lang w:val="de-DE"/>
        </w:rPr>
        <w:t>Eine griechische Privatabrechnung aus Soknopaiu Nesos mit neuen Belegen f</w:t>
      </w:r>
      <w:r>
        <w:rPr>
          <w:rFonts w:ascii="Times New Roman" w:hAnsi="Times New Roman" w:hint="default"/>
          <w:rtl w:val="0"/>
          <w:lang w:val="de-DE"/>
        </w:rPr>
        <w:t>ü</w:t>
      </w:r>
      <w:r>
        <w:rPr>
          <w:rFonts w:ascii="Times New Roman" w:hAnsi="Times New Roman"/>
          <w:rtl w:val="0"/>
          <w:lang w:val="de-DE"/>
        </w:rPr>
        <w:t xml:space="preserve">r den Ortsnamen Halmyra </w:t>
      </w:r>
    </w:p>
    <w:p>
      <w:pPr>
        <w:pStyle w:val="Normal.0"/>
        <w:rPr>
          <w:rFonts w:ascii="Times New Roman" w:cs="Times New Roman" w:hAnsi="Times New Roman" w:eastAsia="Times New Roman"/>
          <w:b w:val="1"/>
          <w:bCs w:val="1"/>
          <w:lang w:val="de-DE"/>
        </w:rPr>
      </w:pPr>
    </w:p>
    <w:p>
      <w:pPr>
        <w:pStyle w:val="Normal.0"/>
        <w:rPr>
          <w:rFonts w:ascii="Times New Roman" w:cs="Times New Roman" w:hAnsi="Times New Roman" w:eastAsia="Times New Roman"/>
          <w:lang w:val="de-DE"/>
        </w:rPr>
      </w:pPr>
      <w:r>
        <w:rPr>
          <w:rFonts w:ascii="Times New Roman" w:hAnsi="Times New Roman"/>
          <w:rtl w:val="0"/>
          <w:lang w:val="de-DE"/>
        </w:rPr>
        <w:t>#author</w:t>
      </w:r>
    </w:p>
    <w:p>
      <w:pPr>
        <w:pStyle w:val="Body"/>
        <w:bidi w:val="0"/>
        <w:rPr>
          <w:rFonts w:ascii="Times New Roman" w:cs="Times New Roman" w:hAnsi="Times New Roman" w:eastAsia="Times New Roman"/>
          <w:lang w:val="de-DE"/>
        </w:rPr>
      </w:pPr>
      <w:r>
        <w:rPr>
          <w:rFonts w:ascii="Times New Roman" w:hAnsi="Times New Roman"/>
          <w:rtl w:val="0"/>
          <w:lang w:val="de-DE"/>
        </w:rPr>
        <w:t>Moser</w:t>
      </w:r>
      <w:r>
        <w:rPr>
          <w:rFonts w:ascii="Times New Roman" w:hAnsi="Times New Roman"/>
          <w:rtl w:val="0"/>
          <w:lang w:val="de-DE"/>
        </w:rPr>
        <w:t xml:space="preserve">, </w:t>
      </w:r>
      <w:r>
        <w:rPr>
          <w:rFonts w:ascii="Times New Roman" w:hAnsi="Times New Roman"/>
          <w:rtl w:val="0"/>
          <w:lang w:val="de-DE"/>
        </w:rPr>
        <w:t>Marcel</w:t>
      </w:r>
    </w:p>
    <w:p>
      <w:pPr>
        <w:pStyle w:val="Normal.0"/>
        <w:rPr>
          <w:rFonts w:ascii="Times New Roman" w:cs="Times New Roman" w:hAnsi="Times New Roman" w:eastAsia="Times New Roman"/>
          <w:lang w:val="de-DE"/>
        </w:rPr>
      </w:pPr>
      <w:r>
        <w:rPr>
          <w:rFonts w:ascii="Times New Roman" w:hAnsi="Times New Roman"/>
          <w:rtl w:val="0"/>
          <w:lang w:val="de-DE"/>
        </w:rPr>
        <w:t>#affiliation</w:t>
      </w:r>
    </w:p>
    <w:p>
      <w:pPr>
        <w:pStyle w:val="Normal.0"/>
        <w:rPr>
          <w:rFonts w:ascii="Times New Roman" w:cs="Times New Roman" w:hAnsi="Times New Roman" w:eastAsia="Times New Roman"/>
          <w:lang w:val="de-DE"/>
        </w:rPr>
      </w:pPr>
      <w:r>
        <w:rPr>
          <w:rFonts w:ascii="Times New Roman" w:hAnsi="Times New Roman"/>
          <w:rtl w:val="0"/>
          <w:lang w:val="de-DE"/>
        </w:rPr>
        <w:t>Universit</w:t>
      </w:r>
      <w:r>
        <w:rPr>
          <w:rFonts w:ascii="Times New Roman" w:hAnsi="Times New Roman" w:hint="default"/>
          <w:rtl w:val="0"/>
          <w:lang w:val="de-DE"/>
        </w:rPr>
        <w:t>ä</w:t>
      </w:r>
      <w:r>
        <w:rPr>
          <w:rFonts w:ascii="Times New Roman" w:hAnsi="Times New Roman"/>
          <w:rtl w:val="0"/>
          <w:lang w:val="de-DE"/>
        </w:rPr>
        <w:t>t W</w:t>
      </w:r>
      <w:r>
        <w:rPr>
          <w:rFonts w:ascii="Times New Roman" w:hAnsi="Times New Roman" w:hint="default"/>
          <w:rtl w:val="0"/>
          <w:lang w:val="de-DE"/>
        </w:rPr>
        <w:t>ü</w:t>
      </w:r>
      <w:r>
        <w:rPr>
          <w:rFonts w:ascii="Times New Roman" w:hAnsi="Times New Roman"/>
          <w:rtl w:val="0"/>
          <w:lang w:val="de-DE"/>
        </w:rPr>
        <w:t>rzburg</w:t>
      </w:r>
    </w:p>
    <w:p>
      <w:pPr>
        <w:pStyle w:val="Normal.0"/>
        <w:rPr>
          <w:rFonts w:ascii="Times New Roman" w:cs="Times New Roman" w:hAnsi="Times New Roman" w:eastAsia="Times New Roman"/>
          <w:lang w:val="de-DE"/>
        </w:rPr>
      </w:pPr>
      <w:r>
        <w:rPr>
          <w:rFonts w:ascii="Times New Roman" w:hAnsi="Times New Roman"/>
          <w:rtl w:val="0"/>
          <w:lang w:val="de-DE"/>
        </w:rPr>
        <w:t>#email</w:t>
      </w:r>
    </w:p>
    <w:p>
      <w:pPr>
        <w:pStyle w:val="Normal.0"/>
        <w:rPr>
          <w:rFonts w:ascii="Times New Roman" w:cs="Times New Roman" w:hAnsi="Times New Roman" w:eastAsia="Times New Roman"/>
          <w:lang w:val="de-DE"/>
        </w:rPr>
      </w:pPr>
      <w:r>
        <w:rPr>
          <w:rFonts w:ascii="Times New Roman" w:hAnsi="Times New Roman"/>
          <w:rtl w:val="0"/>
          <w:lang w:val="de-DE"/>
        </w:rPr>
        <w:t>marcel.moser@uni-wuerzburg.de</w:t>
      </w:r>
    </w:p>
    <w:p>
      <w:pPr>
        <w:pStyle w:val="Normal.0"/>
        <w:rPr>
          <w:rFonts w:ascii="Times New Roman" w:cs="Times New Roman" w:hAnsi="Times New Roman" w:eastAsia="Times New Roman"/>
          <w:lang w:val="de-DE"/>
        </w:rPr>
      </w:pPr>
    </w:p>
    <w:p>
      <w:pPr>
        <w:pStyle w:val="Normal.0"/>
        <w:rPr>
          <w:lang w:val="de-DE"/>
        </w:rPr>
      </w:pPr>
    </w:p>
    <w:p>
      <w:pPr>
        <w:pStyle w:val="Normal.0"/>
        <w:spacing w:line="276" w:lineRule="auto"/>
        <w:jc w:val="both"/>
        <w:rPr>
          <w:rFonts w:ascii="Times New Roman" w:cs="Times New Roman" w:hAnsi="Times New Roman" w:eastAsia="Times New Roman"/>
          <w:lang w:val="de-DE"/>
        </w:rPr>
      </w:pPr>
      <w:r>
        <w:rPr>
          <w:rFonts w:ascii="Times New Roman" w:hAnsi="Times New Roman"/>
          <w:rtl w:val="0"/>
          <w:lang w:val="de-DE"/>
        </w:rPr>
        <w:t>#acknowledgement</w:t>
      </w:r>
    </w:p>
    <w:p>
      <w:pPr>
        <w:pStyle w:val="Normal.0"/>
        <w:rPr>
          <w:rFonts w:ascii="Times New Roman" w:cs="Times New Roman" w:hAnsi="Times New Roman" w:eastAsia="Times New Roman"/>
          <w:i w:val="1"/>
          <w:iCs w:val="1"/>
          <w:sz w:val="22"/>
          <w:szCs w:val="22"/>
          <w:lang w:val="de-DE"/>
        </w:rPr>
      </w:pPr>
      <w:r>
        <w:rPr>
          <w:rFonts w:ascii="Times New Roman" w:hAnsi="Times New Roman"/>
          <w:i w:val="1"/>
          <w:iCs w:val="1"/>
          <w:sz w:val="22"/>
          <w:szCs w:val="22"/>
          <w:rtl w:val="0"/>
          <w:lang w:val="de-DE"/>
        </w:rPr>
        <w:t>Die vorliegende Edition war Teil meiner Master-Thesis an der Julius-Maximilians Universit</w:t>
      </w:r>
      <w:r>
        <w:rPr>
          <w:rFonts w:ascii="Times New Roman" w:hAnsi="Times New Roman" w:hint="default"/>
          <w:i w:val="1"/>
          <w:iCs w:val="1"/>
          <w:sz w:val="22"/>
          <w:szCs w:val="22"/>
          <w:rtl w:val="0"/>
          <w:lang w:val="de-DE"/>
        </w:rPr>
        <w:t>ä</w:t>
      </w:r>
      <w:r>
        <w:rPr>
          <w:rFonts w:ascii="Times New Roman" w:hAnsi="Times New Roman"/>
          <w:i w:val="1"/>
          <w:iCs w:val="1"/>
          <w:sz w:val="22"/>
          <w:szCs w:val="22"/>
          <w:rtl w:val="0"/>
          <w:lang w:val="de-DE"/>
        </w:rPr>
        <w:t>t W</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 xml:space="preserve">rzburg, in der ich mich der </w:t>
      </w:r>
      <w:r>
        <w:rPr>
          <w:rFonts w:ascii="Times New Roman" w:hAnsi="Times New Roman"/>
          <w:sz w:val="22"/>
          <w:szCs w:val="22"/>
          <w:rtl w:val="0"/>
          <w:lang w:val="de-DE"/>
        </w:rPr>
        <w:t xml:space="preserve">editio princeps </w:t>
      </w:r>
      <w:r>
        <w:rPr>
          <w:rFonts w:ascii="Times New Roman" w:hAnsi="Times New Roman"/>
          <w:i w:val="1"/>
          <w:iCs w:val="1"/>
          <w:sz w:val="22"/>
          <w:szCs w:val="22"/>
          <w:rtl w:val="0"/>
          <w:lang w:val="de-DE"/>
        </w:rPr>
        <w:t>beider Seiten</w:t>
      </w:r>
      <w:r>
        <w:rPr>
          <w:rFonts w:ascii="Times New Roman" w:hAnsi="Times New Roman"/>
          <w:sz w:val="22"/>
          <w:szCs w:val="22"/>
          <w:rtl w:val="0"/>
          <w:lang w:val="de-DE"/>
        </w:rPr>
        <w:t xml:space="preserve"> </w:t>
      </w:r>
      <w:r>
        <w:rPr>
          <w:rFonts w:ascii="Times New Roman" w:hAnsi="Times New Roman"/>
          <w:i w:val="1"/>
          <w:iCs w:val="1"/>
          <w:sz w:val="22"/>
          <w:szCs w:val="22"/>
          <w:rtl w:val="0"/>
          <w:lang w:val="de-DE"/>
        </w:rPr>
        <w:t xml:space="preserve">des P.Vindob. D 6897 (= </w:t>
      </w:r>
      <w:r>
        <w:rPr>
          <w:rStyle w:val="Hyperlink.0"/>
          <w:rFonts w:ascii="Times New Roman" w:cs="Times New Roman" w:hAnsi="Times New Roman" w:eastAsia="Times New Roman"/>
          <w:i w:val="1"/>
          <w:iCs w:val="1"/>
          <w:sz w:val="22"/>
          <w:szCs w:val="22"/>
          <w:lang w:val="de-DE"/>
        </w:rPr>
        <w:fldChar w:fldCharType="begin" w:fldLock="0"/>
      </w:r>
      <w:r>
        <w:rPr>
          <w:rStyle w:val="Hyperlink.0"/>
          <w:rFonts w:ascii="Times New Roman" w:cs="Times New Roman" w:hAnsi="Times New Roman" w:eastAsia="Times New Roman"/>
          <w:i w:val="1"/>
          <w:iCs w:val="1"/>
          <w:sz w:val="22"/>
          <w:szCs w:val="22"/>
          <w:lang w:val="de-DE"/>
        </w:rPr>
        <w:instrText xml:space="preserve"> HYPERLINK "http://dimedata.huma-num.fr/documents/34"</w:instrText>
      </w:r>
      <w:r>
        <w:rPr>
          <w:rStyle w:val="Hyperlink.0"/>
          <w:rFonts w:ascii="Times New Roman" w:cs="Times New Roman" w:hAnsi="Times New Roman" w:eastAsia="Times New Roman"/>
          <w:i w:val="1"/>
          <w:iCs w:val="1"/>
          <w:sz w:val="22"/>
          <w:szCs w:val="22"/>
          <w:lang w:val="de-DE"/>
        </w:rPr>
        <w:fldChar w:fldCharType="separate" w:fldLock="0"/>
      </w:r>
      <w:r>
        <w:rPr>
          <w:rStyle w:val="Hyperlink.0"/>
          <w:rFonts w:ascii="Times New Roman" w:hAnsi="Times New Roman"/>
          <w:i w:val="1"/>
          <w:iCs w:val="1"/>
          <w:sz w:val="22"/>
          <w:szCs w:val="22"/>
          <w:rtl w:val="0"/>
          <w:lang w:val="de-DE"/>
        </w:rPr>
        <w:t>P.DimeData 34</w:t>
      </w:r>
      <w:r>
        <w:rPr>
          <w:lang w:val="de-DE"/>
        </w:rPr>
        <w:fldChar w:fldCharType="end" w:fldLock="0"/>
      </w:r>
      <w:r>
        <w:rPr>
          <w:rFonts w:ascii="Times New Roman" w:hAnsi="Times New Roman"/>
          <w:i w:val="1"/>
          <w:iCs w:val="1"/>
          <w:sz w:val="22"/>
          <w:szCs w:val="22"/>
          <w:rtl w:val="0"/>
          <w:lang w:val="de-DE"/>
        </w:rPr>
        <w:t>) gewidmet habe. Diese Arbeit entstand als Teil des deutsch-franz</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 xml:space="preserve">sischen Kooperationsprojekts </w:t>
      </w:r>
      <w:r>
        <w:rPr>
          <w:rStyle w:val="Hyperlink.0"/>
          <w:rFonts w:ascii="Times New Roman" w:cs="Times New Roman" w:hAnsi="Times New Roman" w:eastAsia="Times New Roman"/>
          <w:i w:val="1"/>
          <w:iCs w:val="1"/>
          <w:sz w:val="22"/>
          <w:szCs w:val="22"/>
          <w:lang w:val="de-DE"/>
        </w:rPr>
        <w:fldChar w:fldCharType="begin" w:fldLock="0"/>
      </w:r>
      <w:r>
        <w:rPr>
          <w:rStyle w:val="Hyperlink.0"/>
          <w:rFonts w:ascii="Times New Roman" w:cs="Times New Roman" w:hAnsi="Times New Roman" w:eastAsia="Times New Roman"/>
          <w:i w:val="1"/>
          <w:iCs w:val="1"/>
          <w:sz w:val="22"/>
          <w:szCs w:val="22"/>
          <w:lang w:val="de-DE"/>
        </w:rPr>
        <w:instrText xml:space="preserve"> HYPERLINK "https://dimedata.huma-num.fr"</w:instrText>
      </w:r>
      <w:r>
        <w:rPr>
          <w:rStyle w:val="Hyperlink.0"/>
          <w:rFonts w:ascii="Times New Roman" w:cs="Times New Roman" w:hAnsi="Times New Roman" w:eastAsia="Times New Roman"/>
          <w:i w:val="1"/>
          <w:iCs w:val="1"/>
          <w:sz w:val="22"/>
          <w:szCs w:val="22"/>
          <w:lang w:val="de-DE"/>
        </w:rPr>
        <w:fldChar w:fldCharType="separate" w:fldLock="0"/>
      </w:r>
      <w:r>
        <w:rPr>
          <w:rStyle w:val="Hyperlink.0"/>
          <w:rFonts w:ascii="Times New Roman" w:hAnsi="Times New Roman"/>
          <w:i w:val="1"/>
          <w:iCs w:val="1"/>
          <w:sz w:val="22"/>
          <w:szCs w:val="22"/>
          <w:rtl w:val="0"/>
          <w:lang w:val="de-DE"/>
        </w:rPr>
        <w:t>DimeData</w:t>
      </w:r>
      <w:r>
        <w:rPr>
          <w:lang w:val="de-DE"/>
        </w:rPr>
        <w:fldChar w:fldCharType="end" w:fldLock="0"/>
      </w:r>
      <w:r>
        <w:rPr>
          <w:rFonts w:ascii="Times New Roman" w:hAnsi="Times New Roman"/>
          <w:i w:val="1"/>
          <w:iCs w:val="1"/>
          <w:sz w:val="22"/>
          <w:szCs w:val="22"/>
          <w:rtl w:val="0"/>
          <w:lang w:val="de-DE"/>
        </w:rPr>
        <w:t xml:space="preserve"> (2018</w:t>
      </w:r>
      <w:r>
        <w:rPr>
          <w:rFonts w:ascii="Times New Roman" w:hAnsi="Times New Roman" w:hint="default"/>
          <w:i w:val="1"/>
          <w:iCs w:val="1"/>
          <w:sz w:val="22"/>
          <w:szCs w:val="22"/>
          <w:rtl w:val="0"/>
          <w:lang w:val="de-DE"/>
        </w:rPr>
        <w:t>–</w:t>
      </w:r>
      <w:r>
        <w:rPr>
          <w:rFonts w:ascii="Times New Roman" w:hAnsi="Times New Roman"/>
          <w:i w:val="1"/>
          <w:iCs w:val="1"/>
          <w:sz w:val="22"/>
          <w:szCs w:val="22"/>
          <w:rtl w:val="0"/>
          <w:lang w:val="de-DE"/>
        </w:rPr>
        <w:t>2022), dessen Projektdatenbank seit Anfang 2023 f</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 xml:space="preserve">r die </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ffentlichkeit zug</w:t>
      </w:r>
      <w:r>
        <w:rPr>
          <w:rFonts w:ascii="Times New Roman" w:hAnsi="Times New Roman" w:hint="default"/>
          <w:i w:val="1"/>
          <w:iCs w:val="1"/>
          <w:sz w:val="22"/>
          <w:szCs w:val="22"/>
          <w:rtl w:val="0"/>
          <w:lang w:val="de-DE"/>
        </w:rPr>
        <w:t>ä</w:t>
      </w:r>
      <w:r>
        <w:rPr>
          <w:rFonts w:ascii="Times New Roman" w:hAnsi="Times New Roman"/>
          <w:i w:val="1"/>
          <w:iCs w:val="1"/>
          <w:sz w:val="22"/>
          <w:szCs w:val="22"/>
          <w:rtl w:val="0"/>
          <w:lang w:val="de-DE"/>
        </w:rPr>
        <w:t>nglich ist. Die Datenbank umfasst aktuell die Online-Editionen 15 r</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merzeitlicher demotischer Abrechnungen aus dem Tempel von Soknopaiu Nesos (Stand: 08.05.2023) und wird auch in Zukunft regelm</w:t>
      </w:r>
      <w:r>
        <w:rPr>
          <w:rFonts w:ascii="Times New Roman" w:hAnsi="Times New Roman" w:hint="default"/>
          <w:i w:val="1"/>
          <w:iCs w:val="1"/>
          <w:sz w:val="22"/>
          <w:szCs w:val="22"/>
          <w:rtl w:val="0"/>
          <w:lang w:val="de-DE"/>
        </w:rPr>
        <w:t>äß</w:t>
      </w:r>
      <w:r>
        <w:rPr>
          <w:rFonts w:ascii="Times New Roman" w:hAnsi="Times New Roman"/>
          <w:i w:val="1"/>
          <w:iCs w:val="1"/>
          <w:sz w:val="22"/>
          <w:szCs w:val="22"/>
          <w:rtl w:val="0"/>
          <w:lang w:val="de-DE"/>
        </w:rPr>
        <w:t>ig aktualisiert und erweitert werden, auch um griechische Abrechnungen. Alle Editionen beinhalten eine kurze Einleitung mit den wichtigsten Informationen, ein eigenes Register, eine deutsche oder franz</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 xml:space="preserve">sische </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bersetzung, einen umfassenden Stellenkommentar sowie hochaufl</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 xml:space="preserve">sende Abbildungen der Papyri. </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 xml:space="preserve">berdies bietet die Datenbank ein </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 xml:space="preserve">bersichtliches </w:t>
      </w:r>
      <w:r>
        <w:rPr>
          <w:rStyle w:val="Hyperlink.0"/>
          <w:rFonts w:ascii="Times New Roman" w:cs="Times New Roman" w:hAnsi="Times New Roman" w:eastAsia="Times New Roman"/>
          <w:i w:val="1"/>
          <w:iCs w:val="1"/>
          <w:sz w:val="22"/>
          <w:szCs w:val="22"/>
          <w:lang w:val="de-DE"/>
        </w:rPr>
        <w:fldChar w:fldCharType="begin" w:fldLock="0"/>
      </w:r>
      <w:r>
        <w:rPr>
          <w:rStyle w:val="Hyperlink.0"/>
          <w:rFonts w:ascii="Times New Roman" w:cs="Times New Roman" w:hAnsi="Times New Roman" w:eastAsia="Times New Roman"/>
          <w:i w:val="1"/>
          <w:iCs w:val="1"/>
          <w:sz w:val="22"/>
          <w:szCs w:val="22"/>
          <w:lang w:val="de-DE"/>
        </w:rPr>
        <w:instrText xml:space="preserve"> HYPERLINK "https://dimedata.huma-num.fr/indices.htm"</w:instrText>
      </w:r>
      <w:r>
        <w:rPr>
          <w:rStyle w:val="Hyperlink.0"/>
          <w:rFonts w:ascii="Times New Roman" w:cs="Times New Roman" w:hAnsi="Times New Roman" w:eastAsia="Times New Roman"/>
          <w:i w:val="1"/>
          <w:iCs w:val="1"/>
          <w:sz w:val="22"/>
          <w:szCs w:val="22"/>
          <w:lang w:val="de-DE"/>
        </w:rPr>
        <w:fldChar w:fldCharType="separate" w:fldLock="0"/>
      </w:r>
      <w:r>
        <w:rPr>
          <w:rStyle w:val="Hyperlink.0"/>
          <w:rFonts w:ascii="Times New Roman" w:hAnsi="Times New Roman"/>
          <w:i w:val="1"/>
          <w:iCs w:val="1"/>
          <w:sz w:val="22"/>
          <w:szCs w:val="22"/>
          <w:rtl w:val="0"/>
          <w:lang w:val="de-DE"/>
        </w:rPr>
        <w:t>Gesamtregister</w:t>
      </w:r>
      <w:r>
        <w:rPr>
          <w:lang w:val="de-DE"/>
        </w:rPr>
        <w:fldChar w:fldCharType="end" w:fldLock="0"/>
      </w:r>
      <w:r>
        <w:rPr>
          <w:rFonts w:ascii="Times New Roman" w:hAnsi="Times New Roman"/>
          <w:i w:val="1"/>
          <w:iCs w:val="1"/>
          <w:sz w:val="22"/>
          <w:szCs w:val="22"/>
          <w:rtl w:val="0"/>
          <w:lang w:val="de-DE"/>
        </w:rPr>
        <w:t xml:space="preserve"> sowie Erkl</w:t>
      </w:r>
      <w:r>
        <w:rPr>
          <w:rFonts w:ascii="Times New Roman" w:hAnsi="Times New Roman" w:hint="default"/>
          <w:i w:val="1"/>
          <w:iCs w:val="1"/>
          <w:sz w:val="22"/>
          <w:szCs w:val="22"/>
          <w:rtl w:val="0"/>
          <w:lang w:val="de-DE"/>
        </w:rPr>
        <w:t>ä</w:t>
      </w:r>
      <w:r>
        <w:rPr>
          <w:rFonts w:ascii="Times New Roman" w:hAnsi="Times New Roman"/>
          <w:i w:val="1"/>
          <w:iCs w:val="1"/>
          <w:sz w:val="22"/>
          <w:szCs w:val="22"/>
          <w:rtl w:val="0"/>
          <w:lang w:val="de-DE"/>
        </w:rPr>
        <w:t>rungen zu einigen wichtigen demotischen Lemmata.</w:t>
      </w:r>
    </w:p>
    <w:p>
      <w:pPr>
        <w:pStyle w:val="Normal.0"/>
        <w:rPr>
          <w:rFonts w:ascii="Times New Roman" w:cs="Times New Roman" w:hAnsi="Times New Roman" w:eastAsia="Times New Roman"/>
          <w:i w:val="1"/>
          <w:iCs w:val="1"/>
          <w:sz w:val="22"/>
          <w:szCs w:val="22"/>
          <w:lang w:val="de-DE"/>
        </w:rPr>
      </w:pPr>
      <w:r>
        <w:rPr>
          <w:rFonts w:ascii="Times New Roman" w:hAnsi="Times New Roman"/>
          <w:i w:val="1"/>
          <w:iCs w:val="1"/>
          <w:sz w:val="22"/>
          <w:szCs w:val="22"/>
          <w:rtl w:val="0"/>
          <w:lang w:val="de-DE"/>
        </w:rPr>
        <w:t>F</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r wertvolle Hinweise zu diesem Papyrus danke ich Marie-Pierre Chaufray, Holger Essler, W.</w:t>
      </w:r>
      <w:r>
        <w:rPr>
          <w:rFonts w:ascii="Times New Roman" w:hAnsi="Times New Roman" w:hint="default"/>
          <w:i w:val="1"/>
          <w:iCs w:val="1"/>
          <w:sz w:val="22"/>
          <w:szCs w:val="22"/>
          <w:rtl w:val="0"/>
          <w:lang w:val="de-DE"/>
        </w:rPr>
        <w:t> </w:t>
      </w:r>
      <w:r>
        <w:rPr>
          <w:rFonts w:ascii="Times New Roman" w:hAnsi="Times New Roman"/>
          <w:i w:val="1"/>
          <w:iCs w:val="1"/>
          <w:sz w:val="22"/>
          <w:szCs w:val="22"/>
          <w:rtl w:val="0"/>
          <w:lang w:val="de-DE"/>
        </w:rPr>
        <w:t>Graham Claytor und Gert Baetens.</w:t>
      </w:r>
    </w:p>
    <w:p>
      <w:pPr>
        <w:pStyle w:val="Normal.0"/>
        <w:rPr>
          <w:rFonts w:ascii="Times New Roman" w:cs="Times New Roman" w:hAnsi="Times New Roman" w:eastAsia="Times New Roman"/>
          <w:i w:val="1"/>
          <w:iCs w:val="1"/>
          <w:sz w:val="22"/>
          <w:szCs w:val="22"/>
          <w:lang w:val="de-DE"/>
        </w:rPr>
      </w:pPr>
    </w:p>
    <w:p>
      <w:pPr>
        <w:pStyle w:val="Normal.0"/>
        <w:rPr>
          <w:rFonts w:ascii="Times New Roman" w:cs="Times New Roman" w:hAnsi="Times New Roman" w:eastAsia="Times New Roman"/>
          <w:i w:val="1"/>
          <w:iCs w:val="1"/>
          <w:sz w:val="22"/>
          <w:szCs w:val="22"/>
          <w:lang w:val="de-DE"/>
        </w:rPr>
      </w:pP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Physische Beschreibung</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sz w:val="22"/>
          <w:szCs w:val="22"/>
          <w:lang w:val="de-DE"/>
        </w:rPr>
      </w:pPr>
      <w:bookmarkStart w:name="_Hlk118678973" w:id="0"/>
      <w:r>
        <w:rPr>
          <w:rFonts w:ascii="Times New Roman" w:hAnsi="Times New Roman"/>
          <w:sz w:val="22"/>
          <w:szCs w:val="22"/>
          <w:rtl w:val="0"/>
          <w:lang w:val="de-DE"/>
        </w:rPr>
        <w:t>Von der Versoseite ausgehend befinden sich im Mittelteil des Papyrus zwei gr</w:t>
      </w:r>
      <w:r>
        <w:rPr>
          <w:rFonts w:ascii="Times New Roman" w:hAnsi="Times New Roman" w:hint="default"/>
          <w:sz w:val="22"/>
          <w:szCs w:val="22"/>
          <w:rtl w:val="0"/>
          <w:lang w:val="de-DE"/>
        </w:rPr>
        <w:t>öß</w:t>
      </w:r>
      <w:r>
        <w:rPr>
          <w:rFonts w:ascii="Times New Roman" w:hAnsi="Times New Roman"/>
          <w:sz w:val="22"/>
          <w:szCs w:val="22"/>
          <w:rtl w:val="0"/>
          <w:lang w:val="de-DE"/>
        </w:rPr>
        <w:t>ere und ein kleineres Loch, die zu Textverlust in Col. 2v f</w:t>
      </w:r>
      <w:r>
        <w:rPr>
          <w:rFonts w:ascii="Times New Roman" w:hAnsi="Times New Roman" w:hint="default"/>
          <w:sz w:val="22"/>
          <w:szCs w:val="22"/>
          <w:rtl w:val="0"/>
          <w:lang w:val="de-DE"/>
        </w:rPr>
        <w:t>ü</w:t>
      </w:r>
      <w:r>
        <w:rPr>
          <w:rFonts w:ascii="Times New Roman" w:hAnsi="Times New Roman"/>
          <w:sz w:val="22"/>
          <w:szCs w:val="22"/>
          <w:rtl w:val="0"/>
          <w:lang w:val="de-DE"/>
        </w:rPr>
        <w:t>hrten. An der linken Seite und am unteren Rand ist der Papyrus grob besch</w:t>
      </w:r>
      <w:r>
        <w:rPr>
          <w:rFonts w:ascii="Times New Roman" w:hAnsi="Times New Roman" w:hint="default"/>
          <w:sz w:val="22"/>
          <w:szCs w:val="22"/>
          <w:rtl w:val="0"/>
          <w:lang w:val="de-DE"/>
        </w:rPr>
        <w:t>ä</w:t>
      </w:r>
      <w:r>
        <w:rPr>
          <w:rFonts w:ascii="Times New Roman" w:hAnsi="Times New Roman"/>
          <w:sz w:val="22"/>
          <w:szCs w:val="22"/>
          <w:rtl w:val="0"/>
          <w:lang w:val="de-DE"/>
        </w:rPr>
        <w:t>digt und weist keine durchgehende Kante auf. F</w:t>
      </w:r>
      <w:r>
        <w:rPr>
          <w:rFonts w:ascii="Times New Roman" w:hAnsi="Times New Roman" w:hint="default"/>
          <w:sz w:val="22"/>
          <w:szCs w:val="22"/>
          <w:rtl w:val="0"/>
          <w:lang w:val="de-DE"/>
        </w:rPr>
        <w:t>ü</w:t>
      </w:r>
      <w:r>
        <w:rPr>
          <w:rFonts w:ascii="Times New Roman" w:hAnsi="Times New Roman"/>
          <w:sz w:val="22"/>
          <w:szCs w:val="22"/>
          <w:rtl w:val="0"/>
          <w:lang w:val="de-DE"/>
        </w:rPr>
        <w:t>r den linken und den oberen Rand ist eine solche gr</w:t>
      </w:r>
      <w:r>
        <w:rPr>
          <w:rFonts w:ascii="Times New Roman" w:hAnsi="Times New Roman" w:hint="default"/>
          <w:sz w:val="22"/>
          <w:szCs w:val="22"/>
          <w:rtl w:val="0"/>
          <w:lang w:val="de-DE"/>
        </w:rPr>
        <w:t>öß</w:t>
      </w:r>
      <w:r>
        <w:rPr>
          <w:rFonts w:ascii="Times New Roman" w:hAnsi="Times New Roman"/>
          <w:sz w:val="22"/>
          <w:szCs w:val="22"/>
          <w:rtl w:val="0"/>
          <w:lang w:val="de-DE"/>
        </w:rPr>
        <w:t>tenteils gegeben.</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Der Papyrus ist auf beiden Seiten beschrieben. Auf dem Verso befindet sich eine griechische Abrechnung in drei Kolumnen, die in der einzig vollst</w:t>
      </w:r>
      <w:r>
        <w:rPr>
          <w:rFonts w:ascii="Times New Roman" w:hAnsi="Times New Roman" w:hint="default"/>
          <w:sz w:val="22"/>
          <w:szCs w:val="22"/>
          <w:rtl w:val="0"/>
          <w:lang w:val="de-DE"/>
        </w:rPr>
        <w:t>ä</w:t>
      </w:r>
      <w:r>
        <w:rPr>
          <w:rFonts w:ascii="Times New Roman" w:hAnsi="Times New Roman"/>
          <w:sz w:val="22"/>
          <w:szCs w:val="22"/>
          <w:rtl w:val="0"/>
          <w:lang w:val="de-DE"/>
        </w:rPr>
        <w:t>ndig erhaltenen zweiten Kolumne 25 Zeilen umfasst. Der obere Rand liegt bei etwa 0,7 bis zu einem Zentimeter, w</w:t>
      </w:r>
      <w:r>
        <w:rPr>
          <w:rFonts w:ascii="Times New Roman" w:hAnsi="Times New Roman" w:hint="default"/>
          <w:sz w:val="22"/>
          <w:szCs w:val="22"/>
          <w:rtl w:val="0"/>
          <w:lang w:val="de-DE"/>
        </w:rPr>
        <w:t>ä</w:t>
      </w:r>
      <w:r>
        <w:rPr>
          <w:rFonts w:ascii="Times New Roman" w:hAnsi="Times New Roman"/>
          <w:sz w:val="22"/>
          <w:szCs w:val="22"/>
          <w:rtl w:val="0"/>
          <w:lang w:val="de-DE"/>
        </w:rPr>
        <w:t>hrend der untere Rand nur auf H</w:t>
      </w:r>
      <w:r>
        <w:rPr>
          <w:rFonts w:ascii="Times New Roman" w:hAnsi="Times New Roman" w:hint="default"/>
          <w:sz w:val="22"/>
          <w:szCs w:val="22"/>
          <w:rtl w:val="0"/>
          <w:lang w:val="de-DE"/>
        </w:rPr>
        <w:t>ö</w:t>
      </w:r>
      <w:r>
        <w:rPr>
          <w:rFonts w:ascii="Times New Roman" w:hAnsi="Times New Roman"/>
          <w:sz w:val="22"/>
          <w:szCs w:val="22"/>
          <w:rtl w:val="0"/>
          <w:lang w:val="de-DE"/>
        </w:rPr>
        <w:t xml:space="preserve">he von Kolumne 2 </w:t>
      </w:r>
      <w:r>
        <w:rPr>
          <w:rFonts w:ascii="Times New Roman" w:hAnsi="Times New Roman" w:hint="default"/>
          <w:sz w:val="22"/>
          <w:szCs w:val="22"/>
          <w:rtl w:val="0"/>
          <w:lang w:val="de-DE"/>
        </w:rPr>
        <w:t>ü</w:t>
      </w:r>
      <w:r>
        <w:rPr>
          <w:rFonts w:ascii="Times New Roman" w:hAnsi="Times New Roman"/>
          <w:sz w:val="22"/>
          <w:szCs w:val="22"/>
          <w:rtl w:val="0"/>
          <w:lang w:val="de-DE"/>
        </w:rPr>
        <w:t>berhaupt erhalten ist. Vom linken Rand ist nur etwa ein Streifen von zwei Zentimetern in H</w:t>
      </w:r>
      <w:r>
        <w:rPr>
          <w:rFonts w:ascii="Times New Roman" w:hAnsi="Times New Roman" w:hint="default"/>
          <w:sz w:val="22"/>
          <w:szCs w:val="22"/>
          <w:rtl w:val="0"/>
          <w:lang w:val="de-DE"/>
        </w:rPr>
        <w:t>ö</w:t>
      </w:r>
      <w:r>
        <w:rPr>
          <w:rFonts w:ascii="Times New Roman" w:hAnsi="Times New Roman"/>
          <w:sz w:val="22"/>
          <w:szCs w:val="22"/>
          <w:rtl w:val="0"/>
          <w:lang w:val="de-DE"/>
        </w:rPr>
        <w:t>he von Col. 1v, 1 erhalten, w</w:t>
      </w:r>
      <w:r>
        <w:rPr>
          <w:rFonts w:ascii="Times New Roman" w:hAnsi="Times New Roman" w:hint="default"/>
          <w:sz w:val="22"/>
          <w:szCs w:val="22"/>
          <w:rtl w:val="0"/>
          <w:lang w:val="de-DE"/>
        </w:rPr>
        <w:t>ä</w:t>
      </w:r>
      <w:r>
        <w:rPr>
          <w:rFonts w:ascii="Times New Roman" w:hAnsi="Times New Roman"/>
          <w:sz w:val="22"/>
          <w:szCs w:val="22"/>
          <w:rtl w:val="0"/>
          <w:lang w:val="de-DE"/>
        </w:rPr>
        <w:t>hrend der rechte Rand bei gro</w:t>
      </w:r>
      <w:r>
        <w:rPr>
          <w:rFonts w:ascii="Times New Roman" w:hAnsi="Times New Roman" w:hint="default"/>
          <w:sz w:val="22"/>
          <w:szCs w:val="22"/>
          <w:rtl w:val="0"/>
          <w:lang w:val="de-DE"/>
        </w:rPr>
        <w:t>ß</w:t>
      </w:r>
      <w:r>
        <w:rPr>
          <w:rFonts w:ascii="Times New Roman" w:hAnsi="Times New Roman"/>
          <w:sz w:val="22"/>
          <w:szCs w:val="22"/>
          <w:rtl w:val="0"/>
          <w:lang w:val="de-DE"/>
        </w:rPr>
        <w:t>z</w:t>
      </w:r>
      <w:r>
        <w:rPr>
          <w:rFonts w:ascii="Times New Roman" w:hAnsi="Times New Roman" w:hint="default"/>
          <w:sz w:val="22"/>
          <w:szCs w:val="22"/>
          <w:rtl w:val="0"/>
          <w:lang w:val="de-DE"/>
        </w:rPr>
        <w:t>ü</w:t>
      </w:r>
      <w:r>
        <w:rPr>
          <w:rFonts w:ascii="Times New Roman" w:hAnsi="Times New Roman"/>
          <w:sz w:val="22"/>
          <w:szCs w:val="22"/>
          <w:rtl w:val="0"/>
          <w:lang w:val="de-DE"/>
        </w:rPr>
        <w:t>gigen sieben Zentimetern liegt. Die beiden Interkolumnien fallen gro</w:t>
      </w:r>
      <w:r>
        <w:rPr>
          <w:rFonts w:ascii="Times New Roman" w:hAnsi="Times New Roman" w:hint="default"/>
          <w:sz w:val="22"/>
          <w:szCs w:val="22"/>
          <w:rtl w:val="0"/>
          <w:lang w:val="de-DE"/>
        </w:rPr>
        <w:t>ß</w:t>
      </w:r>
      <w:r>
        <w:rPr>
          <w:rFonts w:ascii="Times New Roman" w:hAnsi="Times New Roman"/>
          <w:sz w:val="22"/>
          <w:szCs w:val="22"/>
          <w:rtl w:val="0"/>
          <w:lang w:val="de-DE"/>
        </w:rPr>
        <w:t>z</w:t>
      </w:r>
      <w:r>
        <w:rPr>
          <w:rFonts w:ascii="Times New Roman" w:hAnsi="Times New Roman" w:hint="default"/>
          <w:sz w:val="22"/>
          <w:szCs w:val="22"/>
          <w:rtl w:val="0"/>
          <w:lang w:val="de-DE"/>
        </w:rPr>
        <w:t>ü</w:t>
      </w:r>
      <w:r>
        <w:rPr>
          <w:rFonts w:ascii="Times New Roman" w:hAnsi="Times New Roman"/>
          <w:sz w:val="22"/>
          <w:szCs w:val="22"/>
          <w:rtl w:val="0"/>
          <w:lang w:val="de-DE"/>
        </w:rPr>
        <w:t>gig aus, insbesondere das erste. Unterhalb von Kolumne 3 befindet sich ein sehr gro</w:t>
      </w:r>
      <w:r>
        <w:rPr>
          <w:rFonts w:ascii="Times New Roman" w:hAnsi="Times New Roman" w:hint="default"/>
          <w:sz w:val="22"/>
          <w:szCs w:val="22"/>
          <w:rtl w:val="0"/>
          <w:lang w:val="de-DE"/>
        </w:rPr>
        <w:t>ß</w:t>
      </w:r>
      <w:r>
        <w:rPr>
          <w:rFonts w:ascii="Times New Roman" w:hAnsi="Times New Roman"/>
          <w:sz w:val="22"/>
          <w:szCs w:val="22"/>
          <w:rtl w:val="0"/>
          <w:lang w:val="de-DE"/>
        </w:rPr>
        <w:t>es Spatium, welches auf das Ende des Abrechnungsvorgangs hindeutet. Auf dem Rekto l</w:t>
      </w:r>
      <w:r>
        <w:rPr>
          <w:rFonts w:ascii="Times New Roman" w:hAnsi="Times New Roman" w:hint="default"/>
          <w:sz w:val="22"/>
          <w:szCs w:val="22"/>
          <w:rtl w:val="0"/>
          <w:lang w:val="de-DE"/>
        </w:rPr>
        <w:t>ä</w:t>
      </w:r>
      <w:r>
        <w:rPr>
          <w:rFonts w:ascii="Times New Roman" w:hAnsi="Times New Roman"/>
          <w:sz w:val="22"/>
          <w:szCs w:val="22"/>
          <w:rtl w:val="0"/>
          <w:lang w:val="de-DE"/>
        </w:rPr>
        <w:t>sst sich ein Ausschnitt aus einer demotischen Abrechnungsrolle in f</w:t>
      </w:r>
      <w:r>
        <w:rPr>
          <w:rFonts w:ascii="Times New Roman" w:hAnsi="Times New Roman" w:hint="default"/>
          <w:sz w:val="22"/>
          <w:szCs w:val="22"/>
          <w:rtl w:val="0"/>
          <w:lang w:val="de-DE"/>
        </w:rPr>
        <w:t>ü</w:t>
      </w:r>
      <w:r>
        <w:rPr>
          <w:rFonts w:ascii="Times New Roman" w:hAnsi="Times New Roman"/>
          <w:sz w:val="22"/>
          <w:szCs w:val="22"/>
          <w:rtl w:val="0"/>
          <w:lang w:val="de-DE"/>
        </w:rPr>
        <w:t>nf Kolumnen feststellen.</w:t>
      </w:r>
      <w:bookmarkEnd w:id="0"/>
    </w:p>
    <w:p>
      <w:pPr>
        <w:pStyle w:val="Normal.0"/>
        <w:rPr>
          <w:rFonts w:ascii="Times New Roman" w:cs="Times New Roman" w:hAnsi="Times New Roman" w:eastAsia="Times New Roman"/>
          <w:sz w:val="22"/>
          <w:szCs w:val="22"/>
          <w:shd w:val="clear" w:color="auto" w:fill="ffff00"/>
          <w:lang w:val="de-DE"/>
        </w:rPr>
      </w:pPr>
    </w:p>
    <w:p>
      <w:pPr>
        <w:pStyle w:val="Normal.0"/>
        <w:rPr>
          <w:rFonts w:ascii="Times New Roman" w:cs="Times New Roman" w:hAnsi="Times New Roman" w:eastAsia="Times New Roman"/>
          <w:shd w:val="clear" w:color="auto" w:fill="ffff00"/>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Herkunft</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 xml:space="preserve">Die Papyri aus Dime sind </w:t>
      </w:r>
      <w:r>
        <w:rPr>
          <w:rFonts w:ascii="Times New Roman" w:hAnsi="Times New Roman" w:hint="default"/>
          <w:sz w:val="22"/>
          <w:szCs w:val="22"/>
          <w:rtl w:val="0"/>
          <w:lang w:val="de-DE"/>
        </w:rPr>
        <w:t>ü</w:t>
      </w:r>
      <w:r>
        <w:rPr>
          <w:rFonts w:ascii="Times New Roman" w:hAnsi="Times New Roman"/>
          <w:sz w:val="22"/>
          <w:szCs w:val="22"/>
          <w:rtl w:val="0"/>
          <w:lang w:val="de-DE"/>
        </w:rPr>
        <w:t>ber verschiedene Sammlungen in der ganzen Welt verteilt, wobei ihr Ursprung wohl zumeist in Raubgrabungen lag, die schlecht dokumentiert waren.</w:t>
      </w:r>
      <w:r>
        <w:rPr>
          <w:rFonts w:ascii="Times New Roman" w:cs="Times New Roman" w:hAnsi="Times New Roman" w:eastAsia="Times New Roman"/>
          <w:sz w:val="22"/>
          <w:szCs w:val="22"/>
          <w:vertAlign w:val="superscript"/>
          <w:lang w:val="de-DE"/>
        </w:rPr>
        <w:footnoteReference w:id="1"/>
      </w:r>
      <w:r>
        <w:rPr>
          <w:rFonts w:ascii="Times New Roman" w:hAnsi="Times New Roman"/>
          <w:sz w:val="22"/>
          <w:szCs w:val="22"/>
          <w:rtl w:val="0"/>
          <w:lang w:val="de-DE"/>
        </w:rPr>
        <w:t xml:space="preserve"> Der vorliegende Papyrus geh</w:t>
      </w:r>
      <w:r>
        <w:rPr>
          <w:rFonts w:ascii="Times New Roman" w:hAnsi="Times New Roman" w:hint="default"/>
          <w:sz w:val="22"/>
          <w:szCs w:val="22"/>
          <w:rtl w:val="0"/>
          <w:lang w:val="de-DE"/>
        </w:rPr>
        <w:t>ö</w:t>
      </w:r>
      <w:r>
        <w:rPr>
          <w:rFonts w:ascii="Times New Roman" w:hAnsi="Times New Roman"/>
          <w:sz w:val="22"/>
          <w:szCs w:val="22"/>
          <w:rtl w:val="0"/>
          <w:lang w:val="de-DE"/>
        </w:rPr>
        <w:t>rt zu den zahlreichen demotischen Papyri aus der Wiener Sammlung, deren genaue Provenienz ungekl</w:t>
      </w:r>
      <w:r>
        <w:rPr>
          <w:rFonts w:ascii="Times New Roman" w:hAnsi="Times New Roman" w:hint="default"/>
          <w:sz w:val="22"/>
          <w:szCs w:val="22"/>
          <w:rtl w:val="0"/>
          <w:lang w:val="de-DE"/>
        </w:rPr>
        <w:t>ä</w:t>
      </w:r>
      <w:r>
        <w:rPr>
          <w:rFonts w:ascii="Times New Roman" w:hAnsi="Times New Roman"/>
          <w:sz w:val="22"/>
          <w:szCs w:val="22"/>
          <w:rtl w:val="0"/>
          <w:lang w:val="de-DE"/>
        </w:rPr>
        <w:t>rt ist.</w:t>
      </w:r>
      <w:r>
        <w:rPr>
          <w:rFonts w:ascii="Times New Roman" w:cs="Times New Roman" w:hAnsi="Times New Roman" w:eastAsia="Times New Roman"/>
          <w:sz w:val="22"/>
          <w:szCs w:val="22"/>
          <w:vertAlign w:val="superscript"/>
          <w:lang w:val="de-DE"/>
        </w:rPr>
        <w:footnoteReference w:id="2"/>
      </w:r>
      <w:r>
        <w:rPr>
          <w:rFonts w:ascii="Times New Roman" w:hAnsi="Times New Roman"/>
          <w:sz w:val="22"/>
          <w:szCs w:val="22"/>
          <w:rtl w:val="0"/>
          <w:lang w:val="de-DE"/>
        </w:rPr>
        <w:t xml:space="preserve"> In diesem Fall kann die Rektoseite anhand pal</w:t>
      </w:r>
      <w:r>
        <w:rPr>
          <w:rFonts w:ascii="Times New Roman" w:hAnsi="Times New Roman" w:hint="default"/>
          <w:sz w:val="22"/>
          <w:szCs w:val="22"/>
          <w:rtl w:val="0"/>
          <w:lang w:val="de-DE"/>
        </w:rPr>
        <w:t>ä</w:t>
      </w:r>
      <w:r>
        <w:rPr>
          <w:rFonts w:ascii="Times New Roman" w:hAnsi="Times New Roman"/>
          <w:sz w:val="22"/>
          <w:szCs w:val="22"/>
          <w:rtl w:val="0"/>
          <w:lang w:val="de-DE"/>
        </w:rPr>
        <w:t>ographischer und inhaltlicher Aspekte</w:t>
      </w:r>
      <w:r>
        <w:rPr>
          <w:rFonts w:ascii="Times New Roman" w:cs="Times New Roman" w:hAnsi="Times New Roman" w:eastAsia="Times New Roman"/>
          <w:sz w:val="22"/>
          <w:szCs w:val="22"/>
          <w:vertAlign w:val="superscript"/>
          <w:lang w:val="de-DE"/>
        </w:rPr>
        <w:footnoteReference w:id="3"/>
      </w:r>
      <w:r>
        <w:rPr>
          <w:rFonts w:ascii="Times New Roman" w:hAnsi="Times New Roman"/>
          <w:sz w:val="22"/>
          <w:szCs w:val="22"/>
          <w:rtl w:val="0"/>
          <w:lang w:val="de-DE"/>
        </w:rPr>
        <w:t xml:space="preserve"> mit gro</w:t>
      </w:r>
      <w:r>
        <w:rPr>
          <w:rFonts w:ascii="Times New Roman" w:hAnsi="Times New Roman" w:hint="default"/>
          <w:sz w:val="22"/>
          <w:szCs w:val="22"/>
          <w:rtl w:val="0"/>
          <w:lang w:val="de-DE"/>
        </w:rPr>
        <w:t>ß</w:t>
      </w:r>
      <w:r>
        <w:rPr>
          <w:rFonts w:ascii="Times New Roman" w:hAnsi="Times New Roman"/>
          <w:sz w:val="22"/>
          <w:szCs w:val="22"/>
          <w:rtl w:val="0"/>
          <w:lang w:val="de-DE"/>
        </w:rPr>
        <w:t>er Sicherheit Soknopaiu Nesos zugeordnet werden.</w:t>
      </w:r>
    </w:p>
    <w:p>
      <w:pPr>
        <w:pStyle w:val="Normal.0"/>
        <w:rPr>
          <w:rFonts w:ascii="Times New Roman" w:cs="Times New Roman" w:hAnsi="Times New Roman" w:eastAsia="Times New Roman"/>
          <w:sz w:val="22"/>
          <w:szCs w:val="22"/>
          <w:shd w:val="clear" w:color="auto" w:fill="ffff00"/>
          <w:lang w:val="de-DE"/>
        </w:rPr>
      </w:pPr>
    </w:p>
    <w:p>
      <w:pPr>
        <w:pStyle w:val="Normal.0"/>
        <w:rPr>
          <w:rFonts w:ascii="Times New Roman" w:cs="Times New Roman" w:hAnsi="Times New Roman" w:eastAsia="Times New Roman"/>
          <w:lang w:val="de-DE"/>
        </w:rPr>
      </w:pPr>
      <w:r>
        <w:rPr>
          <w:rFonts w:ascii="Times New Roman" w:hAnsi="Times New Roman"/>
          <w:rtl w:val="0"/>
          <w:lang w:val="de-DE"/>
        </w:rPr>
        <w:t>#articleHeader</w:t>
      </w:r>
    </w:p>
    <w:p>
      <w:pPr>
        <w:pStyle w:val="Normal.0"/>
        <w:rPr>
          <w:rFonts w:ascii="Times New Roman" w:cs="Times New Roman" w:hAnsi="Times New Roman" w:eastAsia="Times New Roman"/>
          <w:shd w:val="clear" w:color="auto" w:fill="ffff00"/>
          <w:lang w:val="de-DE"/>
        </w:rPr>
      </w:pPr>
    </w:p>
    <w:p>
      <w:pPr>
        <w:pStyle w:val="Normal.0"/>
        <w:rPr>
          <w:rFonts w:ascii="Times New Roman" w:cs="Times New Roman" w:hAnsi="Times New Roman" w:eastAsia="Times New Roman"/>
          <w:b w:val="1"/>
          <w:bCs w:val="1"/>
          <w:sz w:val="22"/>
          <w:szCs w:val="22"/>
          <w:shd w:val="clear" w:color="auto" w:fill="ffff00"/>
          <w:lang w:val="de-DE"/>
        </w:rPr>
      </w:pPr>
      <w:r>
        <w:rPr>
          <w:rFonts w:ascii="Times New Roman" w:hAnsi="Times New Roman"/>
          <w:b w:val="1"/>
          <w:bCs w:val="1"/>
          <w:sz w:val="22"/>
          <w:szCs w:val="22"/>
          <w:rtl w:val="0"/>
          <w:lang w:val="de-DE"/>
        </w:rPr>
        <w:t>Inhalt des demotischen Rektos</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Die demotische Abrechnung auf der Rektoseite ist lediglich ein kurzer Auszug aus einer umfangreichen Abrechnungsrolle, der die Tage 11 bis 17 eines unbekannten Monats umfasst. Hierbei werden einerseits recht konventionelle Versorgungsg</w:t>
      </w:r>
      <w:r>
        <w:rPr>
          <w:rFonts w:ascii="Times New Roman" w:hAnsi="Times New Roman" w:hint="default"/>
          <w:sz w:val="22"/>
          <w:szCs w:val="22"/>
          <w:rtl w:val="0"/>
          <w:lang w:val="de-DE"/>
        </w:rPr>
        <w:t>ü</w:t>
      </w:r>
      <w:r>
        <w:rPr>
          <w:rFonts w:ascii="Times New Roman" w:hAnsi="Times New Roman"/>
          <w:sz w:val="22"/>
          <w:szCs w:val="22"/>
          <w:rtl w:val="0"/>
          <w:lang w:val="de-DE"/>
        </w:rPr>
        <w:t>ter wie Brot und Wein aufgef</w:t>
      </w:r>
      <w:r>
        <w:rPr>
          <w:rFonts w:ascii="Times New Roman" w:hAnsi="Times New Roman" w:hint="default"/>
          <w:sz w:val="22"/>
          <w:szCs w:val="22"/>
          <w:rtl w:val="0"/>
          <w:lang w:val="de-DE"/>
        </w:rPr>
        <w:t>ü</w:t>
      </w:r>
      <w:r>
        <w:rPr>
          <w:rFonts w:ascii="Times New Roman" w:hAnsi="Times New Roman"/>
          <w:sz w:val="22"/>
          <w:szCs w:val="22"/>
          <w:rtl w:val="0"/>
          <w:lang w:val="de-DE"/>
        </w:rPr>
        <w:t>hrt, andererseits lassen sich auch einige besondere Eintr</w:t>
      </w:r>
      <w:r>
        <w:rPr>
          <w:rFonts w:ascii="Times New Roman" w:hAnsi="Times New Roman" w:hint="default"/>
          <w:sz w:val="22"/>
          <w:szCs w:val="22"/>
          <w:rtl w:val="0"/>
          <w:lang w:val="de-DE"/>
        </w:rPr>
        <w:t>ä</w:t>
      </w:r>
      <w:r>
        <w:rPr>
          <w:rFonts w:ascii="Times New Roman" w:hAnsi="Times New Roman"/>
          <w:sz w:val="22"/>
          <w:szCs w:val="22"/>
          <w:rtl w:val="0"/>
          <w:lang w:val="de-DE"/>
        </w:rPr>
        <w:t>ge feststellen. Hierzu z</w:t>
      </w:r>
      <w:r>
        <w:rPr>
          <w:rFonts w:ascii="Times New Roman" w:hAnsi="Times New Roman" w:hint="default"/>
          <w:sz w:val="22"/>
          <w:szCs w:val="22"/>
          <w:rtl w:val="0"/>
          <w:lang w:val="de-DE"/>
        </w:rPr>
        <w:t>ä</w:t>
      </w:r>
      <w:r>
        <w:rPr>
          <w:rFonts w:ascii="Times New Roman" w:hAnsi="Times New Roman"/>
          <w:sz w:val="22"/>
          <w:szCs w:val="22"/>
          <w:rtl w:val="0"/>
          <w:lang w:val="de-DE"/>
        </w:rPr>
        <w:t xml:space="preserve">hlen etwa ein rekonstruierbarer Besuch eines sogenannten </w:t>
      </w:r>
      <w:r>
        <w:rPr>
          <w:rFonts w:ascii="Times New Roman" w:hAnsi="Times New Roman" w:hint="default"/>
          <w:sz w:val="22"/>
          <w:szCs w:val="22"/>
          <w:rtl w:val="0"/>
          <w:lang w:val="de-DE"/>
        </w:rPr>
        <w:t>‚</w:t>
      </w:r>
      <w:r>
        <w:rPr>
          <w:rFonts w:ascii="Times New Roman" w:hAnsi="Times New Roman"/>
          <w:sz w:val="22"/>
          <w:szCs w:val="22"/>
          <w:rtl w:val="0"/>
          <w:lang w:val="de-DE"/>
        </w:rPr>
        <w:t>Telones des Verkaufs</w:t>
      </w:r>
      <w:r>
        <w:rPr>
          <w:rFonts w:ascii="Times New Roman" w:hAnsi="Times New Roman" w:hint="default"/>
          <w:sz w:val="22"/>
          <w:szCs w:val="22"/>
          <w:rtl w:val="0"/>
          <w:lang w:val="de-DE"/>
        </w:rPr>
        <w:t>‘</w:t>
      </w:r>
      <w:r>
        <w:rPr>
          <w:rFonts w:ascii="Times New Roman" w:hAnsi="Times New Roman"/>
          <w:sz w:val="22"/>
          <w:szCs w:val="22"/>
          <w:rtl w:val="0"/>
          <w:lang w:val="de-DE"/>
        </w:rPr>
        <w:t>,</w:t>
      </w:r>
      <w:r>
        <w:rPr>
          <w:rFonts w:ascii="Times New Roman" w:cs="Times New Roman" w:hAnsi="Times New Roman" w:eastAsia="Times New Roman"/>
          <w:sz w:val="22"/>
          <w:szCs w:val="22"/>
          <w:vertAlign w:val="superscript"/>
          <w:lang w:val="de-DE"/>
        </w:rPr>
        <w:footnoteReference w:id="4"/>
      </w:r>
      <w:r>
        <w:rPr>
          <w:rFonts w:ascii="Times New Roman" w:hAnsi="Times New Roman"/>
          <w:sz w:val="22"/>
          <w:szCs w:val="22"/>
          <w:rtl w:val="0"/>
          <w:lang w:val="de-DE"/>
        </w:rPr>
        <w:t xml:space="preserve"> Bauarbeiten an einem nicht n</w:t>
      </w:r>
      <w:r>
        <w:rPr>
          <w:rFonts w:ascii="Times New Roman" w:hAnsi="Times New Roman" w:hint="default"/>
          <w:sz w:val="22"/>
          <w:szCs w:val="22"/>
          <w:rtl w:val="0"/>
          <w:lang w:val="de-DE"/>
        </w:rPr>
        <w:t>ä</w:t>
      </w:r>
      <w:r>
        <w:rPr>
          <w:rFonts w:ascii="Times New Roman" w:hAnsi="Times New Roman"/>
          <w:sz w:val="22"/>
          <w:szCs w:val="22"/>
          <w:rtl w:val="0"/>
          <w:lang w:val="de-DE"/>
        </w:rPr>
        <w:t>her spezifizierten Dromos</w:t>
      </w:r>
      <w:r>
        <w:rPr>
          <w:rFonts w:ascii="Times New Roman" w:cs="Times New Roman" w:hAnsi="Times New Roman" w:eastAsia="Times New Roman"/>
          <w:sz w:val="22"/>
          <w:szCs w:val="22"/>
          <w:vertAlign w:val="superscript"/>
          <w:lang w:val="de-DE"/>
        </w:rPr>
        <w:footnoteReference w:id="5"/>
      </w:r>
      <w:r>
        <w:rPr>
          <w:rFonts w:ascii="Times New Roman" w:hAnsi="Times New Roman"/>
          <w:sz w:val="22"/>
          <w:szCs w:val="22"/>
          <w:rtl w:val="0"/>
          <w:lang w:val="de-DE"/>
        </w:rPr>
        <w:t xml:space="preserve"> sowie die milit</w:t>
      </w:r>
      <w:r>
        <w:rPr>
          <w:rFonts w:ascii="Times New Roman" w:hAnsi="Times New Roman" w:hint="default"/>
          <w:sz w:val="22"/>
          <w:szCs w:val="22"/>
          <w:rtl w:val="0"/>
          <w:lang w:val="de-DE"/>
        </w:rPr>
        <w:t>ä</w:t>
      </w:r>
      <w:r>
        <w:rPr>
          <w:rFonts w:ascii="Times New Roman" w:hAnsi="Times New Roman"/>
          <w:sz w:val="22"/>
          <w:szCs w:val="22"/>
          <w:rtl w:val="0"/>
          <w:lang w:val="de-DE"/>
        </w:rPr>
        <w:t>rische Pr</w:t>
      </w:r>
      <w:r>
        <w:rPr>
          <w:rFonts w:ascii="Times New Roman" w:hAnsi="Times New Roman" w:hint="default"/>
          <w:sz w:val="22"/>
          <w:szCs w:val="22"/>
          <w:rtl w:val="0"/>
          <w:lang w:val="de-DE"/>
        </w:rPr>
        <w:t>ä</w:t>
      </w:r>
      <w:r>
        <w:rPr>
          <w:rFonts w:ascii="Times New Roman" w:hAnsi="Times New Roman"/>
          <w:sz w:val="22"/>
          <w:szCs w:val="22"/>
          <w:rtl w:val="0"/>
          <w:lang w:val="de-DE"/>
        </w:rPr>
        <w:t xml:space="preserve">senz eines Centurio und einiger ihm untergeordneter </w:t>
      </w:r>
      <w:r>
        <w:rPr>
          <w:rFonts w:ascii="Times New Roman" w:hAnsi="Times New Roman"/>
          <w:i w:val="1"/>
          <w:iCs w:val="1"/>
          <w:sz w:val="22"/>
          <w:szCs w:val="22"/>
          <w:rtl w:val="0"/>
          <w:lang w:val="de-DE"/>
        </w:rPr>
        <w:t>mty</w:t>
      </w:r>
      <w:r>
        <w:rPr>
          <w:rFonts w:ascii="Times New Roman" w:hAnsi="Times New Roman"/>
          <w:sz w:val="22"/>
          <w:szCs w:val="22"/>
          <w:rtl w:val="0"/>
          <w:lang w:val="de-DE"/>
        </w:rPr>
        <w:t>-Soldaten</w:t>
      </w:r>
      <w:r>
        <w:rPr>
          <w:rFonts w:ascii="Times New Roman" w:cs="Times New Roman" w:hAnsi="Times New Roman" w:eastAsia="Times New Roman"/>
          <w:sz w:val="22"/>
          <w:szCs w:val="22"/>
          <w:vertAlign w:val="superscript"/>
          <w:lang w:val="de-DE"/>
        </w:rPr>
        <w:footnoteReference w:id="6"/>
      </w:r>
      <w:r>
        <w:rPr>
          <w:rFonts w:ascii="Times New Roman" w:hAnsi="Times New Roman"/>
          <w:sz w:val="22"/>
          <w:szCs w:val="22"/>
          <w:rtl w:val="0"/>
          <w:lang w:val="de-DE"/>
        </w:rPr>
        <w:t>. Anhand bekannter Personennamen sowie zahlreicher eng mit Soknopaiu Nesos verkn</w:t>
      </w:r>
      <w:r>
        <w:rPr>
          <w:rFonts w:ascii="Times New Roman" w:hAnsi="Times New Roman" w:hint="default"/>
          <w:sz w:val="22"/>
          <w:szCs w:val="22"/>
          <w:rtl w:val="0"/>
          <w:lang w:val="de-DE"/>
        </w:rPr>
        <w:t>ü</w:t>
      </w:r>
      <w:r>
        <w:rPr>
          <w:rFonts w:ascii="Times New Roman" w:hAnsi="Times New Roman"/>
          <w:sz w:val="22"/>
          <w:szCs w:val="22"/>
          <w:rtl w:val="0"/>
          <w:lang w:val="de-DE"/>
        </w:rPr>
        <w:t>pfter Ortsnamen l</w:t>
      </w:r>
      <w:r>
        <w:rPr>
          <w:rFonts w:ascii="Times New Roman" w:hAnsi="Times New Roman" w:hint="default"/>
          <w:sz w:val="22"/>
          <w:szCs w:val="22"/>
          <w:rtl w:val="0"/>
          <w:lang w:val="de-DE"/>
        </w:rPr>
        <w:t>ä</w:t>
      </w:r>
      <w:r>
        <w:rPr>
          <w:rFonts w:ascii="Times New Roman" w:hAnsi="Times New Roman"/>
          <w:sz w:val="22"/>
          <w:szCs w:val="22"/>
          <w:rtl w:val="0"/>
          <w:lang w:val="de-DE"/>
        </w:rPr>
        <w:t>sst sich die Kontextualisierung im Umfeld des Soknopaiostempels von Dime als gegeben ansehen.</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Die vollst</w:t>
      </w:r>
      <w:r>
        <w:rPr>
          <w:rFonts w:ascii="Times New Roman" w:hAnsi="Times New Roman" w:hint="default"/>
          <w:sz w:val="22"/>
          <w:szCs w:val="22"/>
          <w:rtl w:val="0"/>
          <w:lang w:val="de-DE"/>
        </w:rPr>
        <w:t>ä</w:t>
      </w:r>
      <w:r>
        <w:rPr>
          <w:rFonts w:ascii="Times New Roman" w:hAnsi="Times New Roman"/>
          <w:sz w:val="22"/>
          <w:szCs w:val="22"/>
          <w:rtl w:val="0"/>
          <w:lang w:val="de-DE"/>
        </w:rPr>
        <w:t xml:space="preserve">ndige Edition des Rektos mit deutscher </w:t>
      </w:r>
      <w:r>
        <w:rPr>
          <w:rFonts w:ascii="Times New Roman" w:hAnsi="Times New Roman" w:hint="default"/>
          <w:sz w:val="22"/>
          <w:szCs w:val="22"/>
          <w:rtl w:val="0"/>
          <w:lang w:val="de-DE"/>
        </w:rPr>
        <w:t>Ü</w:t>
      </w:r>
      <w:r>
        <w:rPr>
          <w:rFonts w:ascii="Times New Roman" w:hAnsi="Times New Roman"/>
          <w:sz w:val="22"/>
          <w:szCs w:val="22"/>
          <w:rtl w:val="0"/>
          <w:lang w:val="de-DE"/>
        </w:rPr>
        <w:t>bersetzung und ausf</w:t>
      </w:r>
      <w:r>
        <w:rPr>
          <w:rFonts w:ascii="Times New Roman" w:hAnsi="Times New Roman" w:hint="default"/>
          <w:sz w:val="22"/>
          <w:szCs w:val="22"/>
          <w:rtl w:val="0"/>
          <w:lang w:val="de-DE"/>
        </w:rPr>
        <w:t>ü</w:t>
      </w:r>
      <w:r>
        <w:rPr>
          <w:rFonts w:ascii="Times New Roman" w:hAnsi="Times New Roman"/>
          <w:sz w:val="22"/>
          <w:szCs w:val="22"/>
          <w:rtl w:val="0"/>
          <w:lang w:val="de-DE"/>
        </w:rPr>
        <w:t xml:space="preserve">hrlichem Kommentar findet sich in der </w:t>
      </w: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"http://dimedata.huma-num.fr/documents/34"</w:instrText>
      </w:r>
      <w:r>
        <w:rPr>
          <w:rStyle w:val="Hyperlink.2"/>
          <w:rFonts w:ascii="Times New Roman" w:cs="Times New Roman" w:hAnsi="Times New Roman" w:eastAsia="Times New Roman"/>
          <w:sz w:val="22"/>
          <w:szCs w:val="22"/>
          <w:lang w:val="de-DE"/>
        </w:rPr>
        <w:fldChar w:fldCharType="separate" w:fldLock="0"/>
      </w:r>
      <w:r>
        <w:rPr>
          <w:rStyle w:val="Hyperlink.2"/>
          <w:rFonts w:ascii="Times New Roman" w:hAnsi="Times New Roman"/>
          <w:sz w:val="22"/>
          <w:szCs w:val="22"/>
          <w:rtl w:val="0"/>
          <w:lang w:val="de-DE"/>
        </w:rPr>
        <w:t>Projektdatenbank</w:t>
      </w:r>
      <w:r>
        <w:rPr>
          <w:lang w:val="de-DE"/>
        </w:rPr>
        <w:fldChar w:fldCharType="end" w:fldLock="0"/>
      </w:r>
      <w:r>
        <w:rPr>
          <w:rFonts w:ascii="Times New Roman" w:hAnsi="Times New Roman"/>
          <w:sz w:val="22"/>
          <w:szCs w:val="22"/>
          <w:rtl w:val="0"/>
          <w:lang w:val="de-DE"/>
        </w:rPr>
        <w:t>.</w:t>
      </w: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M</w:t>
      </w:r>
      <w:r>
        <w:rPr>
          <w:rFonts w:ascii="Times New Roman" w:hAnsi="Times New Roman" w:hint="default"/>
          <w:b w:val="1"/>
          <w:bCs w:val="1"/>
          <w:sz w:val="22"/>
          <w:szCs w:val="22"/>
          <w:rtl w:val="0"/>
          <w:lang w:val="de-DE"/>
        </w:rPr>
        <w:t>ö</w:t>
      </w:r>
      <w:r>
        <w:rPr>
          <w:rFonts w:ascii="Times New Roman" w:hAnsi="Times New Roman"/>
          <w:b w:val="1"/>
          <w:bCs w:val="1"/>
          <w:sz w:val="22"/>
          <w:szCs w:val="22"/>
          <w:rtl w:val="0"/>
          <w:lang w:val="de-DE"/>
        </w:rPr>
        <w:t>gliche Datierung</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 xml:space="preserve">In den Abrechnungen der Rekto- und Versoseite findet sich keine Jahresdatierung, sondern es werden nur Angaben zu den jeweiligen Tagen bzw. auf dem Verso auch zu den Monaten gemacht. Auch rein inhaltlich konnte bisher kein </w:t>
      </w:r>
      <w:r>
        <w:rPr>
          <w:rFonts w:ascii="Times New Roman" w:hAnsi="Times New Roman" w:hint="default"/>
          <w:sz w:val="22"/>
          <w:szCs w:val="22"/>
          <w:rtl w:val="0"/>
          <w:lang w:val="de-DE"/>
        </w:rPr>
        <w:t>ü</w:t>
      </w:r>
      <w:r>
        <w:rPr>
          <w:rFonts w:ascii="Times New Roman" w:hAnsi="Times New Roman"/>
          <w:sz w:val="22"/>
          <w:szCs w:val="22"/>
          <w:rtl w:val="0"/>
          <w:lang w:val="de-DE"/>
        </w:rPr>
        <w:t>berzeugendes Datierungskriterium f</w:t>
      </w:r>
      <w:r>
        <w:rPr>
          <w:rFonts w:ascii="Times New Roman" w:hAnsi="Times New Roman" w:hint="default"/>
          <w:sz w:val="22"/>
          <w:szCs w:val="22"/>
          <w:rtl w:val="0"/>
          <w:lang w:val="de-DE"/>
        </w:rPr>
        <w:t>ü</w:t>
      </w:r>
      <w:r>
        <w:rPr>
          <w:rFonts w:ascii="Times New Roman" w:hAnsi="Times New Roman"/>
          <w:sz w:val="22"/>
          <w:szCs w:val="22"/>
          <w:rtl w:val="0"/>
          <w:lang w:val="de-DE"/>
        </w:rPr>
        <w:t>r die Rektoseite gefunden werden, w</w:t>
      </w:r>
      <w:r>
        <w:rPr>
          <w:rFonts w:ascii="Times New Roman" w:hAnsi="Times New Roman" w:hint="default"/>
          <w:sz w:val="22"/>
          <w:szCs w:val="22"/>
          <w:rtl w:val="0"/>
          <w:lang w:val="de-DE"/>
        </w:rPr>
        <w:t>ä</w:t>
      </w:r>
      <w:r>
        <w:rPr>
          <w:rFonts w:ascii="Times New Roman" w:hAnsi="Times New Roman"/>
          <w:sz w:val="22"/>
          <w:szCs w:val="22"/>
          <w:rtl w:val="0"/>
          <w:lang w:val="de-DE"/>
        </w:rPr>
        <w:t>hrend es im Griechischen einzelne Indizien gibt, die vorrangig in das 2./3. Jh. n.Chr. deuten (siehe unten).</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Eine relative Datierung l</w:t>
      </w:r>
      <w:r>
        <w:rPr>
          <w:rFonts w:ascii="Times New Roman" w:hAnsi="Times New Roman" w:hint="default"/>
          <w:sz w:val="22"/>
          <w:szCs w:val="22"/>
          <w:rtl w:val="0"/>
          <w:lang w:val="de-DE"/>
        </w:rPr>
        <w:t>ä</w:t>
      </w:r>
      <w:r>
        <w:rPr>
          <w:rFonts w:ascii="Times New Roman" w:hAnsi="Times New Roman"/>
          <w:sz w:val="22"/>
          <w:szCs w:val="22"/>
          <w:rtl w:val="0"/>
          <w:lang w:val="de-DE"/>
        </w:rPr>
        <w:t>sst sich allerdings auch durch die Verwendungsabsicht des griechischen Papyrus gewinnen: Dieser weist eine in sich geschlossene Abrechnung auf, deren Gesamtsumme in Col. 1v, 1 erhalten ist. Der Abschluss ist durch ein breites Spatium auf der rechten Seite klar ersichtlich. Vor diesem Hintergrund scheint die griechische Abrechnung auf dem Verso eine Sekund</w:t>
      </w:r>
      <w:r>
        <w:rPr>
          <w:rFonts w:ascii="Times New Roman" w:hAnsi="Times New Roman" w:hint="default"/>
          <w:sz w:val="22"/>
          <w:szCs w:val="22"/>
          <w:rtl w:val="0"/>
          <w:lang w:val="de-DE"/>
        </w:rPr>
        <w:t>ä</w:t>
      </w:r>
      <w:r>
        <w:rPr>
          <w:rFonts w:ascii="Times New Roman" w:hAnsi="Times New Roman"/>
          <w:sz w:val="22"/>
          <w:szCs w:val="22"/>
          <w:rtl w:val="0"/>
          <w:lang w:val="de-DE"/>
        </w:rPr>
        <w:t>rbeschriftung zu sein, da das heutige Papyrusblatt wohl dezidiert zur Abfassung dieser Rechnung herausgetrennt wurde, w</w:t>
      </w:r>
      <w:r>
        <w:rPr>
          <w:rFonts w:ascii="Times New Roman" w:hAnsi="Times New Roman" w:hint="default"/>
          <w:sz w:val="22"/>
          <w:szCs w:val="22"/>
          <w:rtl w:val="0"/>
          <w:lang w:val="de-DE"/>
        </w:rPr>
        <w:t>ä</w:t>
      </w:r>
      <w:r>
        <w:rPr>
          <w:rFonts w:ascii="Times New Roman" w:hAnsi="Times New Roman"/>
          <w:sz w:val="22"/>
          <w:szCs w:val="22"/>
          <w:rtl w:val="0"/>
          <w:lang w:val="de-DE"/>
        </w:rPr>
        <w:t>hrend das demotische Rekto Teil einer gr</w:t>
      </w:r>
      <w:r>
        <w:rPr>
          <w:rFonts w:ascii="Times New Roman" w:hAnsi="Times New Roman" w:hint="default"/>
          <w:sz w:val="22"/>
          <w:szCs w:val="22"/>
          <w:rtl w:val="0"/>
          <w:lang w:val="de-DE"/>
        </w:rPr>
        <w:t>öß</w:t>
      </w:r>
      <w:r>
        <w:rPr>
          <w:rFonts w:ascii="Times New Roman" w:hAnsi="Times New Roman"/>
          <w:sz w:val="22"/>
          <w:szCs w:val="22"/>
          <w:rtl w:val="0"/>
          <w:lang w:val="de-DE"/>
        </w:rPr>
        <w:t>eren Abrechnungsrolle war.</w:t>
      </w:r>
      <w:r>
        <w:rPr>
          <w:rFonts w:ascii="Times New Roman" w:cs="Times New Roman" w:hAnsi="Times New Roman" w:eastAsia="Times New Roman"/>
          <w:sz w:val="22"/>
          <w:szCs w:val="22"/>
          <w:vertAlign w:val="superscript"/>
          <w:lang w:val="de-DE"/>
        </w:rPr>
        <w:footnoteReference w:id="7"/>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Zur besseren Datierung der Rektoseite konnte insbesondere eine sehr reduzierte Schreibung des Personennamens Stoetis herangezogen werden, die in dieser Form nur in wenigen Quittungen und Ostraka erhalten ist (vgl. zu den Details die Sektion zur Pal</w:t>
      </w:r>
      <w:r>
        <w:rPr>
          <w:rFonts w:ascii="Times New Roman" w:hAnsi="Times New Roman" w:hint="default"/>
          <w:sz w:val="22"/>
          <w:szCs w:val="22"/>
          <w:rtl w:val="0"/>
          <w:lang w:val="de-DE"/>
        </w:rPr>
        <w:t>ä</w:t>
      </w:r>
      <w:r>
        <w:rPr>
          <w:rFonts w:ascii="Times New Roman" w:hAnsi="Times New Roman"/>
          <w:sz w:val="22"/>
          <w:szCs w:val="22"/>
          <w:rtl w:val="0"/>
          <w:lang w:val="de-DE"/>
        </w:rPr>
        <w:t>ographie in der Edition). Diese pal</w:t>
      </w:r>
      <w:r>
        <w:rPr>
          <w:rFonts w:ascii="Times New Roman" w:hAnsi="Times New Roman" w:hint="default"/>
          <w:sz w:val="22"/>
          <w:szCs w:val="22"/>
          <w:rtl w:val="0"/>
          <w:lang w:val="de-DE"/>
        </w:rPr>
        <w:t>ä</w:t>
      </w:r>
      <w:r>
        <w:rPr>
          <w:rFonts w:ascii="Times New Roman" w:hAnsi="Times New Roman"/>
          <w:sz w:val="22"/>
          <w:szCs w:val="22"/>
          <w:rtl w:val="0"/>
          <w:lang w:val="de-DE"/>
        </w:rPr>
        <w:t>ographische Einordnung l</w:t>
      </w:r>
      <w:r>
        <w:rPr>
          <w:rFonts w:ascii="Times New Roman" w:hAnsi="Times New Roman" w:hint="default"/>
          <w:sz w:val="22"/>
          <w:szCs w:val="22"/>
          <w:rtl w:val="0"/>
          <w:lang w:val="de-DE"/>
        </w:rPr>
        <w:t>ä</w:t>
      </w:r>
      <w:r>
        <w:rPr>
          <w:rFonts w:ascii="Times New Roman" w:hAnsi="Times New Roman"/>
          <w:sz w:val="22"/>
          <w:szCs w:val="22"/>
          <w:rtl w:val="0"/>
          <w:lang w:val="de-DE"/>
        </w:rPr>
        <w:t xml:space="preserve">sst etwa die Mitte des 2. Jh. n.Chr. als Datierungsvorschlag wahrscheinlich erscheinen, was damit auch als </w:t>
      </w:r>
      <w:r>
        <w:rPr>
          <w:rFonts w:ascii="Times New Roman" w:hAnsi="Times New Roman"/>
          <w:i w:val="1"/>
          <w:iCs w:val="1"/>
          <w:sz w:val="22"/>
          <w:szCs w:val="22"/>
          <w:rtl w:val="0"/>
          <w:lang w:val="de-DE"/>
        </w:rPr>
        <w:t>terminus post quem</w:t>
      </w:r>
      <w:r>
        <w:rPr>
          <w:rFonts w:ascii="Times New Roman" w:hAnsi="Times New Roman"/>
          <w:sz w:val="22"/>
          <w:szCs w:val="22"/>
          <w:rtl w:val="0"/>
          <w:lang w:val="de-DE"/>
        </w:rPr>
        <w:t xml:space="preserve"> f</w:t>
      </w:r>
      <w:r>
        <w:rPr>
          <w:rFonts w:ascii="Times New Roman" w:hAnsi="Times New Roman" w:hint="default"/>
          <w:sz w:val="22"/>
          <w:szCs w:val="22"/>
          <w:rtl w:val="0"/>
          <w:lang w:val="de-DE"/>
        </w:rPr>
        <w:t>ü</w:t>
      </w:r>
      <w:r>
        <w:rPr>
          <w:rFonts w:ascii="Times New Roman" w:hAnsi="Times New Roman"/>
          <w:sz w:val="22"/>
          <w:szCs w:val="22"/>
          <w:rtl w:val="0"/>
          <w:lang w:val="de-DE"/>
        </w:rPr>
        <w:t>r die Beschriftung des Versos betrachtet werden kann.</w:t>
      </w: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Pal</w:t>
      </w:r>
      <w:r>
        <w:rPr>
          <w:rFonts w:ascii="Times New Roman" w:hAnsi="Times New Roman" w:hint="default"/>
          <w:b w:val="1"/>
          <w:bCs w:val="1"/>
          <w:sz w:val="22"/>
          <w:szCs w:val="22"/>
          <w:rtl w:val="0"/>
          <w:lang w:val="de-DE"/>
        </w:rPr>
        <w:t>ä</w:t>
      </w:r>
      <w:r>
        <w:rPr>
          <w:rFonts w:ascii="Times New Roman" w:hAnsi="Times New Roman"/>
          <w:b w:val="1"/>
          <w:bCs w:val="1"/>
          <w:sz w:val="22"/>
          <w:szCs w:val="22"/>
          <w:rtl w:val="0"/>
          <w:lang w:val="de-DE"/>
        </w:rPr>
        <w:t>ographie</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Die Schrift der griechischen Abrechnung ist keine kursive Hand eines ge</w:t>
      </w:r>
      <w:r>
        <w:rPr>
          <w:rFonts w:ascii="Times New Roman" w:hAnsi="Times New Roman" w:hint="default"/>
          <w:sz w:val="22"/>
          <w:szCs w:val="22"/>
          <w:rtl w:val="0"/>
          <w:lang w:val="de-DE"/>
        </w:rPr>
        <w:t>ü</w:t>
      </w:r>
      <w:r>
        <w:rPr>
          <w:rFonts w:ascii="Times New Roman" w:hAnsi="Times New Roman"/>
          <w:sz w:val="22"/>
          <w:szCs w:val="22"/>
          <w:rtl w:val="0"/>
          <w:lang w:val="de-DE"/>
        </w:rPr>
        <w:t>bten Grapheionbeamten, der die Buchstaben verbindet und verschleift, sondern vielmehr die simple, bisweilen epigraphisch anmutende Hand eines Schreibgehilfen, wie sie regelm</w:t>
      </w:r>
      <w:r>
        <w:rPr>
          <w:rFonts w:ascii="Times New Roman" w:hAnsi="Times New Roman" w:hint="default"/>
          <w:sz w:val="22"/>
          <w:szCs w:val="22"/>
          <w:rtl w:val="0"/>
          <w:lang w:val="de-DE"/>
        </w:rPr>
        <w:t>äß</w:t>
      </w:r>
      <w:r>
        <w:rPr>
          <w:rFonts w:ascii="Times New Roman" w:hAnsi="Times New Roman"/>
          <w:sz w:val="22"/>
          <w:szCs w:val="22"/>
          <w:rtl w:val="0"/>
          <w:lang w:val="de-DE"/>
        </w:rPr>
        <w:t>ig im Rahmen der griechischen Zusammenfassungen der demotischen Urkunden auftritt.</w:t>
      </w:r>
      <w:r>
        <w:rPr>
          <w:rFonts w:ascii="Times New Roman" w:cs="Times New Roman" w:hAnsi="Times New Roman" w:eastAsia="Times New Roman"/>
          <w:sz w:val="22"/>
          <w:szCs w:val="22"/>
          <w:vertAlign w:val="superscript"/>
          <w:lang w:val="de-DE"/>
        </w:rPr>
        <w:footnoteReference w:id="8"/>
      </w:r>
      <w:r>
        <w:rPr>
          <w:rFonts w:ascii="Times New Roman" w:hAnsi="Times New Roman"/>
          <w:sz w:val="22"/>
          <w:szCs w:val="22"/>
          <w:rtl w:val="0"/>
          <w:lang w:val="de-DE"/>
        </w:rPr>
        <w:t xml:space="preserve"> Allerdings eignen sich diese Urkunden nicht f</w:t>
      </w:r>
      <w:r>
        <w:rPr>
          <w:rFonts w:ascii="Times New Roman" w:hAnsi="Times New Roman" w:hint="default"/>
          <w:sz w:val="22"/>
          <w:szCs w:val="22"/>
          <w:rtl w:val="0"/>
          <w:lang w:val="de-DE"/>
        </w:rPr>
        <w:t>ü</w:t>
      </w:r>
      <w:r>
        <w:rPr>
          <w:rFonts w:ascii="Times New Roman" w:hAnsi="Times New Roman"/>
          <w:sz w:val="22"/>
          <w:szCs w:val="22"/>
          <w:rtl w:val="0"/>
          <w:lang w:val="de-DE"/>
        </w:rPr>
        <w:t>r einen direkten Vergleich, da sie nicht weiter als bis zum Ende des 1. Jh. n.Chr. in dieser Form belegt sind.</w:t>
      </w:r>
      <w:r>
        <w:rPr>
          <w:rFonts w:ascii="Times New Roman" w:cs="Times New Roman" w:hAnsi="Times New Roman" w:eastAsia="Times New Roman"/>
          <w:sz w:val="22"/>
          <w:szCs w:val="22"/>
          <w:vertAlign w:val="superscript"/>
          <w:lang w:val="de-DE"/>
        </w:rPr>
        <w:footnoteReference w:id="9"/>
      </w:r>
    </w:p>
    <w:p>
      <w:pPr>
        <w:pStyle w:val="Normal.0"/>
        <w:rPr>
          <w:rFonts w:ascii="Times New Roman" w:cs="Times New Roman" w:hAnsi="Times New Roman" w:eastAsia="Times New Roman"/>
          <w:sz w:val="22"/>
          <w:szCs w:val="22"/>
          <w:lang w:val="de-DE"/>
        </w:rPr>
      </w:pPr>
      <w:r>
        <w:rPr>
          <w:rFonts w:ascii="Times New Roman" w:hAnsi="Times New Roman" w:hint="default"/>
          <w:sz w:val="22"/>
          <w:szCs w:val="22"/>
          <w:rtl w:val="0"/>
          <w:lang w:val="de-DE"/>
        </w:rPr>
        <w:t>Ü</w:t>
      </w:r>
      <w:r>
        <w:rPr>
          <w:rFonts w:ascii="Times New Roman" w:hAnsi="Times New Roman"/>
          <w:sz w:val="22"/>
          <w:szCs w:val="22"/>
          <w:rtl w:val="0"/>
          <w:lang w:val="de-DE"/>
        </w:rPr>
        <w:t xml:space="preserve">berdies finden sich in der Abrechnung typische Fehler des Griechischen, wie sie in </w:t>
      </w:r>
      <w:r>
        <w:rPr>
          <w:rFonts w:ascii="Times New Roman" w:hAnsi="Times New Roman" w:hint="default"/>
          <w:sz w:val="22"/>
          <w:szCs w:val="22"/>
          <w:rtl w:val="0"/>
          <w:lang w:val="de-DE"/>
        </w:rPr>
        <w:t>Ä</w:t>
      </w:r>
      <w:r>
        <w:rPr>
          <w:rFonts w:ascii="Times New Roman" w:hAnsi="Times New Roman"/>
          <w:sz w:val="22"/>
          <w:szCs w:val="22"/>
          <w:rtl w:val="0"/>
          <w:lang w:val="de-DE"/>
        </w:rPr>
        <w:t xml:space="preserve">gypten </w:t>
      </w:r>
      <w:r>
        <w:rPr>
          <w:rFonts w:ascii="Times New Roman" w:hAnsi="Times New Roman" w:hint="default"/>
          <w:sz w:val="22"/>
          <w:szCs w:val="22"/>
          <w:rtl w:val="0"/>
          <w:lang w:val="de-DE"/>
        </w:rPr>
        <w:t>ü</w:t>
      </w:r>
      <w:r>
        <w:rPr>
          <w:rFonts w:ascii="Times New Roman" w:hAnsi="Times New Roman"/>
          <w:sz w:val="22"/>
          <w:szCs w:val="22"/>
          <w:rtl w:val="0"/>
          <w:lang w:val="de-DE"/>
        </w:rPr>
        <w:t xml:space="preserve">blich waren, wie etwa die Verwendung des Nominativs </w:t>
      </w:r>
      <w:r>
        <w:rPr>
          <w:rFonts w:ascii="Times New Roman" w:hAnsi="Times New Roman" w:hint="default"/>
          <w:sz w:val="22"/>
          <w:szCs w:val="22"/>
          <w:rtl w:val="0"/>
          <w:lang w:val="de-DE"/>
        </w:rPr>
        <w:t xml:space="preserve">Σώτας </w:t>
      </w:r>
      <w:r>
        <w:rPr>
          <w:rFonts w:ascii="Times New Roman" w:hAnsi="Times New Roman"/>
          <w:sz w:val="22"/>
          <w:szCs w:val="22"/>
          <w:rtl w:val="0"/>
          <w:lang w:val="de-DE"/>
        </w:rPr>
        <w:t>anstelle des richtigen Genitivs nach der Pr</w:t>
      </w:r>
      <w:r>
        <w:rPr>
          <w:rFonts w:ascii="Times New Roman" w:hAnsi="Times New Roman" w:hint="default"/>
          <w:sz w:val="22"/>
          <w:szCs w:val="22"/>
          <w:rtl w:val="0"/>
          <w:lang w:val="de-DE"/>
        </w:rPr>
        <w:t>ä</w:t>
      </w:r>
      <w:r>
        <w:rPr>
          <w:rFonts w:ascii="Times New Roman" w:hAnsi="Times New Roman"/>
          <w:sz w:val="22"/>
          <w:szCs w:val="22"/>
          <w:rtl w:val="0"/>
          <w:lang w:val="de-DE"/>
        </w:rPr>
        <w:t xml:space="preserve">position </w:t>
      </w:r>
      <w:r>
        <w:rPr>
          <w:rFonts w:ascii="Times New Roman" w:hAnsi="Times New Roman" w:hint="default"/>
          <w:sz w:val="22"/>
          <w:szCs w:val="22"/>
          <w:rtl w:val="0"/>
          <w:lang w:val="de-DE"/>
        </w:rPr>
        <w:t xml:space="preserve">διά </w:t>
      </w:r>
      <w:r>
        <w:rPr>
          <w:rFonts w:ascii="Times New Roman" w:hAnsi="Times New Roman"/>
          <w:sz w:val="22"/>
          <w:szCs w:val="22"/>
          <w:rtl w:val="0"/>
          <w:lang w:val="de-DE"/>
        </w:rPr>
        <w:t>(vgl. den Kommentar zu Col. 2v, 2), aber auch zahlreiche Fehler, die sich durch phonetische Unterschiede der beiden Sprachen erkl</w:t>
      </w:r>
      <w:r>
        <w:rPr>
          <w:rFonts w:ascii="Times New Roman" w:hAnsi="Times New Roman" w:hint="default"/>
          <w:sz w:val="22"/>
          <w:szCs w:val="22"/>
          <w:rtl w:val="0"/>
          <w:lang w:val="de-DE"/>
        </w:rPr>
        <w:t>ä</w:t>
      </w:r>
      <w:r>
        <w:rPr>
          <w:rFonts w:ascii="Times New Roman" w:hAnsi="Times New Roman"/>
          <w:sz w:val="22"/>
          <w:szCs w:val="22"/>
          <w:rtl w:val="0"/>
          <w:lang w:val="de-DE"/>
        </w:rPr>
        <w:t xml:space="preserve">ren lassen. Derartige Fehler und der angesprochene, wenig professionelle Schriftduktus deuten auf einen </w:t>
      </w:r>
      <w:r>
        <w:rPr>
          <w:rFonts w:ascii="Times New Roman" w:hAnsi="Times New Roman" w:hint="default"/>
          <w:sz w:val="22"/>
          <w:szCs w:val="22"/>
          <w:rtl w:val="0"/>
          <w:lang w:val="de-DE"/>
        </w:rPr>
        <w:t>Ä</w:t>
      </w:r>
      <w:r>
        <w:rPr>
          <w:rFonts w:ascii="Times New Roman" w:hAnsi="Times New Roman"/>
          <w:sz w:val="22"/>
          <w:szCs w:val="22"/>
          <w:rtl w:val="0"/>
          <w:lang w:val="de-DE"/>
        </w:rPr>
        <w:t>gypter auf dem Niveau eines Schreibergehilfen hin, der die vorliegende Abrechnung auf Griechisch abgefasst hat.</w:t>
      </w: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i w:val="1"/>
          <w:iCs w:val="1"/>
          <w:sz w:val="22"/>
          <w:szCs w:val="22"/>
          <w:lang w:val="de-DE"/>
        </w:rPr>
      </w:pPr>
    </w:p>
    <w:p>
      <w:pPr>
        <w:pStyle w:val="Normal.0"/>
        <w:rPr>
          <w:rFonts w:ascii="Times New Roman" w:cs="Times New Roman" w:hAnsi="Times New Roman" w:eastAsia="Times New Roman"/>
          <w:i w:val="1"/>
          <w:iCs w:val="1"/>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#editionDDB</w:t>
      </w:r>
    </w:p>
    <w:p>
      <w:pPr>
        <w:pStyle w:val="Normal.0"/>
        <w:rPr>
          <w:rFonts w:ascii="Times New Roman" w:cs="Times New Roman" w:hAnsi="Times New Roman" w:eastAsia="Times New Roman"/>
          <w:lang w:val="de-DE"/>
        </w:rPr>
      </w:pPr>
      <w:r>
        <w:rPr>
          <w:rFonts w:ascii="Times New Roman" w:hAnsi="Times New Roman"/>
          <w:rtl w:val="0"/>
          <w:lang w:val="de-DE"/>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IFAO-Grec Unicode" w:cs="IFAO-Grec Unicode" w:hAnsi="IFAO-Grec Unicode" w:eastAsia="IFAO-Grec Unicode"/>
          <w:sz w:val="20"/>
          <w:szCs w:val="20"/>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IFAO-Grec Unicode" w:cs="IFAO-Grec Unicode" w:hAnsi="IFAO-Grec Unicode" w:eastAsia="IFAO-Grec Unicode"/>
          <w:sz w:val="20"/>
          <w:szCs w:val="20"/>
          <w:u w:color="000000"/>
          <w:rtl w:val="0"/>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Papyrus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 w:val="left" w:pos="4320"/>
              </w:tabs>
              <w:bidi w:val="0"/>
              <w:spacing w:before="0" w:after="240" w:line="320" w:lineRule="atLeast"/>
              <w:ind w:left="0" w:right="0" w:firstLine="0"/>
              <w:jc w:val="left"/>
              <w:rPr>
                <w:rtl w:val="0"/>
              </w:rPr>
            </w:pPr>
            <w:r>
              <w:rPr>
                <w:rFonts w:ascii="IFAO-Grec Unicode" w:hAnsi="IFAO-Grec Unicode"/>
                <w:rtl w:val="0"/>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22</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 w:val="left" w:pos="4320"/>
              </w:tabs>
              <w:bidi w:val="0"/>
              <w:spacing w:before="0" w:after="240" w:line="320" w:lineRule="atLeast"/>
              <w:ind w:left="0" w:right="0" w:firstLine="0"/>
              <w:jc w:val="left"/>
              <w:rPr>
                <w:rtl w:val="0"/>
              </w:rPr>
            </w:pPr>
            <w:r>
              <w:rPr>
                <w:rFonts w:ascii="IFAO-Grec Unicode" w:hAnsi="IFAO-Grec Unicode"/>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35</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983639</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983639</w:t>
            </w:r>
          </w:p>
        </w:tc>
      </w:tr>
      <w:tr>
        <w:tblPrEx>
          <w:shd w:val="clear" w:color="auto" w:fill="cdd4e9"/>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Heading 2"/>
              <w:keepLines w:val="1"/>
              <w:tabs>
                <w:tab w:val="left" w:pos="720"/>
                <w:tab w:val="left" w:pos="1440"/>
                <w:tab w:val="left" w:pos="2160"/>
                <w:tab w:val="left" w:pos="2880"/>
                <w:tab w:val="left" w:pos="3600"/>
                <w:tab w:val="left" w:pos="4320"/>
              </w:tabs>
              <w:bidi w:val="0"/>
              <w:spacing w:before="40"/>
              <w:ind w:left="0" w:right="0" w:firstLine="0"/>
              <w:jc w:val="left"/>
              <w:outlineLvl w:val="0"/>
              <w:rPr>
                <w:rtl w:val="0"/>
              </w:rPr>
            </w:pPr>
            <w:r>
              <w:rPr>
                <w:rFonts w:ascii="Times New Roman" w:hAnsi="Times New Roman"/>
                <w:b w:val="0"/>
                <w:bCs w:val="0"/>
                <w:sz w:val="24"/>
                <w:szCs w:val="24"/>
                <w:u w:color="000000"/>
                <w:rtl w:val="0"/>
                <w:lang w:val="de-DE"/>
              </w:rPr>
              <w:t>Gewerbesteuerquittung f</w:t>
            </w:r>
            <w:r>
              <w:rPr>
                <w:rFonts w:ascii="Times New Roman" w:hAnsi="Times New Roman" w:hint="default"/>
                <w:b w:val="0"/>
                <w:bCs w:val="0"/>
                <w:sz w:val="24"/>
                <w:szCs w:val="24"/>
                <w:u w:color="000000"/>
                <w:rtl w:val="0"/>
                <w:lang w:val="de-DE"/>
              </w:rPr>
              <w:t>ü</w:t>
            </w:r>
            <w:r>
              <w:rPr>
                <w:rFonts w:ascii="Times New Roman" w:hAnsi="Times New Roman"/>
                <w:b w:val="0"/>
                <w:bCs w:val="0"/>
                <w:sz w:val="24"/>
                <w:szCs w:val="24"/>
                <w:u w:color="000000"/>
                <w:rtl w:val="0"/>
                <w:lang w:val="de-DE"/>
              </w:rPr>
              <w:t>r einen Zimmerman aus der Frankfurter Papyrussammlung</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2</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 xml:space="preserve">nd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rd century</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Arsinoites (?)</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P.Vindob. D 6897v</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Abrechnung, Geld, Palmyra</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IFAO-Grec Unicode" w:cs="IFAO-Grec Unicode" w:hAnsi="IFAO-Grec Unicode" w:eastAsia="IFAO-Grec Unicode"/>
          <w:sz w:val="20"/>
          <w:szCs w:val="20"/>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IFAO-Grec Unicode" w:cs="IFAO-Grec Unicode" w:hAnsi="IFAO-Grec Unicode" w:eastAsia="IFAO-Grec Unicode"/>
          <w:sz w:val="20"/>
          <w:szCs w:val="20"/>
          <w:u w:color="000000"/>
          <w:rtl w:val="0"/>
        </w:rPr>
      </w:pPr>
    </w:p>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lang w:val="de-DE"/>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"http://dimedata.huma-num.fr/documents/34"</w:instrText>
            </w:r>
            <w:r>
              <w:rPr>
                <w:rStyle w:val="Hyperlink.2"/>
                <w:rFonts w:ascii="Times New Roman" w:cs="Times New Roman" w:hAnsi="Times New Roman" w:eastAsia="Times New Roman"/>
                <w:sz w:val="22"/>
                <w:szCs w:val="22"/>
                <w:lang w:val="de-DE"/>
              </w:rPr>
              <w:fldChar w:fldCharType="separate" w:fldLock="0"/>
            </w:r>
            <w:r>
              <w:rPr>
                <w:rStyle w:val="Hyperlink.2"/>
                <w:rFonts w:ascii="Times New Roman" w:hAnsi="Times New Roman"/>
                <w:sz w:val="22"/>
                <w:szCs w:val="22"/>
                <w:rtl w:val="0"/>
                <w:lang w:val="de-DE"/>
              </w:rPr>
              <w:t>P.DimeData 34v</w:t>
            </w:r>
            <w:r>
              <w:rPr>
                <w:lang w:val="de-DE"/>
              </w:rPr>
              <w:fldChar w:fldCharType="end" w:fldLock="0"/>
            </w:r>
            <w:r>
              <w:rPr>
                <w:rFonts w:ascii="Times New Roman" w:hAnsi="Times New Roman"/>
                <w:sz w:val="22"/>
                <w:szCs w:val="22"/>
                <w:rtl w:val="0"/>
                <w:lang w:val="de-DE"/>
              </w:rPr>
              <w:t xml:space="preserve"> </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pPr>
            <w:r>
              <w:rPr>
                <w:rFonts w:ascii="Times New Roman" w:hAnsi="Times New Roman"/>
                <w:sz w:val="22"/>
                <w:szCs w:val="22"/>
                <w:rtl w:val="0"/>
                <w:lang w:val="de-DE"/>
              </w:rPr>
              <w:t>22,0 (H) x 35,0 (B)</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pPr>
            <w:r>
              <w:rPr>
                <w:rFonts w:ascii="Times New Roman" w:hAnsi="Times New Roman"/>
                <w:sz w:val="22"/>
                <w:szCs w:val="22"/>
                <w:rtl w:val="0"/>
                <w:lang w:val="de-DE"/>
              </w:rPr>
              <w:t>Soknopaiu Nesos</w:t>
            </w:r>
          </w:p>
        </w:tc>
      </w:tr>
      <w:tr>
        <w:tblPrEx>
          <w:shd w:val="clear" w:color="auto" w:fill="cdd4e9"/>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Normal.0"/>
            </w:pPr>
            <w:r>
              <w:rPr>
                <w:rFonts w:ascii="Times New Roman" w:hAnsi="Times New Roman"/>
                <w:sz w:val="22"/>
                <w:szCs w:val="22"/>
                <w:rtl w:val="0"/>
                <w:lang w:val="de-DE"/>
              </w:rPr>
              <w:t>(P.Vindob. D 6897v)</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Normal.0"/>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"http://www.trismegistos.org/text/983639"</w:instrText>
            </w:r>
            <w:r>
              <w:rPr>
                <w:rStyle w:val="Hyperlink.2"/>
                <w:rFonts w:ascii="Times New Roman" w:cs="Times New Roman" w:hAnsi="Times New Roman" w:eastAsia="Times New Roman"/>
                <w:sz w:val="22"/>
                <w:szCs w:val="22"/>
                <w:lang w:val="de-DE"/>
              </w:rPr>
              <w:fldChar w:fldCharType="separate" w:fldLock="0"/>
            </w:r>
            <w:r>
              <w:rPr>
                <w:rStyle w:val="Hyperlink.2"/>
                <w:rFonts w:ascii="Times New Roman" w:hAnsi="Times New Roman"/>
                <w:sz w:val="22"/>
                <w:szCs w:val="22"/>
                <w:rtl w:val="0"/>
                <w:lang w:val="de-DE"/>
              </w:rPr>
              <w:t>TM 983639</w:t>
            </w:r>
            <w:r>
              <w:rPr>
                <w:lang w:val="de-DE"/>
              </w:rPr>
              <w:fldChar w:fldCharType="end" w:fldLock="0"/>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Normal.0"/>
            </w:pPr>
            <w:r>
              <w:rPr>
                <w:rFonts w:ascii="Times New Roman" w:hAnsi="Times New Roman"/>
                <w:sz w:val="22"/>
                <w:szCs w:val="22"/>
                <w:rtl w:val="0"/>
                <w:lang w:val="de-DE"/>
              </w:rPr>
              <w:t>2.</w:t>
            </w:r>
            <w:r>
              <w:rPr>
                <w:rFonts w:ascii="Times New Roman" w:hAnsi="Times New Roman" w:hint="default"/>
                <w:sz w:val="22"/>
                <w:szCs w:val="22"/>
                <w:rtl w:val="0"/>
                <w:lang w:val="de-DE"/>
              </w:rPr>
              <w:t>–</w:t>
            </w:r>
            <w:r>
              <w:rPr>
                <w:rFonts w:ascii="Times New Roman" w:hAnsi="Times New Roman"/>
                <w:sz w:val="22"/>
                <w:szCs w:val="22"/>
                <w:rtl w:val="0"/>
                <w:lang w:val="de-DE"/>
              </w:rPr>
              <w:t>3. Jh. n.Chr.</w:t>
            </w:r>
          </w:p>
        </w:tc>
      </w:tr>
    </w:tbl>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#text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rPr>
        <w:t>&lt;S=.grc</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Times New Roman" w:cs="Times New Roman" w:hAnsi="Times New Roman" w:eastAsia="Times New Roman"/>
          <w:sz w:val="24"/>
          <w:szCs w:val="24"/>
          <w:u w:color="000000"/>
          <w:rtl w:val="0"/>
        </w:rPr>
      </w:pPr>
      <w:r>
        <w:rPr>
          <w:rFonts w:ascii="IFAO-Grec Unicode" w:hAnsi="IFAO-Grec Unicode"/>
          <w:sz w:val="24"/>
          <w:szCs w:val="24"/>
          <w:u w:color="000000"/>
          <w:rtl w:val="0"/>
        </w:rPr>
        <w:t>&lt;=</w:t>
      </w:r>
    </w:p>
    <w:p>
      <w:pPr>
        <w:pStyle w:val="Normal.0"/>
        <w:rPr>
          <w:rFonts w:ascii="Times New Roman" w:cs="Times New Roman" w:hAnsi="Times New Roman" w:eastAsia="Times New Roman"/>
          <w:sz w:val="22"/>
          <w:szCs w:val="22"/>
        </w:rPr>
      </w:pPr>
      <w:r>
        <w:rPr>
          <w:rFonts w:ascii="Times New Roman" w:cs="IFAO-Grec Unicode" w:hAnsi="Times New Roman" w:eastAsia="IFAO-Grec Unicode"/>
          <w:sz w:val="22"/>
          <w:szCs w:val="22"/>
          <w:rtl w:val="0"/>
          <w:lang w:val="de-DE"/>
        </w:rPr>
        <w:t xml:space="preserve">1. </w:t>
      </w:r>
      <w:r>
        <w:rPr>
          <w:rFonts w:ascii="IFAO-Grec Unicode" w:cs="IFAO-Grec Unicode" w:hAnsi="IFAO-Grec Unicode" w:eastAsia="IFAO-Grec Unicode"/>
          <w:sz w:val="22"/>
          <w:szCs w:val="22"/>
          <w:shd w:val="nil" w:color="auto" w:fill="auto"/>
          <w:rtl w:val="0"/>
          <w:lang w:val="de-DE"/>
        </w:rPr>
        <w:t xml:space="preserve">καὶ κ̣α̣ι̣φαλέου </w:t>
      </w:r>
      <w:r>
        <w:rPr>
          <w:rFonts w:ascii="IFAO-Grec Unicode" w:cs="IFAO-Grec Unicode" w:hAnsi="IFAO-Grec Unicode" w:eastAsia="IFAO-Grec Unicode"/>
          <w:sz w:val="22"/>
          <w:szCs w:val="22"/>
          <w:shd w:val="nil" w:color="auto" w:fill="auto"/>
          <w:rtl w:val="0"/>
          <w:lang w:val="de-DE"/>
        </w:rPr>
        <w:t>(</w:t>
      </w:r>
      <w:r>
        <w:rPr>
          <w:rFonts w:ascii="IFAO-Grec Unicode" w:cs="IFAO-Grec Unicode" w:hAnsi="IFAO-Grec Unicode" w:eastAsia="IFAO-Grec Unicode"/>
          <w:sz w:val="22"/>
          <w:szCs w:val="22"/>
          <w:shd w:val="nil" w:color="auto" w:fill="auto"/>
          <w:rtl w:val="0"/>
          <w:lang w:val="de-DE"/>
        </w:rPr>
        <w:t>(</w:t>
      </w:r>
      <w:r>
        <w:rPr>
          <w:rFonts w:ascii="IFAO-Grec Unicode" w:cs="IFAO-Grec Unicode" w:hAnsi="IFAO-Grec Unicode" w:eastAsia="IFAO-Grec Unicode"/>
          <w:sz w:val="22"/>
          <w:szCs w:val="22"/>
          <w:shd w:val="nil" w:color="auto" w:fill="auto"/>
          <w:rtl w:val="0"/>
          <w:lang w:val="de-DE"/>
        </w:rPr>
        <w:t>δραχμῶν</w:t>
      </w:r>
      <w:r>
        <w:rPr>
          <w:rFonts w:ascii="IFAO-Grec Unicode" w:cs="IFAO-Grec Unicode" w:hAnsi="IFAO-Grec Unicode" w:eastAsia="IFAO-Grec Unicode"/>
          <w:sz w:val="22"/>
          <w:szCs w:val="22"/>
          <w:shd w:val="nil" w:color="auto" w:fill="auto"/>
          <w:rtl w:val="0"/>
          <w:lang w:val="de-DE"/>
        </w:rPr>
        <w:t>)</w:t>
      </w:r>
      <w:r>
        <w:rPr>
          <w:rFonts w:ascii="IFAO-Grec Unicode" w:cs="IFAO-Grec Unicode" w:hAnsi="IFAO-Grec Unicode" w:eastAsia="IFAO-Grec Unicode"/>
          <w:sz w:val="22"/>
          <w:szCs w:val="22"/>
          <w:shd w:val="nil" w:color="auto" w:fill="auto"/>
          <w:rtl w:val="0"/>
          <w:lang w:val="de-DE"/>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=&gt;</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#translation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&lt;T=.</w:t>
      </w:r>
      <w:r>
        <w:rPr>
          <w:rFonts w:ascii="IFAO-Grec Unicode" w:hAnsi="IFAO-Grec Unicode"/>
          <w:sz w:val="24"/>
          <w:szCs w:val="24"/>
          <w:u w:color="000000"/>
          <w:rtl w:val="0"/>
          <w:lang w:val="de-DE"/>
        </w:rPr>
        <w:t>de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&lt;=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 xml:space="preserve">((1)) </w:t>
      </w:r>
      <w:r>
        <w:rPr>
          <w:rFonts w:ascii="IFAO-Grec Unicode" w:hAnsi="IFAO-Grec Unicode"/>
          <w:sz w:val="24"/>
          <w:szCs w:val="24"/>
          <w:u w:color="000000"/>
          <w:rtl w:val="0"/>
          <w:lang w:val="de-DE"/>
        </w:rPr>
        <w:t>Und f</w:t>
      </w:r>
      <w:r>
        <w:rPr>
          <w:rFonts w:ascii="IFAO-Grec Unicode" w:hAnsi="IFAO-Grec Unicode" w:hint="default"/>
          <w:sz w:val="24"/>
          <w:szCs w:val="24"/>
          <w:u w:color="000000"/>
          <w:rtl w:val="0"/>
          <w:lang w:val="de-DE"/>
        </w:rPr>
        <w:t>ü</w:t>
      </w:r>
      <w:r>
        <w:rPr>
          <w:rFonts w:ascii="IFAO-Grec Unicode" w:hAnsi="IFAO-Grec Unicode"/>
          <w:sz w:val="24"/>
          <w:szCs w:val="24"/>
          <w:u w:color="000000"/>
          <w:rtl w:val="0"/>
          <w:lang w:val="de-DE"/>
        </w:rPr>
        <w:t>r eine Gesamtsumme von 6724 Drachmen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=&gt;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Times New Roman" w:cs="Times New Roman" w:hAnsi="Times New Roman" w:eastAsia="Times New Roman"/>
          <w:sz w:val="24"/>
          <w:szCs w:val="24"/>
          <w:u w:color="000000"/>
          <w:rtl w:val="0"/>
          <w:lang w:val="de-DE"/>
        </w:rPr>
      </w:pPr>
      <w:r>
        <w:rPr>
          <w:rFonts w:ascii="IFAO-Grec Unicode" w:hAnsi="IFAO-Grec Unicode"/>
          <w:sz w:val="24"/>
          <w:szCs w:val="24"/>
          <w:u w:color="000000"/>
          <w:rtl w:val="0"/>
          <w:lang w:val="de-DE"/>
        </w:rPr>
        <w:t>=T&gt;</w:t>
      </w:r>
    </w:p>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lang w:val="de-DE"/>
        </w:rPr>
      </w:pPr>
      <w:r>
        <w:rPr>
          <w:rFonts w:ascii="Times New Roman" w:hAnsi="Times New Roman"/>
          <w:rtl w:val="0"/>
          <w:lang w:val="de-DE"/>
        </w:rPr>
        <w:t>#commentary</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 </w:t>
      </w:r>
      <w:r>
        <w:rPr>
          <w:rFonts w:ascii="IFAO-Grec Unicode" w:cs="IFAO-Grec Unicode" w:hAnsi="IFAO-Grec Unicode" w:eastAsia="IFAO-Grec Unicode"/>
          <w:sz w:val="22"/>
          <w:szCs w:val="22"/>
          <w:rtl w:val="0"/>
          <w:lang w:val="de-DE"/>
        </w:rPr>
        <w:t>Diese Zeil</w:t>
      </w:r>
      <w:r>
        <w:rPr>
          <w:rFonts w:ascii="IFAO-Grec Unicode" w:cs="IFAO-Grec Unicode" w:hAnsi="IFAO-Grec Unicode" w:eastAsia="IFAO-Grec Unicode"/>
          <w:sz w:val="22"/>
          <w:szCs w:val="22"/>
          <w:rtl w:val="0"/>
          <w:lang w:val="de-DE"/>
        </w:rPr>
        <w:t>e</w:t>
      </w:r>
      <w:r>
        <w:rPr>
          <w:rFonts w:ascii="IFAO-Grec Unicode" w:cs="IFAO-Grec Unicode" w:hAnsi="IFAO-Grec Unicode" w:eastAsia="IFAO-Grec Unicode"/>
          <w:sz w:val="22"/>
          <w:szCs w:val="22"/>
          <w:rtl w:val="0"/>
          <w:lang w:val="de-DE"/>
        </w:rPr>
        <w:t xml:space="preserve"> wurde offenbar nachgetragen, nachdem der Abrechnungsvorgang abgeschlossen und alle Angaben summiert waren. Sie steht etwas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 den Kolumnenanf</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ngen von Col. 2 und 3v.</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Ϛ̅ψκδ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Um die Tausender zu markieren, gebrauchte der Schreiber einen horizontalen Strich mit einem Kringel an der linken Seite. Eine solche Markierung findet sich auch in Col. 1v, 12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r </w:t>
      </w:r>
      <w:r>
        <w:rPr>
          <w:rFonts w:ascii="IFAO-Grec Unicode" w:cs="IFAO-Grec Unicode" w:hAnsi="IFAO-Grec Unicode" w:eastAsia="IFAO-Grec Unicode"/>
          <w:sz w:val="22"/>
          <w:szCs w:val="22"/>
          <w:rtl w:val="0"/>
          <w:lang w:val="de-DE"/>
        </w:rPr>
        <w:t xml:space="preserve">Α </w:t>
      </w:r>
      <w:r>
        <w:rPr>
          <w:rFonts w:ascii="IFAO-Grec Unicode" w:cs="IFAO-Grec Unicode" w:hAnsi="IFAO-Grec Unicode" w:eastAsia="IFAO-Grec Unicode"/>
          <w:sz w:val="22"/>
          <w:szCs w:val="22"/>
          <w:rtl w:val="0"/>
          <w:lang w:val="de-DE"/>
        </w:rPr>
        <w:t xml:space="preserve">(1000). Im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brigen hat der Schreiber eine Umrechnung der 6000 Drachmen in ein Talent unterlassen.</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 </w:t>
      </w:r>
      <w:r>
        <w:rPr>
          <w:rFonts w:ascii="IFAO-Grec Unicode" w:cs="IFAO-Grec Unicode" w:hAnsi="IFAO-Grec Unicode" w:eastAsia="IFAO-Grec Unicode"/>
          <w:sz w:val="22"/>
          <w:szCs w:val="22"/>
          <w:rtl w:val="0"/>
          <w:lang w:val="de-DE"/>
        </w:rPr>
        <w:t xml:space="preserve">Diese Zeile muss wohl eine Art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berschrift gewesen sein, da kein zugeh</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riger Drachmenbetrag verzeichnet ist.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3 </w:t>
      </w:r>
      <w:bookmarkStart w:name="_Hlk134486911" w:id="1"/>
      <w:r>
        <w:rPr>
          <w:rFonts w:ascii="IFAO-Grec Unicode" w:cs="IFAO-Grec Unicode" w:hAnsi="IFAO-Grec Unicode" w:eastAsia="IFAO-Grec Unicode"/>
          <w:sz w:val="22"/>
          <w:szCs w:val="22"/>
          <w:rtl w:val="0"/>
          <w:lang w:val="de-DE"/>
        </w:rPr>
        <w:t>Eine Erg</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nzung dieser Zeile zu [-ca.?-] [</w:t>
      </w:r>
      <w:r>
        <w:rPr>
          <w:rFonts w:ascii="IFAO-Grec Unicode" w:cs="IFAO-Grec Unicode" w:hAnsi="IFAO-Grec Unicode" w:eastAsia="IFAO-Grec Unicode"/>
          <w:sz w:val="22"/>
          <w:szCs w:val="22"/>
          <w:rtl w:val="0"/>
          <w:lang w:val="de-DE"/>
        </w:rPr>
        <w:t>ϊς τὴ</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ν πῶλι</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ν</w:t>
      </w:r>
      <w:r>
        <w:rPr>
          <w:rFonts w:ascii="IFAO-Grec Unicode" w:cs="IFAO-Grec Unicode" w:hAnsi="IFAO-Grec Unicode" w:eastAsia="IFAO-Grec Unicode"/>
          <w:sz w:val="22"/>
          <w:szCs w:val="22"/>
          <w:rtl w:val="0"/>
          <w:lang w:val="de-DE"/>
        </w:rPr>
        <w:t>) ist analog zu Col. 1v, 13 und 2v, 6 denkbar, aber aufgrund des fehlenden Kontexts hier nicht sicher anzusetzen. Denkbar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re etwa auch der Dativ </w:t>
      </w:r>
      <w:r>
        <w:rPr>
          <w:rFonts w:ascii="IFAO-Grec Unicode" w:cs="IFAO-Grec Unicode" w:hAnsi="IFAO-Grec Unicode" w:eastAsia="IFAO-Grec Unicode"/>
          <w:sz w:val="22"/>
          <w:szCs w:val="22"/>
          <w:rtl w:val="0"/>
          <w:lang w:val="de-DE"/>
        </w:rPr>
        <w:t>πόλει</w:t>
      </w:r>
      <w:r>
        <w:rPr>
          <w:rFonts w:ascii="IFAO-Grec Unicode" w:cs="IFAO-Grec Unicode" w:hAnsi="IFAO-Grec Unicode" w:eastAsia="IFAO-Grec Unicode"/>
          <w:sz w:val="22"/>
          <w:szCs w:val="22"/>
          <w:rtl w:val="0"/>
          <w:lang w:val="de-DE"/>
        </w:rPr>
        <w:t>, bei dem ebenfalls der h</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ufige Wechsel von Omikron zu Omega sowie derjenige des Diphthongs </w:t>
      </w:r>
      <w:r>
        <w:rPr>
          <w:rFonts w:ascii="IFAO-Grec Unicode" w:cs="IFAO-Grec Unicode" w:hAnsi="IFAO-Grec Unicode" w:eastAsia="IFAO-Grec Unicode"/>
          <w:sz w:val="22"/>
          <w:szCs w:val="22"/>
          <w:rtl w:val="0"/>
          <w:lang w:val="de-DE"/>
        </w:rPr>
        <w:t xml:space="preserve">ει </w:t>
      </w:r>
      <w:r>
        <w:rPr>
          <w:rFonts w:ascii="IFAO-Grec Unicode" w:cs="IFAO-Grec Unicode" w:hAnsi="IFAO-Grec Unicode" w:eastAsia="IFAO-Grec Unicode"/>
          <w:sz w:val="22"/>
          <w:szCs w:val="22"/>
          <w:rtl w:val="0"/>
          <w:lang w:val="de-DE"/>
        </w:rPr>
        <w:t>mit dem einfachen Iota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 xml:space="preserve">glich ist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"https://papyri.info/biblio/8813"</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Gignac 1976</w:t>
      </w:r>
      <w:r>
        <w:rPr>
          <w:lang w:val="de-DE"/>
        </w:rPr>
        <w:fldChar w:fldCharType="end" w:fldLock="0"/>
      </w:r>
      <w:r>
        <w:rPr>
          <w:rFonts w:ascii="IFAO-Grec Unicode" w:cs="IFAO-Grec Unicode" w:hAnsi="IFAO-Grec Unicode" w:eastAsia="IFAO-Grec Unicode"/>
          <w:sz w:val="22"/>
          <w:szCs w:val="22"/>
          <w:rtl w:val="0"/>
          <w:lang w:val="de-DE"/>
        </w:rPr>
        <w:t>: 189-191; 275-277).</w:t>
      </w:r>
      <w:bookmarkEnd w:id="1"/>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9</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ὀβολοὶ</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Eine solche Abk</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rzung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Obolen ist bisher nicht belegt, erscheint aber in der Kombination mit Drachmen sehr wahrscheinlich. Das Zeichen selbst besteht aus einem Querstrich von unten links nach oben rechts mit einem zus</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tzlichen Punkt im linken oberen Bereich. Die Einheit taucht an drei weiteren Stellen auf </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sz w:val="22"/>
          <w:szCs w:val="22"/>
          <w:rtl w:val="0"/>
          <w:lang w:val="de-DE"/>
        </w:rPr>
        <w:t xml:space="preserve">Col. 1v, 14.15 und 2 v, 7 (ohne Drachmenbetrag) </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 wobei sie nur einmal ohne einen zus</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tzlichen Drachmenpreis steht und der Betrag stets durch vier teilbar ist (8, 4, 16 und 20), was jedoch ein Zufall sein kann. Die Tatsachen, dass die Zahlenwerte nicht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 20 hinausgehen und dass die Drachmenbetr</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ge ebenfalls allesamt durch vier teilbar sind, sprechen daf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r, dass eine Umrechnung von Obolen in Drachmen erst bei Tetradrachmen mit 24 Obolen stattfand, vgl. hierzu auch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"https://papyri.info/biblio/15271"</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P.Louvre 1 50 und 51</w:t>
      </w:r>
      <w:r>
        <w:rPr>
          <w:lang w:val="de-DE"/>
        </w:rPr>
        <w:fldChar w:fldCharType="end" w:fldLock="0"/>
      </w:r>
      <w:r>
        <w:rPr>
          <w:rFonts w:ascii="IFAO-Grec Unicode" w:cs="IFAO-Grec Unicode" w:hAnsi="IFAO-Grec Unicode" w:eastAsia="IFAO-Grec Unicode"/>
          <w:sz w:val="22"/>
          <w:szCs w:val="22"/>
          <w:rtl w:val="0"/>
          <w:lang w:val="de-DE"/>
        </w:rPr>
        <w:t xml:space="preserve"> aus dem Archiv des Gutsverwalters Pakysis. Dort sind die Obolen zwar mit dem regul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ren waagrechten Strich ausgedr</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ckt, allerdings entsprechen die vorkommenden Kombinationen von Drachmen und Obolen denjenigen aus dem vorliegenden Papyrus.</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12 </w:t>
      </w:r>
      <w:r>
        <w:rPr>
          <w:rFonts w:ascii="IFAO-Grec Unicode" w:cs="IFAO-Grec Unicode" w:hAnsi="IFAO-Grec Unicode" w:eastAsia="IFAO-Grec Unicode"/>
          <w:b w:val="1"/>
          <w:bCs w:val="1"/>
          <w:sz w:val="22"/>
          <w:szCs w:val="22"/>
          <w:rtl w:val="0"/>
          <w:lang w:val="de-DE"/>
        </w:rPr>
        <w:t>Μ̣έλα̣ς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Der Personenname Melas ist in dieser Abrechnung sehr pr</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sent. Er ist zwar bereits in ptolem</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ischer Zeit belegt, wird aber vor allem ab dem 2. Jh. n.Chr. in der griechischen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berlieferung immer h</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ufiger. Der Name ist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berwiegend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das Fay</w:t>
      </w:r>
      <w:r>
        <w:rPr>
          <w:rFonts w:ascii="IFAO-Grec Unicode" w:cs="IFAO-Grec Unicode" w:hAnsi="IFAO-Grec Unicode" w:eastAsia="IFAO-Grec Unicode"/>
          <w:sz w:val="22"/>
          <w:szCs w:val="22"/>
          <w:rtl w:val="0"/>
          <w:lang w:val="de-DE"/>
        </w:rPr>
        <w:t>û</w:t>
      </w:r>
      <w:r>
        <w:rPr>
          <w:rFonts w:ascii="IFAO-Grec Unicode" w:cs="IFAO-Grec Unicode" w:hAnsi="IFAO-Grec Unicode" w:eastAsia="IFAO-Grec Unicode"/>
          <w:sz w:val="22"/>
          <w:szCs w:val="22"/>
          <w:rtl w:val="0"/>
          <w:lang w:val="de-DE"/>
        </w:rPr>
        <w:t xml:space="preserve">m bezeugt,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"http://www.trismegistos.org/name/4061"</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4061</w:t>
      </w:r>
      <w:r>
        <w:rPr>
          <w:lang w:val="de-DE"/>
        </w:rPr>
        <w:fldChar w:fldCharType="end" w:fldLock="0"/>
      </w:r>
      <w:r>
        <w:rPr>
          <w:rFonts w:ascii="IFAO-Grec Unicode" w:cs="IFAO-Grec Unicode" w:hAnsi="IFAO-Grec Unicode" w:eastAsia="IFAO-Grec Unicode"/>
          <w:sz w:val="22"/>
          <w:szCs w:val="22"/>
          <w:rtl w:val="0"/>
          <w:lang w:val="de-DE"/>
        </w:rPr>
        <w:t>.</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δραχμαὶ</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b w:val="1"/>
          <w:bCs w:val="1"/>
          <w:sz w:val="22"/>
          <w:szCs w:val="22"/>
          <w:rtl w:val="0"/>
          <w:lang w:val="de-DE"/>
        </w:rPr>
        <w:t>Α̅̅σ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Hierbei handelt es sich etwa um ein Sechstel der in Col. 1v, 1 genannten Gesamtsumme.</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14 </w:t>
      </w:r>
      <w:r>
        <w:rPr>
          <w:rFonts w:ascii="IFAO-Grec Unicode" w:cs="IFAO-Grec Unicode" w:hAnsi="IFAO-Grec Unicode" w:eastAsia="IFAO-Grec Unicode"/>
          <w:b w:val="1"/>
          <w:bCs w:val="1"/>
          <w:sz w:val="22"/>
          <w:szCs w:val="22"/>
          <w:rtl w:val="0"/>
          <w:lang w:val="de-DE"/>
        </w:rPr>
        <w:t>Ἁ̣λ̣μυρ̣ά̣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Das Epoikion Halmyra erscheint insgesamt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nfmal in dieser Abrechnung, vgl. hierzu die gesonderte Diskussion weiter unten.</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sz w:val="22"/>
          <w:szCs w:val="22"/>
          <w:lang w:val="de-DE"/>
        </w:rPr>
      </w:pPr>
    </w:p>
    <w:p>
      <w:pPr>
        <w:pStyle w:val="Normal.0"/>
        <w:jc w:val="both"/>
        <w:rPr>
          <w:rFonts w:ascii="IFAO-Grec Unicode" w:cs="IFAO-Grec Unicode" w:hAnsi="IFAO-Grec Unicode" w:eastAsia="IFAO-Grec Unicode"/>
          <w:sz w:val="22"/>
          <w:szCs w:val="22"/>
          <w:shd w:val="clear" w:color="auto" w:fill="ffff00"/>
          <w:lang w:val="de-DE"/>
        </w:rPr>
      </w:pPr>
      <w:r>
        <w:rPr>
          <w:rFonts w:ascii="IFAO-Grec Unicode" w:cs="IFAO-Grec Unicode" w:hAnsi="IFAO-Grec Unicode" w:eastAsia="IFAO-Grec Unicode"/>
          <w:b w:val="1"/>
          <w:bCs w:val="1"/>
          <w:sz w:val="22"/>
          <w:szCs w:val="22"/>
          <w:rtl w:val="0"/>
          <w:lang w:val="de-DE"/>
        </w:rPr>
        <w:t xml:space="preserve">1 </w:t>
      </w:r>
      <w:r>
        <w:rPr>
          <w:rFonts w:ascii="IFAO-Grec Unicode" w:cs="IFAO-Grec Unicode" w:hAnsi="IFAO-Grec Unicode" w:eastAsia="IFAO-Grec Unicode"/>
          <w:b w:val="1"/>
          <w:bCs w:val="1"/>
          <w:sz w:val="22"/>
          <w:szCs w:val="22"/>
          <w:rtl w:val="0"/>
          <w:lang w:val="de-DE"/>
        </w:rPr>
        <w:t>ϊς Ἁλ̣</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μ</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υ̣ρὰμ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Der Papyrus bietet an dieser Stelle die einzige Form des Akkusativs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den Ortsnamen Halmyra mit eigentlich nicht n</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 xml:space="preserve">tiger Assimilation vor Tau,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"https://papyri.info/biblio/8813"</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Gignac 1976</w:t>
      </w:r>
      <w:r>
        <w:rPr>
          <w:lang w:val="de-DE"/>
        </w:rPr>
        <w:fldChar w:fldCharType="end" w:fldLock="0"/>
      </w:r>
      <w:r>
        <w:rPr>
          <w:rFonts w:ascii="IFAO-Grec Unicode" w:cs="IFAO-Grec Unicode" w:hAnsi="IFAO-Grec Unicode" w:eastAsia="IFAO-Grec Unicode"/>
          <w:sz w:val="22"/>
          <w:szCs w:val="22"/>
          <w:rtl w:val="0"/>
          <w:lang w:val="de-DE"/>
        </w:rPr>
        <w:t>: 166f.</w:t>
      </w:r>
    </w:p>
    <w:p>
      <w:pPr>
        <w:pStyle w:val="Normal.0"/>
        <w:rPr>
          <w:rFonts w:ascii="IFAO-Grec Unicode" w:cs="IFAO-Grec Unicode" w:hAnsi="IFAO-Grec Unicode" w:eastAsia="IFAO-Grec Unicode"/>
          <w:b w:val="1"/>
          <w:bCs w:val="1"/>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 </w:t>
      </w:r>
      <w:r>
        <w:rPr>
          <w:rFonts w:ascii="IFAO-Grec Unicode" w:cs="IFAO-Grec Unicode" w:hAnsi="IFAO-Grec Unicode" w:eastAsia="IFAO-Grec Unicode"/>
          <w:b w:val="1"/>
          <w:bCs w:val="1"/>
          <w:sz w:val="22"/>
          <w:szCs w:val="22"/>
          <w:rtl w:val="0"/>
          <w:lang w:val="de-DE"/>
        </w:rPr>
        <w:t>διὰ Σώτας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Der Name Sotas, der insbesondere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das Fay</w:t>
      </w:r>
      <w:r>
        <w:rPr>
          <w:rFonts w:ascii="IFAO-Grec Unicode" w:cs="IFAO-Grec Unicode" w:hAnsi="IFAO-Grec Unicode" w:eastAsia="IFAO-Grec Unicode"/>
          <w:sz w:val="22"/>
          <w:szCs w:val="22"/>
          <w:rtl w:val="0"/>
          <w:lang w:val="de-DE"/>
        </w:rPr>
        <w:t>û</w:t>
      </w:r>
      <w:r>
        <w:rPr>
          <w:rFonts w:ascii="IFAO-Grec Unicode" w:cs="IFAO-Grec Unicode" w:hAnsi="IFAO-Grec Unicode" w:eastAsia="IFAO-Grec Unicode"/>
          <w:sz w:val="22"/>
          <w:szCs w:val="22"/>
          <w:rtl w:val="0"/>
          <w:lang w:val="de-DE"/>
        </w:rPr>
        <w:t xml:space="preserve">m und auch Soknopaiu Nesos sehr oft belegt ist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"http://www.trismegistos.org/name/5944"</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5944</w:t>
      </w:r>
      <w:r>
        <w:rPr>
          <w:lang w:val="de-DE"/>
        </w:rPr>
        <w:fldChar w:fldCharType="end" w:fldLock="0"/>
      </w:r>
      <w:r>
        <w:rPr>
          <w:rFonts w:ascii="IFAO-Grec Unicode" w:cs="IFAO-Grec Unicode" w:hAnsi="IFAO-Grec Unicode" w:eastAsia="IFAO-Grec Unicode"/>
          <w:sz w:val="22"/>
          <w:szCs w:val="22"/>
          <w:rtl w:val="0"/>
          <w:lang w:val="de-DE"/>
        </w:rPr>
        <w:t xml:space="preserve"> und z.B. die Steuerquittung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"http://papyri.info/ddbdp/bgu%3B2%3B383"</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BGU 2 383</w:t>
      </w:r>
      <w:r>
        <w:rPr>
          <w:lang w:val="de-DE"/>
        </w:rPr>
        <w:fldChar w:fldCharType="end" w:fldLock="0"/>
      </w:r>
      <w:r>
        <w:rPr>
          <w:rFonts w:ascii="IFAO-Grec Unicode" w:cs="IFAO-Grec Unicode" w:hAnsi="IFAO-Grec Unicode" w:eastAsia="IFAO-Grec Unicode"/>
          <w:sz w:val="22"/>
          <w:szCs w:val="22"/>
          <w:rtl w:val="0"/>
          <w:lang w:val="de-DE"/>
        </w:rPr>
        <w:t>), wurde hier nicht in den Genetiv gesetzt, vermutlich da der Schreiber die Form des Namens bereits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einen Genitiv der griechischen a-Deklination hielt.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4 [</w:t>
      </w:r>
      <w:r>
        <w:rPr>
          <w:rFonts w:ascii="IFAO-Grec Unicode" w:cs="IFAO-Grec Unicode" w:hAnsi="IFAO-Grec Unicode" w:eastAsia="IFAO-Grec Unicode"/>
          <w:b w:val="1"/>
          <w:bCs w:val="1"/>
          <w:sz w:val="22"/>
          <w:szCs w:val="22"/>
          <w:rtl w:val="0"/>
          <w:lang w:val="de-DE"/>
        </w:rPr>
        <w:t>δ</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ι̣άτης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Die hier vorgeschlagene Deutung von </w:t>
      </w:r>
      <w:r>
        <w:rPr>
          <w:rFonts w:ascii="IFAO-Grec Unicode" w:cs="IFAO-Grec Unicode" w:hAnsi="IFAO-Grec Unicode" w:eastAsia="IFAO-Grec Unicode"/>
          <w:sz w:val="22"/>
          <w:szCs w:val="22"/>
          <w:rtl w:val="0"/>
          <w:lang w:val="de-DE"/>
        </w:rPr>
        <w:t xml:space="preserve">διάτης </w:t>
      </w:r>
      <w:r>
        <w:rPr>
          <w:rFonts w:ascii="IFAO-Grec Unicode" w:cs="IFAO-Grec Unicode" w:hAnsi="IFAO-Grec Unicode" w:eastAsia="IFAO-Grec Unicode"/>
          <w:sz w:val="22"/>
          <w:szCs w:val="22"/>
          <w:rtl w:val="0"/>
          <w:lang w:val="de-DE"/>
        </w:rPr>
        <w:t xml:space="preserve">zu </w:t>
      </w:r>
      <w:r>
        <w:rPr>
          <w:rFonts w:ascii="IFAO-Grec Unicode" w:cs="IFAO-Grec Unicode" w:hAnsi="IFAO-Grec Unicode" w:eastAsia="IFAO-Grec Unicode"/>
          <w:sz w:val="22"/>
          <w:szCs w:val="22"/>
          <w:rtl w:val="0"/>
          <w:lang w:val="de-DE"/>
        </w:rPr>
        <w:t xml:space="preserve">διαίτης </w:t>
      </w:r>
      <w:r>
        <w:rPr>
          <w:rFonts w:ascii="IFAO-Grec Unicode" w:cs="IFAO-Grec Unicode" w:hAnsi="IFAO-Grec Unicode" w:eastAsia="IFAO-Grec Unicode"/>
          <w:sz w:val="22"/>
          <w:szCs w:val="22"/>
          <w:rtl w:val="0"/>
          <w:lang w:val="de-DE"/>
        </w:rPr>
        <w:t xml:space="preserve">basiert auf dem Wegfall des Iota bei Langdiphthongen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"https://papyri.info/biblio/8813"</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Gignac 1976</w:t>
      </w:r>
      <w:r>
        <w:rPr>
          <w:lang w:val="de-DE"/>
        </w:rPr>
        <w:fldChar w:fldCharType="end" w:fldLock="0"/>
      </w:r>
      <w:r>
        <w:rPr>
          <w:rFonts w:ascii="IFAO-Grec Unicode" w:cs="IFAO-Grec Unicode" w:hAnsi="IFAO-Grec Unicode" w:eastAsia="IFAO-Grec Unicode"/>
          <w:sz w:val="22"/>
          <w:szCs w:val="22"/>
          <w:rtl w:val="0"/>
          <w:lang w:val="de-DE"/>
        </w:rPr>
        <w:t>: 183</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 xml:space="preserve">185). Die genaue Bedeutung von </w:t>
      </w:r>
      <w:r>
        <w:rPr>
          <w:rFonts w:ascii="IFAO-Grec Unicode" w:cs="IFAO-Grec Unicode" w:hAnsi="IFAO-Grec Unicode" w:eastAsia="IFAO-Grec Unicode"/>
          <w:sz w:val="22"/>
          <w:szCs w:val="22"/>
          <w:rtl w:val="0"/>
          <w:lang w:val="de-DE"/>
        </w:rPr>
        <w:t xml:space="preserve">δίαιτα </w:t>
      </w:r>
      <w:r>
        <w:rPr>
          <w:rFonts w:ascii="IFAO-Grec Unicode" w:cs="IFAO-Grec Unicode" w:hAnsi="IFAO-Grec Unicode" w:eastAsia="IFAO-Grec Unicode"/>
          <w:sz w:val="22"/>
          <w:szCs w:val="22"/>
          <w:rtl w:val="0"/>
          <w:lang w:val="de-DE"/>
        </w:rPr>
        <w:t>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sst sich dabei nicht aus dem Kontext erschlie</w:t>
      </w:r>
      <w:r>
        <w:rPr>
          <w:rFonts w:ascii="IFAO-Grec Unicode" w:cs="IFAO-Grec Unicode" w:hAnsi="IFAO-Grec Unicode" w:eastAsia="IFAO-Grec Unicode"/>
          <w:sz w:val="22"/>
          <w:szCs w:val="22"/>
          <w:rtl w:val="0"/>
          <w:lang w:val="de-DE"/>
        </w:rPr>
        <w:t>ß</w:t>
      </w:r>
      <w:r>
        <w:rPr>
          <w:rFonts w:ascii="IFAO-Grec Unicode" w:cs="IFAO-Grec Unicode" w:hAnsi="IFAO-Grec Unicode" w:eastAsia="IFAO-Grec Unicode"/>
          <w:sz w:val="22"/>
          <w:szCs w:val="22"/>
          <w:rtl w:val="0"/>
          <w:lang w:val="de-DE"/>
        </w:rPr>
        <w:t xml:space="preserve">en, daher wurde das allgemeine </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Lebensunterhalt</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sz w:val="22"/>
          <w:szCs w:val="22"/>
          <w:rtl w:val="0"/>
          <w:lang w:val="de-DE"/>
        </w:rPr>
        <w:t>gew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hlt.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6 </w:t>
      </w:r>
      <w:r>
        <w:rPr>
          <w:rFonts w:ascii="IFAO-Grec Unicode" w:cs="IFAO-Grec Unicode" w:hAnsi="IFAO-Grec Unicode" w:eastAsia="IFAO-Grec Unicode"/>
          <w:b w:val="1"/>
          <w:bCs w:val="1"/>
          <w:sz w:val="22"/>
          <w:szCs w:val="22"/>
          <w:rtl w:val="0"/>
          <w:lang w:val="de-DE"/>
        </w:rPr>
        <w:t>τῷ π̣</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ατρὶ</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b w:val="1"/>
          <w:bCs w:val="1"/>
          <w:sz w:val="22"/>
          <w:szCs w:val="22"/>
          <w:rtl w:val="0"/>
          <w:lang w:val="de-DE"/>
        </w:rPr>
        <w:t>μ̣οῦ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Zu dieser Erg</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nzung vgl. Col. 2v, 17 mit Kommentar und 3v, 1.</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10 </w:t>
      </w:r>
      <w:r>
        <w:rPr>
          <w:rFonts w:ascii="IFAO-Grec Unicode" w:cs="IFAO-Grec Unicode" w:hAnsi="IFAO-Grec Unicode" w:eastAsia="IFAO-Grec Unicode"/>
          <w:b w:val="1"/>
          <w:bCs w:val="1"/>
          <w:sz w:val="22"/>
          <w:szCs w:val="22"/>
          <w:rtl w:val="0"/>
          <w:lang w:val="de-DE"/>
        </w:rPr>
        <w:t>Π̣ειη</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ο</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ῦ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 xml:space="preserve">Der </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gyptische Personenname Peeous ist in einigen Texten des 3. Jh. n.Chr.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r Soknopaiu Nesos belegt,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"http://www.trismegistos.org/name/11431"</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11431</w:t>
      </w:r>
      <w:r>
        <w:rPr>
          <w:lang w:val="de-DE"/>
        </w:rPr>
        <w:fldChar w:fldCharType="end" w:fldLock="0"/>
      </w:r>
      <w:r>
        <w:rPr>
          <w:rFonts w:ascii="IFAO-Grec Unicode" w:cs="IFAO-Grec Unicode" w:hAnsi="IFAO-Grec Unicode" w:eastAsia="IFAO-Grec Unicode"/>
          <w:sz w:val="22"/>
          <w:szCs w:val="22"/>
          <w:rtl w:val="0"/>
          <w:lang w:val="de-DE"/>
        </w:rPr>
        <w:t>. Er stellt das m</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nnliche Pendant zum weiblichen Personenamen Teieous dar, der sicher in Col. 2v, 24 und 3v, 6 zu lesen ist.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13-14</w:t>
      </w:r>
      <w:r>
        <w:rPr>
          <w:rFonts w:ascii="IFAO-Grec Unicode" w:cs="IFAO-Grec Unicode" w:hAnsi="IFAO-Grec Unicode" w:eastAsia="IFAO-Grec Unicode"/>
          <w:sz w:val="22"/>
          <w:szCs w:val="22"/>
          <w:rtl w:val="0"/>
          <w:lang w:val="de-DE"/>
        </w:rPr>
        <w:t xml:space="preserve"> Da Zeile 13 mit der Erw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hnung des neuen Monats offenbar zu lang war, hat der Schreiber den zugeh</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rigen Preis kurzerhand mittig in Zeile 14 platziert, um die Kolumne b</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ndig zu halten.</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15</w:t>
      </w:r>
      <w:r>
        <w:rPr>
          <w:rFonts w:ascii="IFAO-Grec Unicode" w:cs="IFAO-Grec Unicode" w:hAnsi="IFAO-Grec Unicode" w:eastAsia="IFAO-Grec Unicode"/>
          <w:sz w:val="22"/>
          <w:szCs w:val="22"/>
          <w:rtl w:val="0"/>
          <w:lang w:val="de-DE"/>
        </w:rPr>
        <w:t xml:space="preserve"> Zu Beginn der Zeile ist vermutlich noch der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berrest einer weiteren Tageszahl des Monats Epeiph erhalten. Der Strichf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hrung nach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re etwa ein Delta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den 4. Epeiph denkbar.</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16</w:t>
      </w:r>
      <w:r>
        <w:rPr>
          <w:rFonts w:ascii="IFAO-Grec Unicode" w:cs="IFAO-Grec Unicode" w:hAnsi="IFAO-Grec Unicode" w:eastAsia="IFAO-Grec Unicode"/>
          <w:sz w:val="22"/>
          <w:szCs w:val="22"/>
          <w:rtl w:val="0"/>
          <w:lang w:val="de-DE"/>
        </w:rPr>
        <w:t xml:space="preserve"> Wie in der vorangehenden Zeile schein auch hier am Anfang eine Tageszahl anzusetzen zu sein, da noch ein Strich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 dem Zeichen erkennbar ist. Der Form nach handelt es sich wohl um ein Epsilon (5) oder Stigma (6).</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Τιμαρχ̣</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 xml:space="preserve">Hier ist vermutlich der griechische Personenname Timarchos anzusetzen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"http://www.trismegistos.org/name/6284"</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6284</w:t>
      </w:r>
      <w:r>
        <w:rPr>
          <w:lang w:val="de-DE"/>
        </w:rPr>
        <w:fldChar w:fldCharType="end" w:fldLock="0"/>
      </w:r>
      <w:r>
        <w:rPr>
          <w:rFonts w:ascii="IFAO-Grec Unicode" w:cs="IFAO-Grec Unicode" w:hAnsi="IFAO-Grec Unicode" w:eastAsia="IFAO-Grec Unicode"/>
          <w:sz w:val="22"/>
          <w:szCs w:val="22"/>
          <w:rtl w:val="0"/>
          <w:lang w:val="de-DE"/>
        </w:rPr>
        <w:t>), allerdings ist unklar, ob es sich dabei um den Empf</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nger der Zahlung oder gegebenenfalls das Patronymikon zu Sotas handelt.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Soknopaiu Nesos ist der Name bisher nicht belegt.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17 </w:t>
      </w:r>
      <w:r>
        <w:rPr>
          <w:rFonts w:ascii="IFAO-Grec Unicode" w:cs="IFAO-Grec Unicode" w:hAnsi="IFAO-Grec Unicode" w:eastAsia="IFAO-Grec Unicode"/>
          <w:b w:val="1"/>
          <w:bCs w:val="1"/>
          <w:sz w:val="22"/>
          <w:szCs w:val="22"/>
          <w:rtl w:val="0"/>
          <w:lang w:val="de-DE"/>
        </w:rPr>
        <w:t>τῷ πατρὶ μο̣ῦ̣</w:t>
      </w:r>
      <w:r>
        <w:rPr>
          <w:rFonts w:ascii="IFAO-Grec Unicode" w:cs="IFAO-Grec Unicode" w:hAnsi="IFAO-Grec Unicode" w:eastAsia="IFAO-Grec Unicode"/>
          <w:sz w:val="22"/>
          <w:szCs w:val="22"/>
          <w:rtl w:val="0"/>
          <w:lang w:val="de-DE"/>
        </w:rPr>
        <w:t> </w:t>
      </w:r>
      <w:r>
        <w:rPr>
          <w:rFonts w:ascii="IFAO-Grec Unicode" w:cs="IFAO-Grec Unicode" w:hAnsi="IFAO-Grec Unicode" w:eastAsia="IFAO-Grec Unicode"/>
          <w:sz w:val="22"/>
          <w:szCs w:val="22"/>
          <w:rtl w:val="0"/>
          <w:lang w:val="de-DE"/>
        </w:rPr>
        <w:t>: Dieser Ausdruck, der auch in Col. 2v, 6 sowie 3v, 1 anzusetzen ist, ist ein weiteres Indiz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eine private Abrechnung, siehe hierzu die Gesamtbewertung unten.</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20</w:t>
      </w:r>
      <w:r>
        <w:rPr>
          <w:rFonts w:ascii="IFAO-Grec Unicode" w:cs="IFAO-Grec Unicode" w:hAnsi="IFAO-Grec Unicode" w:eastAsia="IFAO-Grec Unicode"/>
          <w:rtl w:val="0"/>
          <w:lang w:val="de-DE"/>
        </w:rPr>
        <w:t xml:space="preserve"> </w:t>
      </w:r>
      <w:bookmarkStart w:name="_Hlk133412919" w:id="2"/>
      <w:r>
        <w:rPr>
          <w:rFonts w:ascii="IFAO-Grec Unicode" w:cs="IFAO-Grec Unicode" w:hAnsi="IFAO-Grec Unicode" w:eastAsia="IFAO-Grec Unicode"/>
          <w:sz w:val="22"/>
          <w:szCs w:val="22"/>
          <w:rtl w:val="0"/>
          <w:lang w:val="de-DE"/>
        </w:rPr>
        <w:t>Die Identifizierung des Eintrages in dieser Zeile bereitet gro</w:t>
      </w:r>
      <w:r>
        <w:rPr>
          <w:rFonts w:ascii="IFAO-Grec Unicode" w:cs="IFAO-Grec Unicode" w:hAnsi="IFAO-Grec Unicode" w:eastAsia="IFAO-Grec Unicode"/>
          <w:sz w:val="22"/>
          <w:szCs w:val="22"/>
          <w:rtl w:val="0"/>
          <w:lang w:val="de-DE"/>
        </w:rPr>
        <w:t>ß</w:t>
      </w:r>
      <w:r>
        <w:rPr>
          <w:rFonts w:ascii="IFAO-Grec Unicode" w:cs="IFAO-Grec Unicode" w:hAnsi="IFAO-Grec Unicode" w:eastAsia="IFAO-Grec Unicode"/>
          <w:sz w:val="22"/>
          <w:szCs w:val="22"/>
          <w:rtl w:val="0"/>
          <w:lang w:val="de-DE"/>
        </w:rPr>
        <w:t xml:space="preserve">e Schwierigkeiten. Als erster Buchstabe kommen z.B. </w:t>
      </w:r>
      <w:r>
        <w:rPr>
          <w:rFonts w:ascii="IFAO-Grec Unicode" w:cs="IFAO-Grec Unicode" w:hAnsi="IFAO-Grec Unicode" w:eastAsia="IFAO-Grec Unicode"/>
          <w:sz w:val="22"/>
          <w:szCs w:val="22"/>
          <w:rtl w:val="0"/>
          <w:lang w:val="de-DE"/>
        </w:rPr>
        <w:t xml:space="preserve">υ </w:t>
      </w:r>
      <w:r>
        <w:rPr>
          <w:rFonts w:ascii="IFAO-Grec Unicode" w:cs="IFAO-Grec Unicode" w:hAnsi="IFAO-Grec Unicode" w:eastAsia="IFAO-Grec Unicode"/>
          <w:sz w:val="22"/>
          <w:szCs w:val="22"/>
          <w:rtl w:val="0"/>
          <w:lang w:val="de-DE"/>
        </w:rPr>
        <w:t xml:space="preserve">und </w:t>
      </w:r>
      <w:r>
        <w:rPr>
          <w:rFonts w:ascii="IFAO-Grec Unicode" w:cs="IFAO-Grec Unicode" w:hAnsi="IFAO-Grec Unicode" w:eastAsia="IFAO-Grec Unicode"/>
          <w:sz w:val="22"/>
          <w:szCs w:val="22"/>
          <w:rtl w:val="0"/>
          <w:lang w:val="de-DE"/>
        </w:rPr>
        <w:t xml:space="preserve">ε </w:t>
      </w:r>
      <w:r>
        <w:rPr>
          <w:rFonts w:ascii="IFAO-Grec Unicode" w:cs="IFAO-Grec Unicode" w:hAnsi="IFAO-Grec Unicode" w:eastAsia="IFAO-Grec Unicode"/>
          <w:sz w:val="22"/>
          <w:szCs w:val="22"/>
          <w:rtl w:val="0"/>
          <w:lang w:val="de-DE"/>
        </w:rPr>
        <w:t>in Frage,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hrend in der Mitte des Wortes offenbar korrigiert wurde. So 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sst sich wohl ein urspr</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ngliches </w:t>
      </w:r>
      <w:r>
        <w:rPr>
          <w:rFonts w:ascii="IFAO-Grec Unicode" w:cs="IFAO-Grec Unicode" w:hAnsi="IFAO-Grec Unicode" w:eastAsia="IFAO-Grec Unicode"/>
          <w:sz w:val="22"/>
          <w:szCs w:val="22"/>
          <w:rtl w:val="0"/>
          <w:lang w:val="de-DE"/>
        </w:rPr>
        <w:t xml:space="preserve">μ </w:t>
      </w:r>
      <w:r>
        <w:rPr>
          <w:rFonts w:ascii="IFAO-Grec Unicode" w:cs="IFAO-Grec Unicode" w:hAnsi="IFAO-Grec Unicode" w:eastAsia="IFAO-Grec Unicode"/>
          <w:sz w:val="22"/>
          <w:szCs w:val="22"/>
          <w:rtl w:val="0"/>
          <w:lang w:val="de-DE"/>
        </w:rPr>
        <w:t>erkennen, das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 xml:space="preserve">glicherweise mit einem </w:t>
      </w:r>
      <w:r>
        <w:rPr>
          <w:rFonts w:ascii="IFAO-Grec Unicode" w:cs="IFAO-Grec Unicode" w:hAnsi="IFAO-Grec Unicode" w:eastAsia="IFAO-Grec Unicode"/>
          <w:sz w:val="22"/>
          <w:szCs w:val="22"/>
          <w:rtl w:val="0"/>
          <w:lang w:val="de-DE"/>
        </w:rPr>
        <w:t>κ ü</w:t>
      </w:r>
      <w:r>
        <w:rPr>
          <w:rFonts w:ascii="IFAO-Grec Unicode" w:cs="IFAO-Grec Unicode" w:hAnsi="IFAO-Grec Unicode" w:eastAsia="IFAO-Grec Unicode"/>
          <w:sz w:val="22"/>
          <w:szCs w:val="22"/>
          <w:rtl w:val="0"/>
          <w:lang w:val="de-DE"/>
        </w:rPr>
        <w:t>berschrieben wurde.</w:t>
      </w:r>
      <w:bookmarkEnd w:id="2"/>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21 </w:t>
      </w:r>
      <w:r>
        <w:rPr>
          <w:rFonts w:ascii="IFAO-Grec Unicode" w:cs="IFAO-Grec Unicode" w:hAnsi="IFAO-Grec Unicode" w:eastAsia="IFAO-Grec Unicode"/>
          <w:b w:val="1"/>
          <w:bCs w:val="1"/>
          <w:sz w:val="22"/>
          <w:szCs w:val="22"/>
          <w:rtl w:val="0"/>
          <w:lang w:val="de-DE"/>
        </w:rPr>
        <w:t>σ̣τ̣ρ̣ατιώτο̣</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υ ὅ</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ρμου̣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Ein Soldat des Hafens wird ebenfalls in Col. 3v, 4 erw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hnt, dort allerdings mit der zus</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tzlichen Angabe, dass sich die Zahlung auf Wein bezieht.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22 </w:t>
      </w:r>
      <w:r>
        <w:rPr>
          <w:rFonts w:ascii="IFAO-Grec Unicode" w:cs="IFAO-Grec Unicode" w:hAnsi="IFAO-Grec Unicode" w:eastAsia="IFAO-Grec Unicode"/>
          <w:b w:val="1"/>
          <w:bCs w:val="1"/>
          <w:sz w:val="22"/>
          <w:szCs w:val="22"/>
          <w:rtl w:val="0"/>
          <w:lang w:val="de-DE"/>
        </w:rPr>
        <w:t>ἁλὰς ψάθι</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α</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Dieser Ausdruck bezeichnet wohl K</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rbchen mit Salz, wobei die Abk</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rzung </w:t>
      </w:r>
      <w:r>
        <w:rPr>
          <w:rFonts w:ascii="IFAO-Grec Unicode" w:cs="IFAO-Grec Unicode" w:hAnsi="IFAO-Grec Unicode" w:eastAsia="IFAO-Grec Unicode"/>
          <w:sz w:val="22"/>
          <w:szCs w:val="22"/>
          <w:rtl w:val="0"/>
          <w:lang w:val="de-DE"/>
        </w:rPr>
        <w:t xml:space="preserve">ψάθι </w:t>
      </w:r>
      <w:r>
        <w:rPr>
          <w:rFonts w:ascii="IFAO-Grec Unicode" w:cs="IFAO-Grec Unicode" w:hAnsi="IFAO-Grec Unicode" w:eastAsia="IFAO-Grec Unicode"/>
          <w:sz w:val="22"/>
          <w:szCs w:val="22"/>
          <w:rtl w:val="0"/>
          <w:lang w:val="de-DE"/>
        </w:rPr>
        <w:t xml:space="preserve">nicht ganz eindeutig ist. Vermutlich handelt es sich hierbei um eine Kurzform von </w:t>
      </w:r>
      <w:r>
        <w:rPr>
          <w:rFonts w:ascii="IFAO-Grec Unicode" w:cs="IFAO-Grec Unicode" w:hAnsi="IFAO-Grec Unicode" w:eastAsia="IFAO-Grec Unicode"/>
          <w:sz w:val="22"/>
          <w:szCs w:val="22"/>
          <w:rtl w:val="0"/>
          <w:lang w:val="de-DE"/>
        </w:rPr>
        <w:t xml:space="preserve">ψιάθια </w:t>
      </w:r>
      <w:r>
        <w:rPr>
          <w:rFonts w:ascii="IFAO-Grec Unicode" w:cs="IFAO-Grec Unicode" w:hAnsi="IFAO-Grec Unicode" w:eastAsia="IFAO-Grec Unicode"/>
          <w:sz w:val="22"/>
          <w:szCs w:val="22"/>
          <w:rtl w:val="0"/>
          <w:lang w:val="de-DE"/>
        </w:rPr>
        <w:t xml:space="preserve">(vgl.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"https://papyri.info/biblio/15271"</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J</w:t>
      </w:r>
      <w:r>
        <w:rPr>
          <w:rStyle w:val="Hyperlink.3"/>
          <w:rFonts w:ascii="IFAO-Grec Unicode" w:cs="IFAO-Grec Unicode" w:hAnsi="IFAO-Grec Unicode" w:eastAsia="IFAO-Grec Unicode"/>
          <w:sz w:val="22"/>
          <w:szCs w:val="22"/>
          <w:rtl w:val="0"/>
          <w:lang w:val="de-DE"/>
        </w:rPr>
        <w:t>ö</w:t>
      </w:r>
      <w:r>
        <w:rPr>
          <w:rStyle w:val="Hyperlink.3"/>
          <w:rFonts w:ascii="IFAO-Grec Unicode" w:cs="IFAO-Grec Unicode" w:hAnsi="IFAO-Grec Unicode" w:eastAsia="IFAO-Grec Unicode"/>
          <w:sz w:val="22"/>
          <w:szCs w:val="22"/>
          <w:rtl w:val="0"/>
          <w:lang w:val="de-DE"/>
        </w:rPr>
        <w:t>rdens and Zauzich 1998</w:t>
      </w:r>
      <w:r>
        <w:rPr>
          <w:lang w:val="de-DE"/>
        </w:rPr>
        <w:fldChar w:fldCharType="end" w:fldLock="0"/>
      </w:r>
      <w:r>
        <w:rPr>
          <w:rFonts w:ascii="IFAO-Grec Unicode" w:cs="IFAO-Grec Unicode" w:hAnsi="IFAO-Grec Unicode" w:eastAsia="IFAO-Grec Unicode"/>
          <w:sz w:val="22"/>
          <w:szCs w:val="22"/>
          <w:rtl w:val="0"/>
          <w:lang w:val="de-DE"/>
        </w:rPr>
        <w:t>: 252).</w:t>
      </w:r>
    </w:p>
    <w:p>
      <w:pPr>
        <w:pStyle w:val="Normal.0"/>
        <w:rPr>
          <w:rFonts w:ascii="IFAO-Grec Unicode" w:cs="IFAO-Grec Unicode" w:hAnsi="IFAO-Grec Unicode" w:eastAsia="IFAO-Grec Unicode"/>
          <w:b w:val="1"/>
          <w:bCs w:val="1"/>
          <w:sz w:val="22"/>
          <w:szCs w:val="22"/>
          <w:lang w:val="de-DE"/>
        </w:rPr>
      </w:pPr>
      <w:r>
        <w:rPr>
          <w:rFonts w:ascii="IFAO-Grec Unicode" w:cs="IFAO-Grec Unicode" w:hAnsi="IFAO-Grec Unicode" w:eastAsia="IFAO-Grec Unicode"/>
          <w:b w:val="1"/>
          <w:bCs w:val="1"/>
          <w:sz w:val="22"/>
          <w:szCs w:val="22"/>
          <w:rtl w:val="0"/>
          <w:lang w:val="de-DE"/>
        </w:rPr>
        <w:t>ι̅γ̅ </w:t>
      </w:r>
      <w:r>
        <w:rPr>
          <w:rFonts w:ascii="IFAO-Grec Unicode" w:cs="IFAO-Grec Unicode" w:hAnsi="IFAO-Grec Unicode" w:eastAsia="IFAO-Grec Unicode"/>
          <w:sz w:val="22"/>
          <w:szCs w:val="22"/>
          <w:rtl w:val="0"/>
          <w:lang w:val="de-DE"/>
        </w:rPr>
        <w:t xml:space="preserve">: </w:t>
      </w:r>
      <w:bookmarkStart w:name="_Hlk133421352" w:id="3"/>
      <w:r>
        <w:rPr>
          <w:rFonts w:ascii="IFAO-Grec Unicode" w:cs="IFAO-Grec Unicode" w:hAnsi="IFAO-Grec Unicode" w:eastAsia="IFAO-Grec Unicode"/>
          <w:sz w:val="22"/>
          <w:szCs w:val="22"/>
          <w:rtl w:val="0"/>
          <w:lang w:val="de-DE"/>
        </w:rPr>
        <w:t xml:space="preserve">Trotz des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berstrichs handelt es sich hier wohl nicht um eine Tagesangabe, sondern um die Anzahl der K</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rbchen mit Salz.</w:t>
      </w:r>
      <w:bookmarkEnd w:id="3"/>
    </w:p>
    <w:p>
      <w:pPr>
        <w:pStyle w:val="Normal.0"/>
        <w:rPr>
          <w:rFonts w:ascii="IFAO-Grec Unicode" w:cs="IFAO-Grec Unicode" w:hAnsi="IFAO-Grec Unicode" w:eastAsia="IFAO-Grec Unicode"/>
          <w:b w:val="1"/>
          <w:bCs w:val="1"/>
          <w:sz w:val="22"/>
          <w:szCs w:val="22"/>
          <w:lang w:val="de-DE"/>
        </w:rPr>
      </w:pPr>
    </w:p>
    <w:p>
      <w:pPr>
        <w:pStyle w:val="Normal.0"/>
        <w:rPr>
          <w:rFonts w:ascii="IFAO-Grec Unicode" w:cs="IFAO-Grec Unicode" w:hAnsi="IFAO-Grec Unicode" w:eastAsia="IFAO-Grec Unicode"/>
          <w:lang w:val="de-DE"/>
        </w:rPr>
      </w:pPr>
      <w:r>
        <w:rPr>
          <w:rFonts w:ascii="IFAO-Grec Unicode" w:cs="IFAO-Grec Unicode" w:hAnsi="IFAO-Grec Unicode" w:eastAsia="IFAO-Grec Unicode"/>
          <w:b w:val="1"/>
          <w:bCs w:val="1"/>
          <w:sz w:val="22"/>
          <w:szCs w:val="22"/>
          <w:rtl w:val="0"/>
          <w:lang w:val="de-DE"/>
        </w:rPr>
        <w:t xml:space="preserve">23 </w:t>
      </w:r>
      <w:bookmarkStart w:name="_Hlk133413524" w:id="4"/>
      <w:r>
        <w:rPr>
          <w:rFonts w:ascii="IFAO-Grec Unicode" w:cs="IFAO-Grec Unicode" w:hAnsi="IFAO-Grec Unicode" w:eastAsia="IFAO-Grec Unicode"/>
          <w:b w:val="1"/>
          <w:bCs w:val="1"/>
          <w:sz w:val="22"/>
          <w:szCs w:val="22"/>
          <w:rtl w:val="0"/>
          <w:lang w:val="de-DE"/>
        </w:rPr>
        <w:t>β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Auch hier sollte sich der Eintrag, wie in der vorherigen Zeile, auf etwas Z</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hlbares beziehen, ohne dass dieser Sache ein Geldwert zugeordnet ist.</w:t>
      </w:r>
      <w:bookmarkEnd w:id="4"/>
    </w:p>
    <w:p>
      <w:pPr>
        <w:pStyle w:val="Normal.0"/>
        <w:rPr>
          <w:rFonts w:ascii="IFAO-Grec Unicode" w:cs="IFAO-Grec Unicode" w:hAnsi="IFAO-Grec Unicode" w:eastAsia="IFAO-Grec Unicode"/>
          <w:b w:val="1"/>
          <w:bCs w:val="1"/>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24 </w:t>
      </w:r>
      <w:r>
        <w:rPr>
          <w:rFonts w:ascii="IFAO-Grec Unicode" w:cs="IFAO-Grec Unicode" w:hAnsi="IFAO-Grec Unicode" w:eastAsia="IFAO-Grec Unicode"/>
          <w:b w:val="1"/>
          <w:bCs w:val="1"/>
          <w:sz w:val="22"/>
          <w:szCs w:val="22"/>
          <w:rtl w:val="0"/>
          <w:lang w:val="de-DE"/>
        </w:rPr>
        <w:t>Τ̣εϊη̣οῦ </w:t>
      </w:r>
      <w:r>
        <w:rPr>
          <w:rFonts w:ascii="IFAO-Grec Unicode" w:cs="IFAO-Grec Unicode" w:hAnsi="IFAO-Grec Unicode" w:eastAsia="IFAO-Grec Unicode"/>
          <w:sz w:val="22"/>
          <w:szCs w:val="22"/>
          <w:rtl w:val="0"/>
          <w:lang w:val="de-DE"/>
        </w:rPr>
        <w:t xml:space="preserve">: Zu diesem </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gyptischen, weiblichen Personennamen, der wohl auch in Col. 3v, 6 erscheint,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"http://www.trismegistos.org/name/34807"</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34807</w:t>
      </w:r>
      <w:r>
        <w:rPr>
          <w:lang w:val="de-DE"/>
        </w:rPr>
        <w:fldChar w:fldCharType="end" w:fldLock="0"/>
      </w:r>
      <w:r>
        <w:rPr>
          <w:rFonts w:ascii="IFAO-Grec Unicode" w:cs="IFAO-Grec Unicode" w:hAnsi="IFAO-Grec Unicode" w:eastAsia="IFAO-Grec Unicode"/>
          <w:sz w:val="22"/>
          <w:szCs w:val="22"/>
          <w:rtl w:val="0"/>
          <w:lang w:val="de-DE"/>
        </w:rPr>
        <w:t xml:space="preserve">. Der Name ist </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sz w:val="22"/>
          <w:szCs w:val="22"/>
          <w:rtl w:val="0"/>
          <w:lang w:val="de-DE"/>
        </w:rPr>
        <w:t>anders als die m</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nnliche Form Peeous in Col. 2v, 10 </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sz w:val="22"/>
          <w:szCs w:val="22"/>
          <w:rtl w:val="0"/>
          <w:lang w:val="de-DE"/>
        </w:rPr>
        <w:t>bisher kaum belegt, wobei die bisherigen drei Belegstellen auf das 2./3. Jh. n.Chr. entfallen.</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δραχμαὶ</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b w:val="1"/>
          <w:bCs w:val="1"/>
          <w:sz w:val="22"/>
          <w:szCs w:val="22"/>
          <w:rtl w:val="0"/>
          <w:lang w:val="de-DE"/>
        </w:rPr>
        <w:t>ιβ </w:t>
      </w:r>
      <w:r>
        <w:rPr>
          <w:rFonts w:ascii="IFAO-Grec Unicode" w:cs="IFAO-Grec Unicode" w:hAnsi="IFAO-Grec Unicode" w:eastAsia="IFAO-Grec Unicode"/>
          <w:sz w:val="22"/>
          <w:szCs w:val="22"/>
          <w:rtl w:val="0"/>
          <w:lang w:val="de-DE"/>
        </w:rPr>
        <w:t>: Das Iota wurde wohl nachgetragen, da es wenig Platz hat und deutlich dunklere Tinte aufweist.</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b w:val="1"/>
          <w:bCs w:val="1"/>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 </w:t>
      </w:r>
      <w:r>
        <w:rPr>
          <w:rFonts w:ascii="IFAO-Grec Unicode" w:cs="IFAO-Grec Unicode" w:hAnsi="IFAO-Grec Unicode" w:eastAsia="IFAO-Grec Unicode"/>
          <w:sz w:val="22"/>
          <w:szCs w:val="22"/>
          <w:rtl w:val="0"/>
          <w:lang w:val="de-DE"/>
        </w:rPr>
        <w:t>Vor dem gel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ufigen Drachmenzeichen befindet sich ein unklares Zeichen, dessen Deutung Schwierigkeiten bereitet. Denkbar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re etwa die Bezeichnung eines Fehlbetrages oder eine anderweitige Markierung des Schreibers.</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2 A</w:t>
      </w:r>
      <w:r>
        <w:rPr>
          <w:rFonts w:ascii="IFAO-Grec Unicode" w:cs="IFAO-Grec Unicode" w:hAnsi="IFAO-Grec Unicode" w:eastAsia="IFAO-Grec Unicode"/>
          <w:b w:val="1"/>
          <w:bCs w:val="1"/>
          <w:sz w:val="22"/>
          <w:szCs w:val="22"/>
          <w:rtl w:val="0"/>
          <w:lang w:val="de-DE"/>
        </w:rPr>
        <w:t>ἰή̣ου</w:t>
      </w:r>
      <w:r>
        <w:rPr>
          <w:rFonts w:ascii="IFAO-Grec Unicode" w:cs="IFAO-Grec Unicode" w:hAnsi="IFAO-Grec Unicode" w:eastAsia="IFAO-Grec Unicode"/>
          <w:sz w:val="22"/>
          <w:szCs w:val="22"/>
          <w:rtl w:val="0"/>
          <w:lang w:val="de-DE"/>
        </w:rPr>
        <w:t> </w:t>
      </w:r>
      <w:r>
        <w:rPr>
          <w:rFonts w:ascii="IFAO-Grec Unicode" w:cs="IFAO-Grec Unicode" w:hAnsi="IFAO-Grec Unicode" w:eastAsia="IFAO-Grec Unicode"/>
          <w:sz w:val="22"/>
          <w:szCs w:val="22"/>
          <w:rtl w:val="0"/>
          <w:lang w:val="de-DE"/>
        </w:rPr>
        <w:t xml:space="preserve">: Der seltene Personenname Aies erscheint wohl hier und in der siebten Zeile dieser Kolumne,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"http://www.trismegistos.org/name/21029"</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21029</w:t>
      </w:r>
      <w:r>
        <w:rPr>
          <w:lang w:val="de-DE"/>
        </w:rPr>
        <w:fldChar w:fldCharType="end" w:fldLock="0"/>
      </w:r>
      <w:r>
        <w:rPr>
          <w:rFonts w:ascii="IFAO-Grec Unicode" w:cs="IFAO-Grec Unicode" w:hAnsi="IFAO-Grec Unicode" w:eastAsia="IFAO-Grec Unicode"/>
          <w:sz w:val="22"/>
          <w:szCs w:val="22"/>
          <w:rtl w:val="0"/>
          <w:lang w:val="de-DE"/>
        </w:rPr>
        <w:t>. Bisher ist der Name nur ab dem Ende des. 2. Jh. n.Chr. nachgewiesen, wobei einige Belege auf das Fay</w:t>
      </w:r>
      <w:r>
        <w:rPr>
          <w:rFonts w:ascii="IFAO-Grec Unicode" w:cs="IFAO-Grec Unicode" w:hAnsi="IFAO-Grec Unicode" w:eastAsia="IFAO-Grec Unicode"/>
          <w:sz w:val="22"/>
          <w:szCs w:val="22"/>
          <w:rtl w:val="0"/>
          <w:lang w:val="de-DE"/>
        </w:rPr>
        <w:t>û</w:t>
      </w:r>
      <w:r>
        <w:rPr>
          <w:rFonts w:ascii="IFAO-Grec Unicode" w:cs="IFAO-Grec Unicode" w:hAnsi="IFAO-Grec Unicode" w:eastAsia="IFAO-Grec Unicode"/>
          <w:sz w:val="22"/>
          <w:szCs w:val="22"/>
          <w:rtl w:val="0"/>
          <w:lang w:val="de-DE"/>
        </w:rPr>
        <w:t xml:space="preserve">m entfallen. Alternativ ist an beiden Stellen vielleicht auch eine Lesung als </w:t>
      </w:r>
      <w:r>
        <w:rPr>
          <w:rFonts w:ascii="IFAO-Grec Unicode" w:cs="IFAO-Grec Unicode" w:hAnsi="IFAO-Grec Unicode" w:eastAsia="IFAO-Grec Unicode"/>
          <w:sz w:val="22"/>
          <w:szCs w:val="22"/>
          <w:rtl w:val="0"/>
          <w:lang w:val="de-DE"/>
        </w:rPr>
        <w:t xml:space="preserve">οἴνου </w:t>
      </w:r>
      <w:r>
        <w:rPr>
          <w:rFonts w:ascii="IFAO-Grec Unicode" w:cs="IFAO-Grec Unicode" w:hAnsi="IFAO-Grec Unicode" w:eastAsia="IFAO-Grec Unicode"/>
          <w:sz w:val="22"/>
          <w:szCs w:val="22"/>
          <w:rtl w:val="0"/>
          <w:lang w:val="de-DE"/>
        </w:rPr>
        <w:t>zu denken, allerdings bindet das Omikron in der einzig sicher belegten Schreibung des Wortes in Zeile 4 nicht an das Iota. Zudem erscheint im Vergleich an diesen Stellen auch eher Eta als Ny wahrscheinlich.</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3</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b w:val="1"/>
          <w:bCs w:val="1"/>
          <w:sz w:val="22"/>
          <w:szCs w:val="22"/>
          <w:rtl w:val="0"/>
          <w:lang w:val="de-DE"/>
        </w:rPr>
        <w:t>ατακωκ̣η̣ν̣πο̣λ̣ </w:t>
      </w:r>
      <w:r>
        <w:rPr>
          <w:rFonts w:ascii="IFAO-Grec Unicode" w:cs="IFAO-Grec Unicode" w:hAnsi="IFAO-Grec Unicode" w:eastAsia="IFAO-Grec Unicode"/>
          <w:b w:val="1"/>
          <w:bCs w:val="1"/>
          <w:sz w:val="22"/>
          <w:szCs w:val="22"/>
          <w:rtl w:val="0"/>
          <w:lang w:val="de-DE"/>
        </w:rPr>
        <w:t xml:space="preserve">: </w:t>
      </w:r>
      <w:bookmarkStart w:name="_Hlk134494481" w:id="5"/>
      <w:r>
        <w:rPr>
          <w:rFonts w:ascii="IFAO-Grec Unicode" w:cs="IFAO-Grec Unicode" w:hAnsi="IFAO-Grec Unicode" w:eastAsia="IFAO-Grec Unicode"/>
          <w:sz w:val="22"/>
          <w:szCs w:val="22"/>
          <w:rtl w:val="0"/>
          <w:lang w:val="de-DE"/>
        </w:rPr>
        <w:t>Vermutlich handelt es sich hierbei um einen weiteren Ortsnamen, der allerdings bisher nicht identifiziert werden konnte. Die Erg</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nzung der letzten drei Buchstaben zu </w:t>
      </w:r>
      <w:r>
        <w:rPr>
          <w:rFonts w:ascii="IFAO-Grec Unicode" w:cs="IFAO-Grec Unicode" w:hAnsi="IFAO-Grec Unicode" w:eastAsia="IFAO-Grec Unicode"/>
          <w:sz w:val="22"/>
          <w:szCs w:val="22"/>
          <w:rtl w:val="0"/>
          <w:lang w:val="de-DE"/>
        </w:rPr>
        <w:t>πόλ</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ιν</w:t>
      </w:r>
      <w:r>
        <w:rPr>
          <w:rFonts w:ascii="IFAO-Grec Unicode" w:cs="IFAO-Grec Unicode" w:hAnsi="IFAO-Grec Unicode" w:eastAsia="IFAO-Grec Unicode"/>
          <w:sz w:val="22"/>
          <w:szCs w:val="22"/>
          <w:rtl w:val="0"/>
          <w:lang w:val="de-DE"/>
        </w:rPr>
        <w:t xml:space="preserve">) oder einer anderen Form von </w:t>
      </w:r>
      <w:r>
        <w:rPr>
          <w:rFonts w:ascii="IFAO-Grec Unicode" w:cs="IFAO-Grec Unicode" w:hAnsi="IFAO-Grec Unicode" w:eastAsia="IFAO-Grec Unicode"/>
          <w:sz w:val="22"/>
          <w:szCs w:val="22"/>
          <w:rtl w:val="0"/>
          <w:lang w:val="de-DE"/>
        </w:rPr>
        <w:t xml:space="preserve">πόλις </w:t>
      </w:r>
      <w:r>
        <w:rPr>
          <w:rFonts w:ascii="IFAO-Grec Unicode" w:cs="IFAO-Grec Unicode" w:hAnsi="IFAO-Grec Unicode" w:eastAsia="IFAO-Grec Unicode"/>
          <w:sz w:val="22"/>
          <w:szCs w:val="22"/>
          <w:rtl w:val="0"/>
          <w:lang w:val="de-DE"/>
        </w:rPr>
        <w:t>ist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glich, zumal das Wort in diesem Papyrus regelm</w:t>
      </w:r>
      <w:r>
        <w:rPr>
          <w:rFonts w:ascii="IFAO-Grec Unicode" w:cs="IFAO-Grec Unicode" w:hAnsi="IFAO-Grec Unicode" w:eastAsia="IFAO-Grec Unicode"/>
          <w:sz w:val="22"/>
          <w:szCs w:val="22"/>
          <w:rtl w:val="0"/>
          <w:lang w:val="de-DE"/>
        </w:rPr>
        <w:t>äß</w:t>
      </w:r>
      <w:r>
        <w:rPr>
          <w:rFonts w:ascii="IFAO-Grec Unicode" w:cs="IFAO-Grec Unicode" w:hAnsi="IFAO-Grec Unicode" w:eastAsia="IFAO-Grec Unicode"/>
          <w:sz w:val="22"/>
          <w:szCs w:val="22"/>
          <w:rtl w:val="0"/>
          <w:lang w:val="de-DE"/>
        </w:rPr>
        <w:t>ig ohne Markierung abgek</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rzt ist.</w:t>
      </w:r>
      <w:bookmarkEnd w:id="5"/>
      <w:r>
        <w:rPr>
          <w:rFonts w:ascii="IFAO-Grec Unicode" w:cs="IFAO-Grec Unicode" w:hAnsi="IFAO-Grec Unicode" w:eastAsia="IFAO-Grec Unicode"/>
          <w:sz w:val="22"/>
          <w:szCs w:val="22"/>
          <w:rtl w:val="0"/>
          <w:lang w:val="de-DE"/>
        </w:rPr>
        <w:t xml:space="preserve"> </w:t>
      </w:r>
      <w:bookmarkStart w:name="_Hlk134494526" w:id="6"/>
      <w:r>
        <w:rPr>
          <w:rFonts w:ascii="IFAO-Grec Unicode" w:cs="IFAO-Grec Unicode" w:hAnsi="IFAO-Grec Unicode" w:eastAsia="IFAO-Grec Unicode"/>
          <w:sz w:val="22"/>
          <w:szCs w:val="22"/>
          <w:rtl w:val="0"/>
          <w:lang w:val="de-DE"/>
        </w:rPr>
        <w:t>Die restlichen Buchstaben k</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nnten ein feminines Nomen oder Adjektiv im Akkusativ Singular ergeben</w:t>
      </w:r>
      <w:bookmarkEnd w:id="6"/>
      <w:bookmarkStart w:name="_Hlk134494534" w:id="7"/>
      <w:r>
        <w:rPr>
          <w:rFonts w:ascii="IFAO-Grec Unicode" w:cs="IFAO-Grec Unicode" w:hAnsi="IFAO-Grec Unicode" w:eastAsia="IFAO-Grec Unicode"/>
          <w:sz w:val="22"/>
          <w:szCs w:val="22"/>
          <w:rtl w:val="0"/>
          <w:lang w:val="de-DE"/>
        </w:rPr>
        <w:t>, wie die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gliche Lesung -</w:t>
      </w:r>
      <w:r>
        <w:rPr>
          <w:rFonts w:ascii="IFAO-Grec Unicode" w:cs="IFAO-Grec Unicode" w:hAnsi="IFAO-Grec Unicode" w:eastAsia="IFAO-Grec Unicode"/>
          <w:sz w:val="22"/>
          <w:szCs w:val="22"/>
          <w:rtl w:val="0"/>
          <w:lang w:val="de-DE"/>
        </w:rPr>
        <w:t xml:space="preserve">ην </w:t>
      </w:r>
      <w:r>
        <w:rPr>
          <w:rFonts w:ascii="IFAO-Grec Unicode" w:cs="IFAO-Grec Unicode" w:hAnsi="IFAO-Grec Unicode" w:eastAsia="IFAO-Grec Unicode"/>
          <w:sz w:val="22"/>
          <w:szCs w:val="22"/>
          <w:rtl w:val="0"/>
          <w:lang w:val="de-DE"/>
        </w:rPr>
        <w:t>vermuten 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sst.</w:t>
      </w:r>
      <w:bookmarkEnd w:id="7"/>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5 </w:t>
      </w:r>
      <w:bookmarkStart w:name="_Hlk134114355" w:id="8"/>
      <w:r>
        <w:rPr>
          <w:rFonts w:ascii="IFAO-Grec Unicode" w:cs="IFAO-Grec Unicode" w:hAnsi="IFAO-Grec Unicode" w:eastAsia="IFAO-Grec Unicode"/>
          <w:b w:val="1"/>
          <w:bCs w:val="1"/>
          <w:sz w:val="22"/>
          <w:szCs w:val="22"/>
          <w:rtl w:val="0"/>
          <w:lang w:val="de-DE"/>
        </w:rPr>
        <w:t>ψάθ̣ι</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α</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b w:val="1"/>
          <w:bCs w:val="1"/>
          <w:sz w:val="22"/>
          <w:szCs w:val="22"/>
          <w:rtl w:val="0"/>
          <w:lang w:val="de-DE"/>
        </w:rPr>
        <w:t>ἁλές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Zur Deutung dieses Eintrages siehe den Kommentar zu Col. 2v, 22.</w:t>
      </w:r>
      <w:bookmarkEnd w:id="8"/>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ϛ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Es </w:t>
      </w:r>
      <w:bookmarkStart w:name="_Hlk134114427" w:id="9"/>
      <w:r>
        <w:rPr>
          <w:rFonts w:ascii="IFAO-Grec Unicode" w:cs="IFAO-Grec Unicode" w:hAnsi="IFAO-Grec Unicode" w:eastAsia="IFAO-Grec Unicode"/>
          <w:sz w:val="22"/>
          <w:szCs w:val="22"/>
          <w:rtl w:val="0"/>
          <w:lang w:val="de-DE"/>
        </w:rPr>
        <w:t>lassen sich noch feine Reste einer Umkreisung der Zahl Stigma feststellen.</w:t>
      </w:r>
      <w:bookmarkEnd w:id="9"/>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7</w:t>
      </w:r>
      <w:r>
        <w:rPr>
          <w:rFonts w:ascii="IFAO-Grec Unicode" w:cs="IFAO-Grec Unicode" w:hAnsi="IFAO-Grec Unicode" w:eastAsia="IFAO-Grec Unicode"/>
          <w:sz w:val="22"/>
          <w:szCs w:val="22"/>
          <w:rtl w:val="0"/>
          <w:lang w:val="de-DE"/>
        </w:rPr>
        <w:t xml:space="preserve"> </w:t>
      </w:r>
      <w:bookmarkStart w:name="_Hlk134115411" w:id="10"/>
      <w:r>
        <w:rPr>
          <w:rFonts w:ascii="IFAO-Grec Unicode" w:cs="IFAO-Grec Unicode" w:hAnsi="IFAO-Grec Unicode" w:eastAsia="IFAO-Grec Unicode"/>
          <w:b w:val="1"/>
          <w:bCs w:val="1"/>
          <w:sz w:val="22"/>
          <w:szCs w:val="22"/>
          <w:rtl w:val="0"/>
          <w:lang w:val="de-DE"/>
        </w:rPr>
        <w:t>Ἑρμ̣οῦς</w:t>
      </w:r>
      <w:bookmarkEnd w:id="10"/>
      <w:r>
        <w:rPr>
          <w:rFonts w:ascii="IFAO-Grec Unicode" w:cs="IFAO-Grec Unicode" w:hAnsi="IFAO-Grec Unicode" w:eastAsia="IFAO-Grec Unicode"/>
          <w:b w:val="1"/>
          <w:bCs w:val="1"/>
          <w:sz w:val="22"/>
          <w:szCs w:val="22"/>
          <w:rtl w:val="0"/>
          <w:lang w:val="de-DE"/>
        </w:rPr>
        <w:t>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w:t>
      </w:r>
      <w:bookmarkStart w:name="_Hlk134115554" w:id="11"/>
      <w:r>
        <w:rPr>
          <w:rFonts w:ascii="IFAO-Grec Unicode" w:cs="IFAO-Grec Unicode" w:hAnsi="IFAO-Grec Unicode" w:eastAsia="IFAO-Grec Unicode"/>
          <w:sz w:val="22"/>
          <w:szCs w:val="22"/>
          <w:rtl w:val="0"/>
          <w:lang w:val="de-DE"/>
        </w:rPr>
        <w:t>Die Genitivform des Personennamens Hermes ist hier wahrscheinlich, allerdings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re auch die seltene Genitivform </w:t>
      </w:r>
      <w:r>
        <w:rPr>
          <w:rFonts w:ascii="IFAO-Grec Unicode" w:cs="IFAO-Grec Unicode" w:hAnsi="IFAO-Grec Unicode" w:eastAsia="IFAO-Grec Unicode"/>
          <w:sz w:val="22"/>
          <w:szCs w:val="22"/>
          <w:rtl w:val="0"/>
          <w:lang w:val="de-DE"/>
        </w:rPr>
        <w:t xml:space="preserve">Ἑρηοῦς </w:t>
      </w:r>
      <w:r>
        <w:rPr>
          <w:rFonts w:ascii="IFAO-Grec Unicode" w:cs="IFAO-Grec Unicode" w:hAnsi="IFAO-Grec Unicode" w:eastAsia="IFAO-Grec Unicode"/>
          <w:sz w:val="22"/>
          <w:szCs w:val="22"/>
          <w:rtl w:val="0"/>
          <w:lang w:val="de-DE"/>
        </w:rPr>
        <w:t>denkbar, deren Beleglage jedoch sehr d</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nn is</w:t>
      </w:r>
      <w:bookmarkEnd w:id="11"/>
      <w:r>
        <w:rPr>
          <w:rFonts w:ascii="IFAO-Grec Unicode" w:cs="IFAO-Grec Unicode" w:hAnsi="IFAO-Grec Unicode" w:eastAsia="IFAO-Grec Unicode"/>
          <w:sz w:val="22"/>
          <w:szCs w:val="22"/>
          <w:rtl w:val="0"/>
          <w:lang w:val="de-DE"/>
        </w:rPr>
        <w:t>t</w:t>
      </w:r>
      <w:bookmarkStart w:name="_Hlk134494969" w:id="12"/>
      <w:r>
        <w:rPr>
          <w:rFonts w:ascii="IFAO-Grec Unicode" w:cs="IFAO-Grec Unicode" w:hAnsi="IFAO-Grec Unicode" w:eastAsia="IFAO-Grec Unicode"/>
          <w:sz w:val="22"/>
          <w:szCs w:val="22"/>
          <w:rtl w:val="0"/>
          <w:lang w:val="de-DE"/>
        </w:rPr>
        <w:t xml:space="preserve">,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"https://www.trismegistos.org/ref/411920"</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Ref 411920</w:t>
      </w:r>
      <w:r>
        <w:rPr>
          <w:lang w:val="de-DE"/>
        </w:rPr>
        <w:fldChar w:fldCharType="end" w:fldLock="0"/>
      </w:r>
      <w:r>
        <w:rPr>
          <w:rFonts w:ascii="IFAO-Grec Unicode" w:cs="IFAO-Grec Unicode" w:hAnsi="IFAO-Grec Unicode" w:eastAsia="IFAO-Grec Unicode"/>
          <w:sz w:val="22"/>
          <w:szCs w:val="22"/>
          <w:rtl w:val="0"/>
          <w:lang w:val="de-DE"/>
        </w:rPr>
        <w:t>.</w:t>
      </w:r>
      <w:bookmarkEnd w:id="12"/>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Αἰήου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 xml:space="preserve">Hier handelt es sich entweder um das Patronymikon oder die Angabe, zu wessen Gunsten die Zahlung erfolgt, die auch in den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brigen Eintr</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gen oftmals im Genitiv erscheint.</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sz w:val="22"/>
          <w:szCs w:val="22"/>
          <w:rtl w:val="0"/>
          <w:lang w:val="de-DE"/>
        </w:rPr>
        <w:t>In der Preisspalte wurden offenbar Korrekturen vorgenommen, allerdings ist eine Lesung nicht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glich.</w:t>
      </w:r>
    </w:p>
    <w:p>
      <w:pPr>
        <w:pStyle w:val="Normal.0"/>
        <w:rPr>
          <w:rFonts w:ascii="Times New Roman" w:cs="Times New Roman" w:hAnsi="Times New Roman" w:eastAsia="Times New Roman"/>
          <w:b w:val="1"/>
          <w:bCs w:val="1"/>
          <w:lang w:val="de-DE"/>
        </w:rPr>
      </w:pPr>
    </w:p>
    <w:p>
      <w:pPr>
        <w:pStyle w:val="Normal.0"/>
        <w:rPr>
          <w:rFonts w:ascii="Times New Roman" w:cs="Times New Roman" w:hAnsi="Times New Roman" w:eastAsia="Times New Roman"/>
          <w:b w:val="1"/>
          <w:bCs w:val="1"/>
          <w:lang w:val="de-DE"/>
        </w:rPr>
      </w:pPr>
    </w:p>
    <w:p>
      <w:pPr>
        <w:pStyle w:val="Normal.0"/>
        <w:rPr>
          <w:rFonts w:ascii="Times New Roman" w:cs="Times New Roman" w:hAnsi="Times New Roman" w:eastAsia="Times New Roman"/>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Die bisherige Dokumentation zu Halmyra</w:t>
      </w:r>
    </w:p>
    <w:p>
      <w:pPr>
        <w:pStyle w:val="Normal.0"/>
        <w:rPr>
          <w:rFonts w:ascii="Times New Roman" w:cs="Times New Roman" w:hAnsi="Times New Roman" w:eastAsia="Times New Roman"/>
          <w:b w:val="1"/>
          <w:bCs w:val="1"/>
          <w:sz w:val="22"/>
          <w:szCs w:val="22"/>
          <w:lang w:val="de-DE"/>
        </w:rPr>
      </w:pPr>
    </w:p>
    <w:p>
      <w:pPr>
        <w:pStyle w:val="Normal.0"/>
        <w:rPr>
          <w:rStyle w:val="None"/>
          <w:rFonts w:ascii="Times New Roman" w:cs="Times New Roman" w:hAnsi="Times New Roman" w:eastAsia="Times New Roman"/>
          <w:sz w:val="22"/>
          <w:szCs w:val="22"/>
          <w:lang w:val="de-DE"/>
        </w:rPr>
      </w:pPr>
      <w:r>
        <w:rPr>
          <w:rFonts w:ascii="Times New Roman" w:hAnsi="Times New Roman"/>
          <w:sz w:val="22"/>
          <w:szCs w:val="22"/>
          <w:rtl w:val="0"/>
          <w:lang w:val="de-DE"/>
        </w:rPr>
        <w:t>Die Ansiedlung Halmyra (</w:t>
      </w: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"http://www.trismegistos.org/place/10903"</w:instrText>
      </w:r>
      <w:r>
        <w:rPr>
          <w:rStyle w:val="Hyperlink.2"/>
          <w:rFonts w:ascii="Times New Roman" w:cs="Times New Roman" w:hAnsi="Times New Roman" w:eastAsia="Times New Roman"/>
          <w:sz w:val="22"/>
          <w:szCs w:val="22"/>
          <w:lang w:val="de-DE"/>
        </w:rPr>
        <w:fldChar w:fldCharType="separate" w:fldLock="0"/>
      </w:r>
      <w:r>
        <w:rPr>
          <w:rStyle w:val="Hyperlink.2"/>
          <w:rFonts w:ascii="Times New Roman" w:hAnsi="Times New Roman"/>
          <w:sz w:val="22"/>
          <w:szCs w:val="22"/>
          <w:rtl w:val="0"/>
          <w:lang w:val="de-DE"/>
        </w:rPr>
        <w:t>TM Geo 10903</w:t>
      </w:r>
      <w:r>
        <w:rPr>
          <w:lang w:val="de-DE"/>
        </w:rPr>
        <w:fldChar w:fldCharType="end" w:fldLock="0"/>
      </w:r>
      <w:r>
        <w:rPr>
          <w:rFonts w:ascii="Times New Roman" w:hAnsi="Times New Roman"/>
          <w:sz w:val="22"/>
          <w:szCs w:val="22"/>
          <w:rtl w:val="0"/>
          <w:lang w:val="de-DE"/>
        </w:rPr>
        <w:t>), die im betrachteten Papyrus f</w:t>
      </w:r>
      <w:r>
        <w:rPr>
          <w:rFonts w:ascii="Times New Roman" w:hAnsi="Times New Roman" w:hint="default"/>
          <w:sz w:val="22"/>
          <w:szCs w:val="22"/>
          <w:rtl w:val="0"/>
          <w:lang w:val="de-DE"/>
        </w:rPr>
        <w:t>ü</w:t>
      </w:r>
      <w:r>
        <w:rPr>
          <w:rFonts w:ascii="Times New Roman" w:hAnsi="Times New Roman"/>
          <w:sz w:val="22"/>
          <w:szCs w:val="22"/>
          <w:rtl w:val="0"/>
          <w:lang w:val="de-DE"/>
        </w:rPr>
        <w:t xml:space="preserve">nfmal erscheint (vgl. Col. </w:t>
      </w:r>
      <w:r>
        <w:rPr>
          <w:rFonts w:ascii="Times New Roman" w:hAnsi="Times New Roman"/>
          <w:rtl w:val="0"/>
          <w:lang w:val="de-DE"/>
        </w:rPr>
        <w:t>1v, 14; 2v, 1.13.15; 3v, 1</w:t>
      </w:r>
      <w:r>
        <w:rPr>
          <w:rFonts w:ascii="Times New Roman" w:hAnsi="Times New Roman"/>
          <w:sz w:val="22"/>
          <w:szCs w:val="22"/>
          <w:rtl w:val="0"/>
          <w:lang w:val="de-DE"/>
        </w:rPr>
        <w:t xml:space="preserve">), ist bisher in vier edierten Papyri bezeugt: In </w:t>
      </w: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"http://papyri.info/ddbdp/bgu%3B1%3B277"</w:instrText>
      </w:r>
      <w:r>
        <w:rPr>
          <w:rStyle w:val="Hyperlink.2"/>
          <w:rFonts w:ascii="Times New Roman" w:cs="Times New Roman" w:hAnsi="Times New Roman" w:eastAsia="Times New Roman"/>
          <w:sz w:val="22"/>
          <w:szCs w:val="22"/>
          <w:lang w:val="de-DE"/>
        </w:rPr>
        <w:fldChar w:fldCharType="separate" w:fldLock="0"/>
      </w:r>
      <w:r>
        <w:rPr>
          <w:rStyle w:val="Hyperlink.2"/>
          <w:rFonts w:ascii="Times New Roman" w:hAnsi="Times New Roman"/>
          <w:sz w:val="22"/>
          <w:szCs w:val="22"/>
          <w:rtl w:val="0"/>
          <w:lang w:val="de-DE"/>
        </w:rPr>
        <w:t>BGU 1 277</w:t>
      </w:r>
      <w:r>
        <w:rPr>
          <w:lang w:val="de-DE"/>
        </w:rPr>
        <w:fldChar w:fldCharType="end" w:fldLock="0"/>
      </w:r>
      <w:r>
        <w:rPr>
          <w:rFonts w:ascii="Times New Roman" w:hAnsi="Times New Roman"/>
          <w:sz w:val="22"/>
          <w:szCs w:val="22"/>
          <w:rtl w:val="0"/>
          <w:lang w:val="de-DE"/>
        </w:rPr>
        <w:t>, der etwa auf die Jahre 130/131-160 n.Chr. datiert werden kann, erscheint der Ort im Rahmen einer Reihe von Pachtobjekten in Bezug auf Fischer aus Soknopaiu Nesos, Neilupolis und Halmyra.</w:t>
      </w:r>
      <w:r>
        <w:rPr>
          <w:rFonts w:ascii="Times New Roman" w:cs="Times New Roman" w:hAnsi="Times New Roman" w:eastAsia="Times New Roman"/>
          <w:sz w:val="22"/>
          <w:szCs w:val="22"/>
          <w:vertAlign w:val="superscript"/>
          <w:lang w:val="de-DE"/>
        </w:rPr>
        <w:footnoteReference w:id="10"/>
      </w:r>
      <w:r>
        <w:rPr>
          <w:rFonts w:ascii="Times New Roman" w:hAnsi="Times New Roman"/>
          <w:sz w:val="22"/>
          <w:szCs w:val="22"/>
          <w:rtl w:val="0"/>
          <w:lang w:val="de-DE"/>
        </w:rPr>
        <w:t xml:space="preserve"> Eine Eingabe des Priesters Stotoetis, Sohn des Stotoetis, aus Soknopaiu Nesos an den Strategen (2. Jh. n.Chr.) belegt, dass Halmyra in der N</w:t>
      </w:r>
      <w:r>
        <w:rPr>
          <w:rFonts w:ascii="Times New Roman" w:hAnsi="Times New Roman" w:hint="default"/>
          <w:sz w:val="22"/>
          <w:szCs w:val="22"/>
          <w:rtl w:val="0"/>
          <w:lang w:val="de-DE"/>
        </w:rPr>
        <w:t>ä</w:t>
      </w:r>
      <w:r>
        <w:rPr>
          <w:rFonts w:ascii="Times New Roman" w:hAnsi="Times New Roman"/>
          <w:sz w:val="22"/>
          <w:szCs w:val="22"/>
          <w:rtl w:val="0"/>
          <w:lang w:val="de-DE"/>
        </w:rPr>
        <w:t>he zu Herakleia gelegen war.</w:t>
      </w:r>
      <w:r>
        <w:rPr>
          <w:rFonts w:ascii="Times New Roman" w:cs="Times New Roman" w:hAnsi="Times New Roman" w:eastAsia="Times New Roman"/>
          <w:sz w:val="22"/>
          <w:szCs w:val="22"/>
          <w:vertAlign w:val="superscript"/>
          <w:lang w:val="de-DE"/>
        </w:rPr>
        <w:footnoteReference w:id="11"/>
      </w:r>
      <w:r>
        <w:rPr>
          <w:rFonts w:ascii="Times New Roman" w:hAnsi="Times New Roman"/>
          <w:sz w:val="22"/>
          <w:szCs w:val="22"/>
          <w:rtl w:val="0"/>
          <w:lang w:val="de-DE"/>
        </w:rPr>
        <w:t xml:space="preserve"> Zwei weitere Belege der Ansiedlung in einer Steuerquittung und einem Personenregister best</w:t>
      </w:r>
      <w:r>
        <w:rPr>
          <w:rFonts w:ascii="Times New Roman" w:hAnsi="Times New Roman" w:hint="default"/>
          <w:sz w:val="22"/>
          <w:szCs w:val="22"/>
          <w:rtl w:val="0"/>
          <w:lang w:val="de-DE"/>
        </w:rPr>
        <w:t>ä</w:t>
      </w:r>
      <w:r>
        <w:rPr>
          <w:rFonts w:ascii="Times New Roman" w:hAnsi="Times New Roman"/>
          <w:sz w:val="22"/>
          <w:szCs w:val="22"/>
          <w:rtl w:val="0"/>
          <w:lang w:val="de-DE"/>
        </w:rPr>
        <w:t>tigen die N</w:t>
      </w:r>
      <w:r>
        <w:rPr>
          <w:rFonts w:ascii="Times New Roman" w:hAnsi="Times New Roman" w:hint="default"/>
          <w:sz w:val="22"/>
          <w:szCs w:val="22"/>
          <w:rtl w:val="0"/>
          <w:lang w:val="de-DE"/>
        </w:rPr>
        <w:t>ä</w:t>
      </w:r>
      <w:r>
        <w:rPr>
          <w:rFonts w:ascii="Times New Roman" w:hAnsi="Times New Roman"/>
          <w:sz w:val="22"/>
          <w:szCs w:val="22"/>
          <w:rtl w:val="0"/>
          <w:lang w:val="de-DE"/>
        </w:rPr>
        <w:t xml:space="preserve">he zu Herakleia und erlauben Aufschluss </w:t>
      </w:r>
      <w:r>
        <w:rPr>
          <w:rFonts w:ascii="Times New Roman" w:hAnsi="Times New Roman" w:hint="default"/>
          <w:sz w:val="22"/>
          <w:szCs w:val="22"/>
          <w:rtl w:val="0"/>
          <w:lang w:val="de-DE"/>
        </w:rPr>
        <w:t>ü</w:t>
      </w:r>
      <w:r>
        <w:rPr>
          <w:rFonts w:ascii="Times New Roman" w:hAnsi="Times New Roman"/>
          <w:sz w:val="22"/>
          <w:szCs w:val="22"/>
          <w:rtl w:val="0"/>
          <w:lang w:val="de-DE"/>
        </w:rPr>
        <w:t xml:space="preserve">ber die Existenz einer dortigen </w:t>
      </w:r>
      <w:r>
        <w:rPr>
          <w:rFonts w:ascii="Times New Roman" w:hAnsi="Times New Roman" w:hint="default"/>
          <w:sz w:val="22"/>
          <w:szCs w:val="22"/>
          <w:rtl w:val="0"/>
          <w:lang w:val="de-DE"/>
        </w:rPr>
        <w:t>Ö</w:t>
      </w:r>
      <w:r>
        <w:rPr>
          <w:rFonts w:ascii="Times New Roman" w:hAnsi="Times New Roman"/>
          <w:sz w:val="22"/>
          <w:szCs w:val="22"/>
          <w:rtl w:val="0"/>
          <w:lang w:val="de-DE"/>
        </w:rPr>
        <w:t>lm</w:t>
      </w:r>
      <w:r>
        <w:rPr>
          <w:rFonts w:ascii="Times New Roman" w:hAnsi="Times New Roman" w:hint="default"/>
          <w:sz w:val="22"/>
          <w:szCs w:val="22"/>
          <w:rtl w:val="0"/>
          <w:lang w:val="de-DE"/>
        </w:rPr>
        <w:t>ü</w:t>
      </w:r>
      <w:r>
        <w:rPr>
          <w:rFonts w:ascii="Times New Roman" w:hAnsi="Times New Roman"/>
          <w:sz w:val="22"/>
          <w:szCs w:val="22"/>
          <w:rtl w:val="0"/>
          <w:lang w:val="de-DE"/>
        </w:rPr>
        <w:t>hle im 2. Jh. n.Chr.</w:t>
      </w:r>
      <w:r>
        <w:rPr>
          <w:rFonts w:ascii="Times New Roman" w:cs="Times New Roman" w:hAnsi="Times New Roman" w:eastAsia="Times New Roman"/>
          <w:sz w:val="22"/>
          <w:szCs w:val="22"/>
          <w:vertAlign w:val="superscript"/>
          <w:lang w:val="de-DE"/>
        </w:rPr>
        <w:footnoteReference w:id="12"/>
      </w:r>
      <w:r>
        <w:rPr>
          <w:rFonts w:ascii="Times New Roman" w:hAnsi="Times New Roman"/>
          <w:sz w:val="22"/>
          <w:szCs w:val="22"/>
          <w:rtl w:val="0"/>
          <w:lang w:val="de-DE"/>
        </w:rPr>
        <w:t xml:space="preserve"> In diesen vier Belegen ist der Name Halmyra als Genitiv </w:t>
      </w:r>
      <w:r>
        <w:rPr>
          <w:rFonts w:ascii="IFAO-Grec Unicode" w:cs="IFAO-Grec Unicode" w:hAnsi="IFAO-Grec Unicode" w:eastAsia="IFAO-Grec Unicode"/>
          <w:sz w:val="22"/>
          <w:szCs w:val="22"/>
          <w:rtl w:val="0"/>
          <w:lang w:val="de-DE"/>
        </w:rPr>
        <w:t>Ἁλμυρᾶς</w:t>
      </w:r>
      <w:r>
        <w:rPr>
          <w:rFonts w:ascii="Times New Roman" w:hAnsi="Times New Roman"/>
          <w:sz w:val="22"/>
          <w:szCs w:val="22"/>
          <w:rtl w:val="0"/>
          <w:lang w:val="de-DE"/>
        </w:rPr>
        <w:t xml:space="preserve"> stets abh</w:t>
      </w:r>
      <w:r>
        <w:rPr>
          <w:rFonts w:ascii="Times New Roman" w:hAnsi="Times New Roman" w:hint="default"/>
          <w:sz w:val="22"/>
          <w:szCs w:val="22"/>
          <w:rtl w:val="0"/>
          <w:lang w:val="de-DE"/>
        </w:rPr>
        <w:t>ä</w:t>
      </w:r>
      <w:r>
        <w:rPr>
          <w:rFonts w:ascii="Times New Roman" w:hAnsi="Times New Roman"/>
          <w:sz w:val="22"/>
          <w:szCs w:val="22"/>
          <w:rtl w:val="0"/>
          <w:lang w:val="de-DE"/>
        </w:rPr>
        <w:t xml:space="preserve">ngig von der Bezeichnung </w:t>
      </w:r>
      <w:r>
        <w:rPr>
          <w:rFonts w:ascii="IFAO-Grec Unicode" w:cs="IFAO-Grec Unicode" w:hAnsi="IFAO-Grec Unicode" w:eastAsia="IFAO-Grec Unicode"/>
          <w:sz w:val="22"/>
          <w:szCs w:val="22"/>
          <w:rtl w:val="0"/>
          <w:lang w:val="de-DE"/>
        </w:rPr>
        <w:t>ἐποίκιον</w:t>
      </w:r>
      <w:r>
        <w:rPr>
          <w:rFonts w:ascii="Times New Roman" w:hAnsi="Times New Roman"/>
          <w:sz w:val="22"/>
          <w:szCs w:val="22"/>
          <w:rtl w:val="0"/>
          <w:lang w:val="de-DE"/>
        </w:rPr>
        <w:t>, was im vorliegenden Papyrus nicht der Fall ist. Zwei weitere unedierte Papyri mit Erw</w:t>
      </w:r>
      <w:r>
        <w:rPr>
          <w:rFonts w:ascii="Times New Roman" w:hAnsi="Times New Roman" w:hint="default"/>
          <w:sz w:val="22"/>
          <w:szCs w:val="22"/>
          <w:rtl w:val="0"/>
          <w:lang w:val="de-DE"/>
        </w:rPr>
        <w:t>ä</w:t>
      </w:r>
      <w:r>
        <w:rPr>
          <w:rFonts w:ascii="Times New Roman" w:hAnsi="Times New Roman"/>
          <w:sz w:val="22"/>
          <w:szCs w:val="22"/>
          <w:rtl w:val="0"/>
          <w:lang w:val="de-DE"/>
        </w:rPr>
        <w:t xml:space="preserve">hnung von Halmyra komplementieren dieses Bild: </w:t>
      </w:r>
      <w:r>
        <w:rPr>
          <w:rFonts w:ascii="Times New Roman" w:hAnsi="Times New Roman"/>
          <w:outline w:val="0"/>
          <w:color w:val="0000ff"/>
          <w:sz w:val="22"/>
          <w:szCs w:val="22"/>
          <w:u w:val="single" w:color="0000ff"/>
          <w:rtl w:val="0"/>
          <w:lang w:val="de-DE"/>
          <w14:textFill>
            <w14:solidFill>
              <w14:srgbClr w14:val="0000FF"/>
            </w14:solidFill>
          </w14:textFill>
        </w:rPr>
        <w:t>P.Lond. 294</w:t>
      </w:r>
      <w:r>
        <w:rPr>
          <w:rFonts w:ascii="Times New Roman" w:hAnsi="Times New Roman"/>
          <w:sz w:val="22"/>
          <w:szCs w:val="22"/>
          <w:rtl w:val="0"/>
          <w:lang w:val="de-DE"/>
        </w:rPr>
        <w:t>, Col. 2v, 31 (wohl nach 117-118 n.Chr.) erw</w:t>
      </w:r>
      <w:r>
        <w:rPr>
          <w:rFonts w:ascii="Times New Roman" w:hAnsi="Times New Roman" w:hint="default"/>
          <w:sz w:val="22"/>
          <w:szCs w:val="22"/>
          <w:rtl w:val="0"/>
          <w:lang w:val="de-DE"/>
        </w:rPr>
        <w:t>ä</w:t>
      </w:r>
      <w:r>
        <w:rPr>
          <w:rFonts w:ascii="Times New Roman" w:hAnsi="Times New Roman"/>
          <w:sz w:val="22"/>
          <w:szCs w:val="22"/>
          <w:rtl w:val="0"/>
          <w:lang w:val="de-DE"/>
        </w:rPr>
        <w:t xml:space="preserve">hnt den Ort ohne den Zusatz Epoikion im Rahmen einer Abrechnung </w:t>
      </w:r>
      <w:r>
        <w:rPr>
          <w:rFonts w:ascii="Times New Roman" w:hAnsi="Times New Roman" w:hint="default"/>
          <w:sz w:val="22"/>
          <w:szCs w:val="22"/>
          <w:rtl w:val="0"/>
          <w:lang w:val="de-DE"/>
        </w:rPr>
        <w:t>ü</w:t>
      </w:r>
      <w:r>
        <w:rPr>
          <w:rFonts w:ascii="Times New Roman" w:hAnsi="Times New Roman"/>
          <w:sz w:val="22"/>
          <w:szCs w:val="22"/>
          <w:rtl w:val="0"/>
          <w:lang w:val="de-DE"/>
        </w:rPr>
        <w:t>ber Gefl</w:t>
      </w:r>
      <w:r>
        <w:rPr>
          <w:rFonts w:ascii="Times New Roman" w:hAnsi="Times New Roman" w:hint="default"/>
          <w:sz w:val="22"/>
          <w:szCs w:val="22"/>
          <w:rtl w:val="0"/>
          <w:lang w:val="de-DE"/>
        </w:rPr>
        <w:t>ü</w:t>
      </w:r>
      <w:r>
        <w:rPr>
          <w:rFonts w:ascii="Times New Roman" w:hAnsi="Times New Roman"/>
          <w:sz w:val="22"/>
          <w:szCs w:val="22"/>
          <w:rtl w:val="0"/>
          <w:lang w:val="de-DE"/>
        </w:rPr>
        <w:t>gel, w</w:t>
      </w:r>
      <w:r>
        <w:rPr>
          <w:rFonts w:ascii="Times New Roman" w:hAnsi="Times New Roman" w:hint="default"/>
          <w:sz w:val="22"/>
          <w:szCs w:val="22"/>
          <w:rtl w:val="0"/>
          <w:lang w:val="de-DE"/>
        </w:rPr>
        <w:t>ä</w:t>
      </w:r>
      <w:r>
        <w:rPr>
          <w:rFonts w:ascii="Times New Roman" w:hAnsi="Times New Roman"/>
          <w:sz w:val="22"/>
          <w:szCs w:val="22"/>
          <w:rtl w:val="0"/>
          <w:lang w:val="de-DE"/>
        </w:rPr>
        <w:t xml:space="preserve">hrend es sich bei </w:t>
      </w:r>
      <w:r>
        <w:rPr>
          <w:rStyle w:val="Hyperlink.5"/>
          <w:rFonts w:ascii="Times New Roman" w:cs="Times New Roman" w:hAnsi="Times New Roman" w:eastAsia="Times New Roman"/>
          <w:outline w:val="0"/>
          <w:color w:val="0000ff"/>
          <w:sz w:val="22"/>
          <w:szCs w:val="22"/>
          <w:u w:val="single" w:color="0000ff"/>
          <w:lang w:val="de-DE"/>
          <w14:textFill>
            <w14:solidFill>
              <w14:srgbClr w14:val="0000FF"/>
            </w14:solidFill>
          </w14:textFill>
        </w:rPr>
        <w:fldChar w:fldCharType="begin" w:fldLock="0"/>
      </w:r>
      <w:r>
        <w:rPr>
          <w:rStyle w:val="Hyperlink.5"/>
          <w:rFonts w:ascii="Times New Roman" w:cs="Times New Roman" w:hAnsi="Times New Roman" w:eastAsia="Times New Roman"/>
          <w:outline w:val="0"/>
          <w:color w:val="0000ff"/>
          <w:sz w:val="22"/>
          <w:szCs w:val="22"/>
          <w:u w:val="single" w:color="0000ff"/>
          <w:lang w:val="de-DE"/>
          <w14:textFill>
            <w14:solidFill>
              <w14:srgbClr w14:val="0000FF"/>
            </w14:solidFill>
          </w14:textFill>
        </w:rPr>
        <w:instrText xml:space="preserve"> HYPERLINK "https://archives.bge-geneve.ch/ark:/17786/vta6c59d3778ca2991b/dao/0/1"</w:instrText>
      </w:r>
      <w:r>
        <w:rPr>
          <w:rStyle w:val="Hyperlink.5"/>
          <w:rFonts w:ascii="Times New Roman" w:cs="Times New Roman" w:hAnsi="Times New Roman" w:eastAsia="Times New Roman"/>
          <w:outline w:val="0"/>
          <w:color w:val="0000ff"/>
          <w:sz w:val="22"/>
          <w:szCs w:val="22"/>
          <w:u w:val="single" w:color="0000ff"/>
          <w:lang w:val="de-DE"/>
          <w14:textFill>
            <w14:solidFill>
              <w14:srgbClr w14:val="0000FF"/>
            </w14:solidFill>
          </w14:textFill>
        </w:rPr>
        <w:fldChar w:fldCharType="separate" w:fldLock="0"/>
      </w:r>
      <w:r>
        <w:rPr>
          <w:rStyle w:val="Hyperlink.5"/>
          <w:rFonts w:ascii="Times New Roman" w:hAnsi="Times New Roman"/>
          <w:outline w:val="0"/>
          <w:color w:val="0000ff"/>
          <w:sz w:val="22"/>
          <w:szCs w:val="22"/>
          <w:u w:val="single" w:color="0000ff"/>
          <w:rtl w:val="0"/>
          <w:lang w:val="de-DE"/>
          <w14:textFill>
            <w14:solidFill>
              <w14:srgbClr w14:val="0000FF"/>
            </w14:solidFill>
          </w14:textFill>
        </w:rPr>
        <w:t>P.Gen. inv. 191</w:t>
      </w:r>
      <w:r>
        <w:rPr>
          <w:lang w:val="de-DE"/>
        </w:rPr>
        <w:fldChar w:fldCharType="end" w:fldLock="0"/>
      </w:r>
      <w:r>
        <w:rPr>
          <w:rStyle w:val="None"/>
          <w:rFonts w:ascii="Times New Roman" w:hAnsi="Times New Roman"/>
          <w:sz w:val="22"/>
          <w:szCs w:val="22"/>
          <w:rtl w:val="0"/>
          <w:lang w:val="de-DE"/>
        </w:rPr>
        <w:t xml:space="preserve">, 5-6 (69-118 n.Chr.) um eine Art Kaufvertrag handelt, in der Halmyra wieder den Zusatz Epoikion hat und zudem als </w:t>
      </w:r>
      <w:r>
        <w:rPr>
          <w:rStyle w:val="None"/>
          <w:rFonts w:ascii="IFAO-Grec Unicode" w:cs="IFAO-Grec Unicode" w:hAnsi="IFAO-Grec Unicode" w:eastAsia="IFAO-Grec Unicode"/>
          <w:sz w:val="22"/>
          <w:szCs w:val="22"/>
          <w:rtl w:val="0"/>
          <w:lang w:val="de-DE"/>
        </w:rPr>
        <w:t>συνοικία</w:t>
      </w:r>
      <w:r>
        <w:rPr>
          <w:rStyle w:val="None"/>
          <w:rFonts w:ascii="Times New Roman" w:hAnsi="Times New Roman"/>
          <w:sz w:val="22"/>
          <w:szCs w:val="22"/>
          <w:rtl w:val="0"/>
          <w:lang w:val="de-DE"/>
        </w:rPr>
        <w:t xml:space="preserve"> mit einer dazugeh</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 xml:space="preserve">rigen </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lm</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hle erscheint.</w:t>
      </w:r>
      <w:r>
        <w:rPr>
          <w:rStyle w:val="None"/>
          <w:rFonts w:ascii="Times New Roman" w:cs="Times New Roman" w:hAnsi="Times New Roman" w:eastAsia="Times New Roman"/>
          <w:sz w:val="22"/>
          <w:szCs w:val="22"/>
          <w:vertAlign w:val="superscript"/>
          <w:lang w:val="de-DE"/>
        </w:rPr>
        <w:footnoteReference w:id="13"/>
      </w: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In Folge der genannten papyrologischen Evidenz ist weiterhin davon auszugehen, dass die Ansiedlung nahe am Fay</w:t>
      </w:r>
      <w:r>
        <w:rPr>
          <w:rStyle w:val="None"/>
          <w:rFonts w:ascii="Times New Roman" w:hAnsi="Times New Roman" w:hint="default"/>
          <w:sz w:val="22"/>
          <w:szCs w:val="22"/>
          <w:rtl w:val="0"/>
          <w:lang w:val="de-DE"/>
        </w:rPr>
        <w:t>û</w:t>
      </w:r>
      <w:r>
        <w:rPr>
          <w:rStyle w:val="None"/>
          <w:rFonts w:ascii="Times New Roman" w:hAnsi="Times New Roman"/>
          <w:sz w:val="22"/>
          <w:szCs w:val="22"/>
          <w:rtl w:val="0"/>
          <w:lang w:val="de-DE"/>
        </w:rPr>
        <w:t>m-See lag und eine enge Beziehung zu Herakleia hatte, welches selbst eng mit Soknopaiu Nesos verkn</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pft war.</w:t>
      </w:r>
      <w:r>
        <w:rPr>
          <w:rStyle w:val="None"/>
          <w:rFonts w:ascii="Times New Roman" w:cs="Times New Roman" w:hAnsi="Times New Roman" w:eastAsia="Times New Roman"/>
          <w:sz w:val="22"/>
          <w:szCs w:val="22"/>
          <w:vertAlign w:val="superscript"/>
          <w:lang w:val="de-DE"/>
        </w:rPr>
        <w:footnoteReference w:id="14"/>
      </w:r>
      <w:r>
        <w:rPr>
          <w:rStyle w:val="None"/>
          <w:rFonts w:ascii="Times New Roman" w:hAnsi="Times New Roman"/>
          <w:sz w:val="22"/>
          <w:szCs w:val="22"/>
          <w:rtl w:val="0"/>
          <w:lang w:val="de-DE"/>
        </w:rPr>
        <w:t xml:space="preserve"> Aufgrund der Verbindung des Personennamens Sotas zu dieser Ansiedlung in den genannten Papyri</w:t>
      </w:r>
      <w:r>
        <w:rPr>
          <w:rStyle w:val="None"/>
          <w:rFonts w:ascii="Times New Roman" w:cs="Times New Roman" w:hAnsi="Times New Roman" w:eastAsia="Times New Roman"/>
          <w:sz w:val="22"/>
          <w:szCs w:val="22"/>
          <w:vertAlign w:val="superscript"/>
          <w:lang w:val="de-DE"/>
        </w:rPr>
        <w:footnoteReference w:id="15"/>
      </w:r>
      <w:r>
        <w:rPr>
          <w:rStyle w:val="None"/>
          <w:rFonts w:ascii="Times New Roman" w:hAnsi="Times New Roman"/>
          <w:sz w:val="22"/>
          <w:szCs w:val="22"/>
          <w:rtl w:val="0"/>
          <w:lang w:val="de-DE"/>
        </w:rPr>
        <w:t xml:space="preserve"> ist ein Verst</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ndnis als einfaches </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Salzland</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w:t>
      </w:r>
      <w:r>
        <w:rPr>
          <w:rStyle w:val="None"/>
          <w:rFonts w:ascii="IFAO-Grec Unicode" w:cs="IFAO-Grec Unicode" w:hAnsi="IFAO-Grec Unicode" w:eastAsia="IFAO-Grec Unicode"/>
          <w:sz w:val="22"/>
          <w:szCs w:val="22"/>
          <w:rtl w:val="0"/>
          <w:lang w:val="de-DE"/>
        </w:rPr>
        <w:t>ἁλμυρίς</w:t>
      </w:r>
      <w:r>
        <w:rPr>
          <w:rStyle w:val="None"/>
          <w:rFonts w:ascii="Times New Roman" w:hAnsi="Times New Roman"/>
          <w:sz w:val="22"/>
          <w:szCs w:val="22"/>
          <w:rtl w:val="0"/>
          <w:lang w:val="de-DE"/>
        </w:rPr>
        <w:t>) im vorliegenden Papyrus eher unwahrscheinlich. Allerdings l</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sst sich der Name etymologisch durch eine enge Verkn</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pfung mit Salz erkl</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ren, denkbar w</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re dabei etwa die Existenz von unproduktivem Salzland in der N</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he der Ansiedlung</w:t>
      </w:r>
      <w:r>
        <w:rPr>
          <w:rStyle w:val="None"/>
          <w:rFonts w:ascii="Times New Roman" w:cs="Times New Roman" w:hAnsi="Times New Roman" w:eastAsia="Times New Roman"/>
          <w:sz w:val="22"/>
          <w:szCs w:val="22"/>
          <w:vertAlign w:val="superscript"/>
          <w:lang w:val="de-DE"/>
        </w:rPr>
        <w:footnoteReference w:id="16"/>
      </w:r>
      <w:r>
        <w:rPr>
          <w:rStyle w:val="None"/>
          <w:rFonts w:ascii="Times New Roman" w:hAnsi="Times New Roman"/>
          <w:sz w:val="22"/>
          <w:szCs w:val="22"/>
          <w:rtl w:val="0"/>
          <w:lang w:val="de-DE"/>
        </w:rPr>
        <w:t xml:space="preserve"> oder nach R</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mer eine lokale Salzproduktion.</w:t>
      </w:r>
      <w:r>
        <w:rPr>
          <w:rStyle w:val="None"/>
          <w:rFonts w:ascii="Times New Roman" w:cs="Times New Roman" w:hAnsi="Times New Roman" w:eastAsia="Times New Roman"/>
          <w:sz w:val="22"/>
          <w:szCs w:val="22"/>
          <w:vertAlign w:val="superscript"/>
          <w:lang w:val="de-DE"/>
        </w:rPr>
        <w:footnoteReference w:id="17"/>
      </w:r>
      <w:r>
        <w:rPr>
          <w:rStyle w:val="None"/>
          <w:rFonts w:ascii="Times New Roman" w:hAnsi="Times New Roman"/>
          <w:sz w:val="22"/>
          <w:szCs w:val="22"/>
          <w:rtl w:val="0"/>
          <w:lang w:val="de-DE"/>
        </w:rPr>
        <w:t xml:space="preserve"> Die letztere Vermutung wird m</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glicherweise durch zwei Eintr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ge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 Salzk</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rbchen im obigen Papyrus (vgl. Col. 2v, 22 &amp; 3v, 5) gest</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tzt, die aber nicht explizit mit Halmyra in Zusammenhang stehen.</w:t>
      </w:r>
    </w:p>
    <w:p>
      <w:pPr>
        <w:pStyle w:val="Normal.0"/>
        <w:jc w:val="both"/>
        <w:rPr>
          <w:rStyle w:val="None"/>
          <w:rFonts w:ascii="Times New Roman" w:cs="Times New Roman" w:hAnsi="Times New Roman" w:eastAsia="Times New Roman"/>
          <w:sz w:val="22"/>
          <w:szCs w:val="22"/>
          <w:lang w:val="de-DE"/>
        </w:rPr>
      </w:pPr>
    </w:p>
    <w:p>
      <w:pPr>
        <w:pStyle w:val="Normal.0"/>
        <w:rPr>
          <w:rStyle w:val="None"/>
          <w:rFonts w:ascii="Times New Roman" w:cs="Times New Roman" w:hAnsi="Times New Roman" w:eastAsia="Times New Roman"/>
          <w:lang w:val="de-DE"/>
        </w:rPr>
      </w:pPr>
      <w:r>
        <w:rPr>
          <w:rStyle w:val="None"/>
          <w:rFonts w:ascii="Times New Roman" w:hAnsi="Times New Roman"/>
          <w:rtl w:val="0"/>
          <w:lang w:val="de-DE"/>
        </w:rPr>
        <w:t>#articleHeader</w:t>
      </w:r>
    </w:p>
    <w:p>
      <w:pPr>
        <w:pStyle w:val="Normal.0"/>
        <w:jc w:val="both"/>
        <w:rPr>
          <w:rStyle w:val="None"/>
          <w:rFonts w:ascii="Times New Roman" w:cs="Times New Roman" w:hAnsi="Times New Roman" w:eastAsia="Times New Roman"/>
          <w:b w:val="1"/>
          <w:bCs w:val="1"/>
          <w:sz w:val="22"/>
          <w:szCs w:val="22"/>
          <w:lang w:val="de-DE"/>
        </w:rPr>
      </w:pPr>
      <w:r>
        <w:rPr>
          <w:rStyle w:val="None"/>
          <w:rFonts w:ascii="Times New Roman" w:hAnsi="Times New Roman"/>
          <w:b w:val="1"/>
          <w:bCs w:val="1"/>
          <w:sz w:val="22"/>
          <w:szCs w:val="22"/>
          <w:rtl w:val="0"/>
          <w:lang w:val="de-DE"/>
        </w:rPr>
        <w:t>Abschlie</w:t>
      </w:r>
      <w:r>
        <w:rPr>
          <w:rStyle w:val="None"/>
          <w:rFonts w:ascii="Times New Roman" w:hAnsi="Times New Roman" w:hint="default"/>
          <w:b w:val="1"/>
          <w:bCs w:val="1"/>
          <w:sz w:val="22"/>
          <w:szCs w:val="22"/>
          <w:rtl w:val="0"/>
          <w:lang w:val="de-DE"/>
        </w:rPr>
        <w:t>ß</w:t>
      </w:r>
      <w:r>
        <w:rPr>
          <w:rStyle w:val="None"/>
          <w:rFonts w:ascii="Times New Roman" w:hAnsi="Times New Roman"/>
          <w:b w:val="1"/>
          <w:bCs w:val="1"/>
          <w:sz w:val="22"/>
          <w:szCs w:val="22"/>
          <w:rtl w:val="0"/>
          <w:lang w:val="de-DE"/>
        </w:rPr>
        <w:t>ende Einordnung der Abrechnung</w:t>
      </w:r>
    </w:p>
    <w:p>
      <w:pPr>
        <w:pStyle w:val="Normal.0"/>
        <w:jc w:val="both"/>
        <w:rPr>
          <w:rStyle w:val="None"/>
          <w:rFonts w:ascii="Times New Roman" w:cs="Times New Roman" w:hAnsi="Times New Roman" w:eastAsia="Times New Roman"/>
          <w:b w:val="1"/>
          <w:bCs w:val="1"/>
          <w:sz w:val="22"/>
          <w:szCs w:val="22"/>
          <w:lang w:val="de-DE"/>
        </w:rPr>
      </w:pP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Insgesamt erweckt der Papyrus aufgrund des wenig professionellen Duktus des Griechischen sowie des eng abgesteckten Rahmen innerhalb von nicht einmal drei vollst</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ndigen Kolumnen den Eindruck einer privaten Abrechnung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 Drachmen- und Obolenbetr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ge zu verschiedenen Zwecken. In ebendiese Richtung l</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sst sich auch die Lesung </w:t>
      </w:r>
      <w:r>
        <w:rPr>
          <w:rStyle w:val="None"/>
          <w:rFonts w:ascii="IFAO-Grec Unicode" w:cs="IFAO-Grec Unicode" w:hAnsi="IFAO-Grec Unicode" w:eastAsia="IFAO-Grec Unicode"/>
          <w:sz w:val="22"/>
          <w:szCs w:val="22"/>
          <w:rtl w:val="0"/>
          <w:lang w:val="de-DE"/>
        </w:rPr>
        <w:t xml:space="preserve">τῷ πατρὶ μοῦ </w:t>
      </w:r>
      <w:r>
        <w:rPr>
          <w:rStyle w:val="None"/>
          <w:rFonts w:ascii="Times New Roman" w:hAnsi="Times New Roman"/>
          <w:sz w:val="22"/>
          <w:szCs w:val="22"/>
          <w:rtl w:val="0"/>
          <w:lang w:val="de-DE"/>
        </w:rPr>
        <w:t>in Col. 2 v, 6.17 und 3v, 1 interpretieren, da dies mit der Verwendung des Personalpronomens der ersten Person den Vater des Schreibers bezeichnet. Als weiteres Indiz kann die Schreibung des Ortsnamens Halmyra gelten, der in der bisherigen papyrologischen Evidenz fast ausschlie</w:t>
      </w:r>
      <w:r>
        <w:rPr>
          <w:rStyle w:val="None"/>
          <w:rFonts w:ascii="Times New Roman" w:hAnsi="Times New Roman" w:hint="default"/>
          <w:sz w:val="22"/>
          <w:szCs w:val="22"/>
          <w:rtl w:val="0"/>
          <w:lang w:val="de-DE"/>
        </w:rPr>
        <w:t>ß</w:t>
      </w:r>
      <w:r>
        <w:rPr>
          <w:rStyle w:val="None"/>
          <w:rFonts w:ascii="Times New Roman" w:hAnsi="Times New Roman"/>
          <w:sz w:val="22"/>
          <w:szCs w:val="22"/>
          <w:rtl w:val="0"/>
          <w:lang w:val="de-DE"/>
        </w:rPr>
        <w:t xml:space="preserve">lich mit dem Zusatz Epoikion und hier </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in scheinbar privatem Rahmen </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nur als </w:t>
      </w:r>
      <w:r>
        <w:rPr>
          <w:rStyle w:val="None"/>
          <w:rFonts w:ascii="IFAO-Grec Unicode" w:cs="IFAO-Grec Unicode" w:hAnsi="IFAO-Grec Unicode" w:eastAsia="IFAO-Grec Unicode"/>
          <w:sz w:val="22"/>
          <w:szCs w:val="22"/>
          <w:rtl w:val="0"/>
          <w:lang w:val="de-DE"/>
        </w:rPr>
        <w:t xml:space="preserve">Ἁλμυρά </w:t>
      </w:r>
      <w:r>
        <w:rPr>
          <w:rStyle w:val="None"/>
          <w:rFonts w:ascii="IFAO-Grec Unicode" w:cs="IFAO-Grec Unicode" w:hAnsi="IFAO-Grec Unicode" w:eastAsia="IFAO-Grec Unicode"/>
          <w:sz w:val="22"/>
          <w:szCs w:val="22"/>
          <w:rtl w:val="0"/>
          <w:lang w:val="de-DE"/>
        </w:rPr>
        <w:t>bezeichnet ist.</w:t>
      </w: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Was die Betr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ge der Abrechnung angeht, so bel</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uft sich die Summe der bisher sicher gelesenen Drachmenbetr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ge auf etwa 3250. Das stellt etwa die H</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lfte der in Col. 1v, 1 genannten Gesamtsumme von 6724 Drachmen dar. Allerdings fehlt gerade in dieser ersten Kolumne mindestens die H</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lfte der Preise, sodass auch weitere Betr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ge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 1000 Drachmen wie in Col. 1v, 12 durchaus denkbar sind, wodurch dieses Endergebnis erreicht werden k</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nnte. Weiterhin ist auch die oben beschriebene Kurzschreibung f</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r Obolen bemerkenswert.</w:t>
      </w: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In den Kolumnen 2 und 3 ist anhand einiger Tagesdaten mit Monatsangabe ein zeitlicher Rahmen vom 2. Pauni bis zum 20. Epeiph eines unbekannten Jahres auszumachen, wobei deutliche Spr</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nge in den erhaltenen Tagesdaten auftreten. Inhaltlich lassen sich insbesondere die h</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ufige Nennung des Namens Melas (zehn Erw</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hnungen)</w:t>
      </w:r>
      <w:r>
        <w:rPr>
          <w:rStyle w:val="None"/>
          <w:rFonts w:ascii="Times New Roman" w:cs="Times New Roman" w:hAnsi="Times New Roman" w:eastAsia="Times New Roman"/>
          <w:sz w:val="22"/>
          <w:szCs w:val="22"/>
          <w:vertAlign w:val="superscript"/>
          <w:lang w:val="de-DE"/>
        </w:rPr>
        <w:footnoteReference w:id="18"/>
      </w:r>
      <w:r>
        <w:rPr>
          <w:rStyle w:val="None"/>
          <w:rFonts w:ascii="Times New Roman" w:hAnsi="Times New Roman"/>
          <w:sz w:val="22"/>
          <w:szCs w:val="22"/>
          <w:rtl w:val="0"/>
          <w:lang w:val="de-DE"/>
        </w:rPr>
        <w:t xml:space="preserve"> feststellen. Dieser ist eng mit der h</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ufig auftretenden Nennung des Dorfes Halmyra verbunden, das einen klaren Bezug zu Soknopaiou Nesos hat. Die Eintr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ge der Abrechnung nennen bisweilen nur Halmyra oder eine nicht weiter spezifizierte Polis (vermutlich Krokodilopolis) als Ort der Zahlungen oder gar nur die Namen der Empf</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nger, ohne auf den genauen Zweck des Geldes einzugehen.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berdies gibt es aber auch eindeutigere Zeilen, in denen die Abrechnung bestimmter G</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ter festgehalten wird, wie etwa Gerste (vgl. Col. 2v, 24), Wein (vgl. Col. 3v, 2.7) ein Posten aus Bronze (vgl. Col. 2v, 25) oder Salzk</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 xml:space="preserve">rbchen ohne direkten Geldwert (vgl. Col. 2v, 22 &amp; 3v, 5). </w:t>
      </w: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In Sachen Datierung best</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tigt sich indessen der Eindruck, dass die Versoseite nach Mitte des. 2. Jh. n.Chr. abgefasst wurde, wie dies zuvor vermutet worden war. Insbesondere die Beleglage der auftretenden Personennamen sowie die datierten Erw</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hnungen von Halmyra legen diesen Schluss nahe.</w:t>
      </w:r>
    </w:p>
    <w:p>
      <w:pPr>
        <w:pStyle w:val="Normal.0"/>
        <w:rPr>
          <w:rStyle w:val="None"/>
          <w:rFonts w:ascii="Times New Roman" w:cs="Times New Roman" w:hAnsi="Times New Roman" w:eastAsia="Times New Roman"/>
          <w:b w:val="1"/>
          <w:bCs w:val="1"/>
          <w:lang w:val="de-DE"/>
        </w:rPr>
      </w:pPr>
    </w:p>
    <w:p>
      <w:pPr>
        <w:pStyle w:val="Normal.0"/>
        <w:rPr>
          <w:rStyle w:val="None"/>
          <w:rFonts w:ascii="Times New Roman" w:cs="Times New Roman" w:hAnsi="Times New Roman" w:eastAsia="Times New Roman"/>
          <w:b w:val="1"/>
          <w:bCs w:val="1"/>
          <w:sz w:val="22"/>
          <w:szCs w:val="22"/>
          <w:lang w:val="de-DE"/>
        </w:rPr>
      </w:pPr>
      <w:r>
        <w:rPr>
          <w:rStyle w:val="None"/>
          <w:rFonts w:ascii="Times New Roman" w:hAnsi="Times New Roman"/>
          <w:rtl w:val="0"/>
          <w:lang w:val="de-DE"/>
        </w:rPr>
        <w:t>#bibliography</w:t>
      </w:r>
      <w:bookmarkStart w:name="_CTVL001a8e8003a2fe64286ae9b3a57fdd1a193" w:id="13"/>
    </w:p>
    <w:p>
      <w:pPr>
        <w:pStyle w:val="Citavi Bibliography Entry"/>
        <w:rPr>
          <w:rStyle w:val="None"/>
          <w:rFonts w:ascii="Times New Roman" w:cs="Times New Roman" w:hAnsi="Times New Roman" w:eastAsia="Times New Roman"/>
          <w:sz w:val="22"/>
          <w:szCs w:val="22"/>
          <w:lang w:val="de-DE"/>
        </w:rPr>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"https://papyri.info/biblio/77554"</w:instrText>
      </w:r>
      <w:r>
        <w:rPr>
          <w:rStyle w:val="Hyperlink.2"/>
          <w:rFonts w:ascii="Times New Roman" w:cs="Times New Roman" w:hAnsi="Times New Roman" w:eastAsia="Times New Roman"/>
          <w:sz w:val="22"/>
          <w:szCs w:val="22"/>
          <w:lang w:val="de-DE"/>
        </w:rPr>
        <w:fldChar w:fldCharType="separate" w:fldLock="0"/>
      </w:r>
      <w:r>
        <w:rPr>
          <w:rStyle w:val="Hyperlink.2"/>
          <w:rFonts w:ascii="Times New Roman" w:hAnsi="Times New Roman"/>
          <w:sz w:val="22"/>
          <w:szCs w:val="22"/>
          <w:rtl w:val="0"/>
          <w:lang w:val="de-DE"/>
        </w:rPr>
        <w:t>Ast, R., Benaissa, A., Gonis, N., Kovarik, S. and S</w:t>
      </w:r>
      <w:r>
        <w:rPr>
          <w:rStyle w:val="Hyperlink.2"/>
          <w:rFonts w:ascii="Times New Roman" w:hAnsi="Times New Roman" w:hint="default"/>
          <w:sz w:val="22"/>
          <w:szCs w:val="22"/>
          <w:rtl w:val="0"/>
          <w:lang w:val="de-DE"/>
        </w:rPr>
        <w:t>ä</w:t>
      </w:r>
      <w:r>
        <w:rPr>
          <w:rStyle w:val="Hyperlink.2"/>
          <w:rFonts w:ascii="Times New Roman" w:hAnsi="Times New Roman"/>
          <w:sz w:val="22"/>
          <w:szCs w:val="22"/>
          <w:rtl w:val="0"/>
          <w:lang w:val="de-DE"/>
        </w:rPr>
        <w:t>nger-B</w:t>
      </w:r>
      <w:r>
        <w:rPr>
          <w:rStyle w:val="Hyperlink.2"/>
          <w:rFonts w:ascii="Times New Roman" w:hAnsi="Times New Roman" w:hint="default"/>
          <w:sz w:val="22"/>
          <w:szCs w:val="22"/>
          <w:rtl w:val="0"/>
          <w:lang w:val="de-DE"/>
        </w:rPr>
        <w:t>ö</w:t>
      </w:r>
      <w:r>
        <w:rPr>
          <w:rStyle w:val="Hyperlink.2"/>
          <w:rFonts w:ascii="Times New Roman" w:hAnsi="Times New Roman"/>
          <w:sz w:val="22"/>
          <w:szCs w:val="22"/>
          <w:rtl w:val="0"/>
          <w:lang w:val="de-DE"/>
        </w:rPr>
        <w:t>hm, K. (2009)</w:t>
      </w:r>
      <w:r>
        <w:rPr>
          <w:lang w:val="de-DE"/>
        </w:rPr>
        <w:fldChar w:fldCharType="end" w:fldLock="0"/>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Bemerkungen zu Papyri XXII (Korr. Tyche 611-632),</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Tyche 24: 215</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224.</w:t>
      </w:r>
      <w:bookmarkEnd w:id="13"/>
    </w:p>
    <w:p>
      <w:pPr>
        <w:pStyle w:val="Citavi Bibliography Entry"/>
        <w:rPr>
          <w:rStyle w:val="None"/>
          <w:rFonts w:ascii="Times New Roman" w:cs="Times New Roman" w:hAnsi="Times New Roman" w:eastAsia="Times New Roman"/>
          <w:sz w:val="22"/>
          <w:szCs w:val="22"/>
          <w:lang w:val="de-DE"/>
        </w:rPr>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"https://papyri.info/biblio/8813"</w:instrText>
      </w:r>
      <w:r>
        <w:rPr>
          <w:rStyle w:val="Hyperlink.2"/>
          <w:rFonts w:ascii="Times New Roman" w:cs="Times New Roman" w:hAnsi="Times New Roman" w:eastAsia="Times New Roman"/>
          <w:sz w:val="22"/>
          <w:szCs w:val="22"/>
          <w:lang w:val="de-DE"/>
        </w:rPr>
        <w:fldChar w:fldCharType="separate" w:fldLock="0"/>
      </w:r>
      <w:bookmarkStart w:name="_CTVL0018b96d63e3d924087864ce77c6b0c5d74" w:id="14"/>
      <w:r>
        <w:rPr>
          <w:rStyle w:val="Hyperlink.2"/>
          <w:rFonts w:ascii="Times New Roman" w:hAnsi="Times New Roman"/>
          <w:sz w:val="22"/>
          <w:szCs w:val="22"/>
          <w:rtl w:val="0"/>
          <w:lang w:val="de-DE"/>
        </w:rPr>
        <w:t>Gignac, F.T. (1976)</w:t>
      </w:r>
      <w:r>
        <w:rPr>
          <w:lang w:val="de-DE"/>
        </w:rPr>
        <w:fldChar w:fldCharType="end" w:fldLock="0"/>
      </w:r>
      <w:r>
        <w:rPr>
          <w:rStyle w:val="None"/>
          <w:rFonts w:ascii="Times New Roman" w:hAnsi="Times New Roman"/>
          <w:sz w:val="22"/>
          <w:szCs w:val="22"/>
          <w:rtl w:val="0"/>
          <w:lang w:val="de-DE"/>
        </w:rPr>
        <w:t xml:space="preserve"> A grammar of the Greek papyri of the Roman and Byzantine periods. Volume I. Phonolgy. Mailand.</w:t>
      </w:r>
      <w:bookmarkEnd w:id="14"/>
    </w:p>
    <w:p>
      <w:pPr>
        <w:pStyle w:val="Citavi Bibliography Entry"/>
        <w:rPr>
          <w:rStyle w:val="None"/>
          <w:rFonts w:ascii="Times New Roman" w:cs="Times New Roman" w:hAnsi="Times New Roman" w:eastAsia="Times New Roman"/>
          <w:sz w:val="22"/>
          <w:szCs w:val="22"/>
          <w:lang w:val="de-DE"/>
        </w:rPr>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"https://papyri.info/biblio/15271"</w:instrText>
      </w:r>
      <w:r>
        <w:rPr>
          <w:rStyle w:val="Hyperlink.2"/>
          <w:rFonts w:ascii="Times New Roman" w:cs="Times New Roman" w:hAnsi="Times New Roman" w:eastAsia="Times New Roman"/>
          <w:sz w:val="22"/>
          <w:szCs w:val="22"/>
          <w:lang w:val="de-DE"/>
        </w:rPr>
        <w:fldChar w:fldCharType="separate" w:fldLock="0"/>
      </w:r>
      <w:bookmarkStart w:name="_CTVL00195dde2979570441dba77bd2f018e0ea6" w:id="15"/>
      <w:r>
        <w:rPr>
          <w:rStyle w:val="Hyperlink.2"/>
          <w:rFonts w:ascii="Times New Roman" w:hAnsi="Times New Roman"/>
          <w:sz w:val="22"/>
          <w:szCs w:val="22"/>
          <w:rtl w:val="0"/>
          <w:lang w:val="de-DE"/>
        </w:rPr>
        <w:t>J</w:t>
      </w:r>
      <w:r>
        <w:rPr>
          <w:rStyle w:val="Hyperlink.2"/>
          <w:rFonts w:ascii="Times New Roman" w:hAnsi="Times New Roman" w:hint="default"/>
          <w:sz w:val="22"/>
          <w:szCs w:val="22"/>
          <w:rtl w:val="0"/>
          <w:lang w:val="de-DE"/>
        </w:rPr>
        <w:t>ö</w:t>
      </w:r>
      <w:r>
        <w:rPr>
          <w:rStyle w:val="Hyperlink.2"/>
          <w:rFonts w:ascii="Times New Roman" w:hAnsi="Times New Roman"/>
          <w:sz w:val="22"/>
          <w:szCs w:val="22"/>
          <w:rtl w:val="0"/>
          <w:lang w:val="de-DE"/>
        </w:rPr>
        <w:t>rdens, A. and Zauzich, K.-T. (1998)</w:t>
      </w:r>
      <w:r>
        <w:rPr>
          <w:lang w:val="de-DE"/>
        </w:rPr>
        <w:fldChar w:fldCharType="end" w:fldLock="0"/>
      </w:r>
      <w:r>
        <w:rPr>
          <w:rStyle w:val="None"/>
          <w:rFonts w:ascii="Times New Roman" w:hAnsi="Times New Roman"/>
          <w:sz w:val="22"/>
          <w:szCs w:val="22"/>
          <w:rtl w:val="0"/>
          <w:lang w:val="de-DE"/>
        </w:rPr>
        <w:t xml:space="preserve"> Griechische Papyri aus Soknopaiu Nesos (P.Louvre I). Bonn.</w:t>
      </w:r>
      <w:bookmarkEnd w:id="15"/>
    </w:p>
    <w:p>
      <w:pPr>
        <w:pStyle w:val="Citavi Bibliography Entry"/>
        <w:rPr>
          <w:rStyle w:val="None"/>
          <w:rFonts w:ascii="Times New Roman" w:cs="Times New Roman" w:hAnsi="Times New Roman" w:eastAsia="Times New Roman"/>
          <w:sz w:val="22"/>
          <w:szCs w:val="22"/>
          <w:lang w:val="de-DE"/>
        </w:rPr>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"https://papyri.info/biblio/95066"</w:instrText>
      </w:r>
      <w:r>
        <w:rPr>
          <w:rStyle w:val="Hyperlink.2"/>
          <w:rFonts w:ascii="Times New Roman" w:cs="Times New Roman" w:hAnsi="Times New Roman" w:eastAsia="Times New Roman"/>
          <w:sz w:val="22"/>
          <w:szCs w:val="22"/>
          <w:lang w:val="de-DE"/>
        </w:rPr>
        <w:fldChar w:fldCharType="separate" w:fldLock="0"/>
      </w:r>
      <w:bookmarkStart w:name="_CTVL00182a38756d0c54c829f721793e664b095" w:id="16"/>
      <w:r>
        <w:rPr>
          <w:rStyle w:val="Hyperlink.2"/>
          <w:rFonts w:ascii="Times New Roman" w:hAnsi="Times New Roman"/>
          <w:sz w:val="22"/>
          <w:szCs w:val="22"/>
          <w:rtl w:val="0"/>
          <w:lang w:val="de-DE"/>
        </w:rPr>
        <w:t>Lippert, S.L. and Schentuleit, M. (2006)</w:t>
      </w:r>
      <w:r>
        <w:rPr>
          <w:lang w:val="de-DE"/>
        </w:rPr>
        <w:fldChar w:fldCharType="end" w:fldLock="0"/>
      </w:r>
      <w:r>
        <w:rPr>
          <w:rStyle w:val="None"/>
          <w:rFonts w:ascii="Times New Roman" w:hAnsi="Times New Roman"/>
          <w:sz w:val="22"/>
          <w:szCs w:val="22"/>
          <w:rtl w:val="0"/>
          <w:lang w:val="de-DE"/>
        </w:rPr>
        <w:t xml:space="preserve"> Ostraka (DDD I). Wiesbaden.</w:t>
      </w:r>
      <w:bookmarkEnd w:id="16"/>
    </w:p>
    <w:p>
      <w:pPr>
        <w:pStyle w:val="Citavi Bibliography Entry"/>
        <w:rPr>
          <w:rStyle w:val="None"/>
          <w:rFonts w:ascii="Times New Roman" w:cs="Times New Roman" w:hAnsi="Times New Roman" w:eastAsia="Times New Roman"/>
          <w:sz w:val="22"/>
          <w:szCs w:val="22"/>
          <w:lang w:val="de-DE"/>
        </w:rPr>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"https://papyri.info/biblio/79288"</w:instrText>
      </w:r>
      <w:r>
        <w:rPr>
          <w:rStyle w:val="Hyperlink.2"/>
          <w:rFonts w:ascii="Times New Roman" w:cs="Times New Roman" w:hAnsi="Times New Roman" w:eastAsia="Times New Roman"/>
          <w:sz w:val="22"/>
          <w:szCs w:val="22"/>
          <w:lang w:val="de-DE"/>
        </w:rPr>
        <w:fldChar w:fldCharType="separate" w:fldLock="0"/>
      </w:r>
      <w:bookmarkStart w:name="_CTVL0015936c33072904f38a137d40687cf25f2" w:id="17"/>
      <w:r>
        <w:rPr>
          <w:rStyle w:val="Hyperlink.2"/>
          <w:rFonts w:ascii="Times New Roman" w:hAnsi="Times New Roman"/>
          <w:sz w:val="22"/>
          <w:szCs w:val="22"/>
          <w:rtl w:val="0"/>
          <w:lang w:val="de-DE"/>
        </w:rPr>
        <w:t>Lippert, S.L., Schentuleit, M. and Reiter, F. (2010)</w:t>
      </w:r>
      <w:r>
        <w:rPr>
          <w:lang w:val="de-DE"/>
        </w:rPr>
        <w:fldChar w:fldCharType="end" w:fldLock="0"/>
      </w:r>
      <w:r>
        <w:rPr>
          <w:rStyle w:val="None"/>
          <w:rFonts w:ascii="Times New Roman" w:hAnsi="Times New Roman"/>
          <w:sz w:val="22"/>
          <w:szCs w:val="22"/>
          <w:rtl w:val="0"/>
          <w:lang w:val="de-DE"/>
        </w:rPr>
        <w:t xml:space="preserve"> Urkunden (DDD III). Wiesbaden.</w:t>
      </w:r>
      <w:bookmarkEnd w:id="17"/>
    </w:p>
    <w:p>
      <w:pPr>
        <w:pStyle w:val="Citavi Bibliography Entry"/>
        <w:rPr>
          <w:rStyle w:val="None"/>
          <w:rFonts w:ascii="Times New Roman" w:cs="Times New Roman" w:hAnsi="Times New Roman" w:eastAsia="Times New Roman"/>
          <w:sz w:val="22"/>
          <w:szCs w:val="22"/>
          <w:lang w:val="de-DE"/>
        </w:rPr>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"https://papyri.info/biblio/55861"</w:instrText>
      </w:r>
      <w:r>
        <w:rPr>
          <w:rStyle w:val="Hyperlink.2"/>
          <w:rFonts w:ascii="Times New Roman" w:cs="Times New Roman" w:hAnsi="Times New Roman" w:eastAsia="Times New Roman"/>
          <w:sz w:val="22"/>
          <w:szCs w:val="22"/>
          <w:lang w:val="de-DE"/>
        </w:rPr>
        <w:fldChar w:fldCharType="separate" w:fldLock="0"/>
      </w:r>
      <w:bookmarkStart w:name="_CTVL0014ebdfe8932814e2c9310426c1356938b" w:id="18"/>
      <w:r>
        <w:rPr>
          <w:rStyle w:val="Hyperlink.2"/>
          <w:rFonts w:ascii="Times New Roman" w:hAnsi="Times New Roman"/>
          <w:sz w:val="22"/>
          <w:szCs w:val="22"/>
          <w:rtl w:val="0"/>
          <w:lang w:val="de-DE"/>
        </w:rPr>
        <w:t>Loebenstein, H. (1983)</w:t>
      </w:r>
      <w:r>
        <w:rPr>
          <w:lang w:val="de-DE"/>
        </w:rPr>
        <w:fldChar w:fldCharType="end" w:fldLock="0"/>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Vom </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Papyrus Erzherzog Rainer</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zur Papyrussammlung der </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sterreichischen Nationalbibliothek. 100 Jahre Sammeln, Bewahren, Edieren,</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in Papyrussammlung der </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sterreichischen Nationalbibliothek (ed.</w:t>
      </w:r>
      <w:bookmarkEnd w:id="18"/>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Papyrus Erzherzog Rainer (P. Rainer Cent.)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Festschrift zum 100-j</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hrigen Bestehen der Papyrussammlung der </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sterreichischen Nationalbibliothek. Wien: 3</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39.</w:t>
      </w:r>
    </w:p>
    <w:p>
      <w:pPr>
        <w:pStyle w:val="Citavi Bibliography Entry"/>
        <w:rPr>
          <w:rStyle w:val="None"/>
          <w:rFonts w:ascii="Times New Roman" w:cs="Times New Roman" w:hAnsi="Times New Roman" w:eastAsia="Times New Roman"/>
          <w:sz w:val="22"/>
          <w:szCs w:val="22"/>
          <w:lang w:val="de-DE"/>
        </w:rPr>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"https://papyri.info/biblio/87310"</w:instrText>
      </w:r>
      <w:r>
        <w:rPr>
          <w:rStyle w:val="Hyperlink.2"/>
          <w:rFonts w:ascii="Times New Roman" w:cs="Times New Roman" w:hAnsi="Times New Roman" w:eastAsia="Times New Roman"/>
          <w:sz w:val="22"/>
          <w:szCs w:val="22"/>
          <w:lang w:val="de-DE"/>
        </w:rPr>
        <w:fldChar w:fldCharType="separate" w:fldLock="0"/>
      </w:r>
      <w:bookmarkStart w:name="_CTVL001892a8128e86340f9af4498c65bd25fef" w:id="19"/>
      <w:r>
        <w:rPr>
          <w:rStyle w:val="Hyperlink.2"/>
          <w:rFonts w:ascii="Times New Roman" w:hAnsi="Times New Roman"/>
          <w:sz w:val="22"/>
          <w:szCs w:val="22"/>
          <w:rtl w:val="0"/>
          <w:lang w:val="de-DE"/>
        </w:rPr>
        <w:t>Monson, A. (2013)</w:t>
      </w:r>
      <w:r>
        <w:rPr>
          <w:lang w:val="de-DE"/>
        </w:rPr>
        <w:fldChar w:fldCharType="end" w:fldLock="0"/>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Salinization and agricultural productivity in the Fayy</w:t>
      </w:r>
      <w:r>
        <w:rPr>
          <w:rStyle w:val="None"/>
          <w:rFonts w:ascii="Times New Roman" w:hAnsi="Times New Roman" w:hint="default"/>
          <w:sz w:val="22"/>
          <w:szCs w:val="22"/>
          <w:rtl w:val="0"/>
          <w:lang w:val="de-DE"/>
        </w:rPr>
        <w:t>û</w:t>
      </w:r>
      <w:r>
        <w:rPr>
          <w:rStyle w:val="None"/>
          <w:rFonts w:ascii="Times New Roman" w:hAnsi="Times New Roman"/>
          <w:sz w:val="22"/>
          <w:szCs w:val="22"/>
          <w:rtl w:val="0"/>
          <w:lang w:val="de-DE"/>
        </w:rPr>
        <w:t>m,</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in C. Arlt and M. A. Stadler (eds.</w:t>
      </w:r>
      <w:bookmarkEnd w:id="19"/>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Das Fayy</w:t>
      </w:r>
      <w:r>
        <w:rPr>
          <w:rStyle w:val="None"/>
          <w:rFonts w:ascii="Times New Roman" w:hAnsi="Times New Roman" w:hint="default"/>
          <w:sz w:val="22"/>
          <w:szCs w:val="22"/>
          <w:rtl w:val="0"/>
          <w:lang w:val="de-DE"/>
        </w:rPr>
        <w:t>û</w:t>
      </w:r>
      <w:r>
        <w:rPr>
          <w:rStyle w:val="None"/>
          <w:rFonts w:ascii="Times New Roman" w:hAnsi="Times New Roman"/>
          <w:sz w:val="22"/>
          <w:szCs w:val="22"/>
          <w:rtl w:val="0"/>
          <w:lang w:val="de-DE"/>
        </w:rPr>
        <w:t>m in Hellenismus und Kaiserzeit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Fallstudien zu multikulturellem Leben in der Antike. Wiesbaden: 123</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140.</w:t>
      </w:r>
    </w:p>
    <w:p>
      <w:pPr>
        <w:pStyle w:val="Citavi Bibliography Entry"/>
        <w:rPr>
          <w:rStyle w:val="None"/>
          <w:rFonts w:ascii="Times New Roman" w:cs="Times New Roman" w:hAnsi="Times New Roman" w:eastAsia="Times New Roman"/>
          <w:sz w:val="22"/>
          <w:szCs w:val="22"/>
          <w:lang w:val="de-DE"/>
        </w:rPr>
      </w:pPr>
      <w:bookmarkStart w:name="_CTVL001f396bc3ac0264b248fd0fda9fa874843" w:id="20"/>
      <w:r>
        <w:rPr>
          <w:rStyle w:val="None"/>
          <w:rFonts w:ascii="Times New Roman" w:hAnsi="Times New Roman"/>
          <w:sz w:val="22"/>
          <w:szCs w:val="22"/>
          <w:rtl w:val="0"/>
          <w:lang w:val="de-DE"/>
        </w:rPr>
        <w:t xml:space="preserve">Moser, M. (2023a) </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mty,</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in Marie-Pierre Chaufray and Martin Andreas Stadler (eds.</w:t>
      </w:r>
      <w:bookmarkEnd w:id="20"/>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DimeData. (</w:t>
      </w: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"https://dimedata.huma-num.fr/lemma/mty"</w:instrText>
      </w:r>
      <w:r>
        <w:rPr>
          <w:rStyle w:val="Hyperlink.2"/>
          <w:rFonts w:ascii="Times New Roman" w:cs="Times New Roman" w:hAnsi="Times New Roman" w:eastAsia="Times New Roman"/>
          <w:sz w:val="22"/>
          <w:szCs w:val="22"/>
          <w:lang w:val="de-DE"/>
        </w:rPr>
        <w:fldChar w:fldCharType="separate" w:fldLock="0"/>
      </w:r>
      <w:r>
        <w:rPr>
          <w:rStyle w:val="Hyperlink.2"/>
          <w:rFonts w:ascii="Times New Roman" w:hAnsi="Times New Roman"/>
          <w:sz w:val="22"/>
          <w:szCs w:val="22"/>
          <w:rtl w:val="0"/>
          <w:lang w:val="de-DE"/>
        </w:rPr>
        <w:t>https://dimedata.huma-num.fr/lemma/mty</w:t>
      </w:r>
      <w:r>
        <w:rPr>
          <w:lang w:val="de-DE"/>
        </w:rPr>
        <w:fldChar w:fldCharType="end" w:fldLock="0"/>
      </w:r>
      <w:r>
        <w:rPr>
          <w:rStyle w:val="None"/>
          <w:rFonts w:ascii="Times New Roman" w:hAnsi="Times New Roman"/>
          <w:sz w:val="22"/>
          <w:szCs w:val="22"/>
          <w:rtl w:val="0"/>
          <w:lang w:val="de-DE"/>
        </w:rPr>
        <w:t>)</w:t>
      </w:r>
    </w:p>
    <w:p>
      <w:pPr>
        <w:pStyle w:val="Citavi Bibliography Entry"/>
        <w:rPr>
          <w:rStyle w:val="None"/>
          <w:rFonts w:ascii="Times New Roman" w:cs="Times New Roman" w:hAnsi="Times New Roman" w:eastAsia="Times New Roman"/>
          <w:sz w:val="22"/>
          <w:szCs w:val="22"/>
          <w:lang w:val="de-DE"/>
        </w:rPr>
      </w:pPr>
      <w:bookmarkStart w:name="_CTVL0015683d00d1b82448583088b72aca260c2" w:id="21"/>
      <w:r>
        <w:rPr>
          <w:rStyle w:val="None"/>
          <w:rFonts w:ascii="Times New Roman" w:hAnsi="Times New Roman"/>
          <w:sz w:val="22"/>
          <w:szCs w:val="22"/>
          <w:rtl w:val="0"/>
          <w:lang w:val="de-DE"/>
        </w:rPr>
        <w:t xml:space="preserve">Moser, M. (2023b) </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trns,</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in Marie-Pierre Chaufray and Martin Andreas Stadler (eds.</w:t>
      </w:r>
      <w:bookmarkEnd w:id="21"/>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DimeData. (</w:t>
      </w: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"https://dimedata.huma-num.fr/lemma/trns"</w:instrText>
      </w:r>
      <w:r>
        <w:rPr>
          <w:rStyle w:val="Hyperlink.2"/>
          <w:rFonts w:ascii="Times New Roman" w:cs="Times New Roman" w:hAnsi="Times New Roman" w:eastAsia="Times New Roman"/>
          <w:sz w:val="22"/>
          <w:szCs w:val="22"/>
          <w:lang w:val="de-DE"/>
        </w:rPr>
        <w:fldChar w:fldCharType="separate" w:fldLock="0"/>
      </w:r>
      <w:r>
        <w:rPr>
          <w:rStyle w:val="Hyperlink.2"/>
          <w:rFonts w:ascii="Times New Roman" w:hAnsi="Times New Roman"/>
          <w:sz w:val="22"/>
          <w:szCs w:val="22"/>
          <w:rtl w:val="0"/>
          <w:lang w:val="de-DE"/>
        </w:rPr>
        <w:t>https://dimedata.huma-num.fr/lemma/trns</w:t>
      </w:r>
      <w:r>
        <w:rPr>
          <w:lang w:val="de-DE"/>
        </w:rPr>
        <w:fldChar w:fldCharType="end" w:fldLock="0"/>
      </w:r>
      <w:r>
        <w:rPr>
          <w:rStyle w:val="None"/>
          <w:rFonts w:ascii="Times New Roman" w:hAnsi="Times New Roman"/>
          <w:sz w:val="22"/>
          <w:szCs w:val="22"/>
          <w:rtl w:val="0"/>
          <w:lang w:val="de-DE"/>
        </w:rPr>
        <w:t>)</w:t>
      </w:r>
    </w:p>
    <w:p>
      <w:pPr>
        <w:pStyle w:val="Citavi Bibliography Entry"/>
        <w:rPr>
          <w:rStyle w:val="None"/>
          <w:rFonts w:ascii="Times New Roman" w:cs="Times New Roman" w:hAnsi="Times New Roman" w:eastAsia="Times New Roman"/>
          <w:sz w:val="22"/>
          <w:szCs w:val="22"/>
          <w:lang w:val="de-DE"/>
        </w:rPr>
      </w:pPr>
      <w:bookmarkStart w:name="_CTVL001adadf599eb2742edb12bc9e77f1cfb06" w:id="22"/>
      <w:r>
        <w:rPr>
          <w:rStyle w:val="None"/>
          <w:rFonts w:ascii="Times New Roman" w:hAnsi="Times New Roman"/>
          <w:sz w:val="22"/>
          <w:szCs w:val="22"/>
          <w:rtl w:val="0"/>
          <w:lang w:val="de-DE"/>
        </w:rPr>
        <w:t>R</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mer, C.E. (2019) The Fayoum survey project. The Themistou Meris. Volume A. The archaeological and papyrological survey. L</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wen - Paris - Bristol (CT).</w:t>
      </w:r>
      <w:bookmarkEnd w:id="22"/>
    </w:p>
    <w:p>
      <w:pPr>
        <w:pStyle w:val="Citavi Bibliography Entry"/>
        <w:rPr>
          <w:rStyle w:val="None"/>
          <w:rFonts w:ascii="Times New Roman" w:cs="Times New Roman" w:hAnsi="Times New Roman" w:eastAsia="Times New Roman"/>
          <w:sz w:val="22"/>
          <w:szCs w:val="22"/>
          <w:lang w:val="de-DE"/>
        </w:rPr>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"https://papyri.info/biblio/85247"</w:instrText>
      </w:r>
      <w:r>
        <w:rPr>
          <w:rStyle w:val="Hyperlink.2"/>
          <w:rFonts w:ascii="Times New Roman" w:cs="Times New Roman" w:hAnsi="Times New Roman" w:eastAsia="Times New Roman"/>
          <w:sz w:val="22"/>
          <w:szCs w:val="22"/>
          <w:lang w:val="de-DE"/>
        </w:rPr>
        <w:fldChar w:fldCharType="separate" w:fldLock="0"/>
      </w:r>
      <w:bookmarkStart w:name="_CTVL001ba8ecb8986db4668a95a3faed758d772" w:id="23"/>
      <w:r>
        <w:rPr>
          <w:rStyle w:val="Hyperlink.2"/>
          <w:rFonts w:ascii="Times New Roman" w:hAnsi="Times New Roman"/>
          <w:sz w:val="22"/>
          <w:szCs w:val="22"/>
          <w:rtl w:val="0"/>
          <w:lang w:val="de-DE"/>
        </w:rPr>
        <w:t>Stadler, M.A. (2012)</w:t>
      </w:r>
      <w:r>
        <w:rPr>
          <w:lang w:val="de-DE"/>
        </w:rPr>
        <w:fldChar w:fldCharType="end" w:fldLock="0"/>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Demotica aus Dime. Ein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 xml:space="preserve">berblick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 die in Dime w</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hrend der Kampagnen 2001-2009 gefundenen demotischen Texte,</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in M. Capasso and P. Davoli (eds.</w:t>
      </w:r>
      <w:bookmarkEnd w:id="23"/>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Soknopaiou Nesos Project I (2003-2009). Pisa - Rom: 249</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268.</w:t>
      </w:r>
    </w:p>
    <w:p>
      <w:pPr>
        <w:pStyle w:val="Citavi Bibliography Entry"/>
      </w:pPr>
      <w:r>
        <w:rPr>
          <w:rStyle w:val="Hyperlink.2"/>
          <w:rFonts w:ascii="Times New Roman" w:cs="Times New Roman" w:hAnsi="Times New Roman" w:eastAsia="Times New Roman"/>
          <w:sz w:val="22"/>
          <w:szCs w:val="22"/>
          <w:lang w:val="de-DE"/>
        </w:rPr>
        <w:fldChar w:fldCharType="begin" w:fldLock="0"/>
      </w:r>
      <w:r>
        <w:rPr>
          <w:rStyle w:val="Hyperlink.2"/>
          <w:rFonts w:ascii="Times New Roman" w:cs="Times New Roman" w:hAnsi="Times New Roman" w:eastAsia="Times New Roman"/>
          <w:sz w:val="22"/>
          <w:szCs w:val="22"/>
          <w:lang w:val="de-DE"/>
        </w:rPr>
        <w:instrText xml:space="preserve"> HYPERLINK "https://papyri.info/biblio/3811"</w:instrText>
      </w:r>
      <w:r>
        <w:rPr>
          <w:rStyle w:val="Hyperlink.2"/>
          <w:rFonts w:ascii="Times New Roman" w:cs="Times New Roman" w:hAnsi="Times New Roman" w:eastAsia="Times New Roman"/>
          <w:sz w:val="22"/>
          <w:szCs w:val="22"/>
          <w:lang w:val="de-DE"/>
        </w:rPr>
        <w:fldChar w:fldCharType="separate" w:fldLock="0"/>
      </w:r>
      <w:bookmarkStart w:name="_CTVL00183b425ee44a94aeb91f46c09c358d858" w:id="24"/>
      <w:r>
        <w:rPr>
          <w:rStyle w:val="Hyperlink.2"/>
          <w:rFonts w:ascii="Times New Roman" w:hAnsi="Times New Roman"/>
          <w:sz w:val="22"/>
          <w:szCs w:val="22"/>
          <w:rtl w:val="0"/>
          <w:lang w:val="de-DE"/>
        </w:rPr>
        <w:t>Wallace, S.L. (1938)</w:t>
      </w:r>
      <w:r>
        <w:rPr>
          <w:lang w:val="de-DE"/>
        </w:rPr>
        <w:fldChar w:fldCharType="end" w:fldLock="0"/>
      </w:r>
      <w:r>
        <w:rPr>
          <w:rStyle w:val="None"/>
          <w:rFonts w:ascii="Times New Roman" w:hAnsi="Times New Roman"/>
          <w:sz w:val="22"/>
          <w:szCs w:val="22"/>
          <w:rtl w:val="0"/>
          <w:lang w:val="de-DE"/>
        </w:rPr>
        <w:t xml:space="preserve"> Taxation in Egypt. From Augustus to Diocletian. Princeton</w:t>
      </w:r>
      <w:bookmarkEnd w:id="24"/>
      <w:r>
        <w:rPr>
          <w:rStyle w:val="None"/>
          <w:rFonts w:ascii="Times New Roman" w:hAnsi="Times New Roman"/>
          <w:sz w:val="22"/>
          <w:szCs w:val="22"/>
          <w:rtl w:val="0"/>
          <w:lang w:val="de-DE"/>
        </w:rPr>
        <w:t>.</w:t>
      </w:r>
    </w:p>
    <w:sectPr>
      <w:headerReference w:type="default" r:id="rId4"/>
      <w:headerReference w:type="first" r:id="rId5"/>
      <w:footerReference w:type="default" r:id="rId6"/>
      <w:footerReference w:type="first" r:id="rId7"/>
      <w:pgSz w:w="11900" w:h="16840" w:orient="portrait"/>
      <w:pgMar w:top="1417" w:right="1417" w:bottom="1134" w:left="1417"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 xml:space="preserve">Vgl. </w:t>
      </w:r>
      <w:r>
        <w:rPr>
          <w:rStyle w:val="Hyperlink.1"/>
        </w:rPr>
        <w:fldChar w:fldCharType="begin" w:fldLock="0"/>
      </w:r>
      <w:r>
        <w:rPr>
          <w:rStyle w:val="Hyperlink.1"/>
        </w:rPr>
        <w:instrText xml:space="preserve"> HYPERLINK "https://papyri.info/biblio/85247"</w:instrText>
      </w:r>
      <w:r>
        <w:rPr>
          <w:rStyle w:val="Hyperlink.1"/>
        </w:rPr>
        <w:fldChar w:fldCharType="separate" w:fldLock="0"/>
      </w:r>
      <w:r>
        <w:rPr>
          <w:rStyle w:val="Hyperlink.1"/>
          <w:rtl w:val="0"/>
          <w:lang w:val="de-DE"/>
        </w:rPr>
        <w:t>Stadler 2012</w:t>
      </w:r>
      <w:r>
        <w:rPr/>
        <w:fldChar w:fldCharType="end" w:fldLock="0"/>
      </w:r>
      <w:r>
        <w:rPr>
          <w:rFonts w:ascii="Times New Roman" w:hAnsi="Times New Roman"/>
          <w:rtl w:val="0"/>
          <w:lang w:val="de-DE"/>
        </w:rPr>
        <w:t>: 249f.</w:t>
      </w:r>
    </w:p>
  </w:footnote>
  <w:footnote w:id="2">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 xml:space="preserve">Zahlreiche dieser Papyri gelangten ab 1891 durch die Vermittlung Jakob Kralls in die Sammlung, vgl. </w:t>
      </w:r>
      <w:r>
        <w:rPr>
          <w:rStyle w:val="Hyperlink.1"/>
        </w:rPr>
        <w:fldChar w:fldCharType="begin" w:fldLock="0"/>
      </w:r>
      <w:r>
        <w:rPr>
          <w:rStyle w:val="Hyperlink.1"/>
        </w:rPr>
        <w:instrText xml:space="preserve"> HYPERLINK "https://papyri.info/biblio/55861"</w:instrText>
      </w:r>
      <w:r>
        <w:rPr>
          <w:rStyle w:val="Hyperlink.1"/>
        </w:rPr>
        <w:fldChar w:fldCharType="separate" w:fldLock="0"/>
      </w:r>
      <w:r>
        <w:rPr>
          <w:rStyle w:val="Hyperlink.1"/>
          <w:rtl w:val="0"/>
          <w:lang w:val="de-DE"/>
        </w:rPr>
        <w:t>Loebenstein 1983</w:t>
      </w:r>
      <w:r>
        <w:rPr/>
        <w:fldChar w:fldCharType="end" w:fldLock="0"/>
      </w:r>
      <w:r>
        <w:rPr>
          <w:rFonts w:ascii="Times New Roman" w:hAnsi="Times New Roman"/>
          <w:rtl w:val="0"/>
          <w:lang w:val="de-DE"/>
        </w:rPr>
        <w:t>: 15</w:t>
      </w:r>
      <w:r>
        <w:rPr>
          <w:rFonts w:ascii="Times New Roman" w:hAnsi="Times New Roman" w:hint="default"/>
          <w:rtl w:val="0"/>
          <w:lang w:val="de-DE"/>
        </w:rPr>
        <w:t>–</w:t>
      </w:r>
      <w:r>
        <w:rPr>
          <w:rFonts w:ascii="Times New Roman" w:hAnsi="Times New Roman"/>
          <w:rtl w:val="0"/>
          <w:lang w:val="de-DE"/>
        </w:rPr>
        <w:t>17.</w:t>
      </w:r>
    </w:p>
  </w:footnote>
  <w:footnote w:id="3">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Ein eindeutiges Kriterium ist etwa das h</w:t>
      </w:r>
      <w:r>
        <w:rPr>
          <w:rFonts w:ascii="Times New Roman" w:hAnsi="Times New Roman" w:hint="default"/>
          <w:rtl w:val="0"/>
          <w:lang w:val="de-DE"/>
        </w:rPr>
        <w:t>ä</w:t>
      </w:r>
      <w:r>
        <w:rPr>
          <w:rFonts w:ascii="Times New Roman" w:hAnsi="Times New Roman"/>
          <w:rtl w:val="0"/>
          <w:lang w:val="de-DE"/>
        </w:rPr>
        <w:t>ufige Auftreten bestimmter Personennamen wie Stotoetis, Panephremmis und Satabus, die fast ausschlie</w:t>
      </w:r>
      <w:r>
        <w:rPr>
          <w:rFonts w:ascii="Times New Roman" w:hAnsi="Times New Roman" w:hint="default"/>
          <w:rtl w:val="0"/>
          <w:lang w:val="de-DE"/>
        </w:rPr>
        <w:t>ß</w:t>
      </w:r>
      <w:r>
        <w:rPr>
          <w:rFonts w:ascii="Times New Roman" w:hAnsi="Times New Roman"/>
          <w:rtl w:val="0"/>
          <w:lang w:val="de-DE"/>
        </w:rPr>
        <w:t xml:space="preserve">lich in Soknopaiu Nesos vorkommen, vgl. </w:t>
      </w:r>
      <w:r>
        <w:rPr>
          <w:rStyle w:val="Hyperlink.1"/>
        </w:rPr>
        <w:fldChar w:fldCharType="begin" w:fldLock="0"/>
      </w:r>
      <w:r>
        <w:rPr>
          <w:rStyle w:val="Hyperlink.1"/>
        </w:rPr>
        <w:instrText xml:space="preserve"> HYPERLINK "https://papyri.info/biblio/95066"</w:instrText>
      </w:r>
      <w:r>
        <w:rPr>
          <w:rStyle w:val="Hyperlink.1"/>
        </w:rPr>
        <w:fldChar w:fldCharType="separate" w:fldLock="0"/>
      </w:r>
      <w:r>
        <w:rPr>
          <w:rStyle w:val="Hyperlink.1"/>
          <w:rtl w:val="0"/>
          <w:lang w:val="de-DE"/>
        </w:rPr>
        <w:t>Lippert and Schentuleit 2006</w:t>
      </w:r>
      <w:r>
        <w:rPr/>
        <w:fldChar w:fldCharType="end" w:fldLock="0"/>
      </w:r>
      <w:r>
        <w:rPr>
          <w:rFonts w:ascii="Times New Roman" w:hAnsi="Times New Roman"/>
          <w:rtl w:val="0"/>
          <w:lang w:val="de-DE"/>
        </w:rPr>
        <w:t>: 12f.</w:t>
      </w:r>
    </w:p>
  </w:footnote>
  <w:footnote w:id="4">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Zum Vorkommen dieser Steuerp</w:t>
      </w:r>
      <w:r>
        <w:rPr>
          <w:rFonts w:ascii="Times New Roman" w:hAnsi="Times New Roman" w:hint="default"/>
          <w:rtl w:val="0"/>
          <w:lang w:val="de-DE"/>
        </w:rPr>
        <w:t>ä</w:t>
      </w:r>
      <w:r>
        <w:rPr>
          <w:rFonts w:ascii="Times New Roman" w:hAnsi="Times New Roman"/>
          <w:rtl w:val="0"/>
          <w:lang w:val="de-DE"/>
        </w:rPr>
        <w:t>chter in den dokumentarischen Texten aus Dime vgl. Moser 2023b. M</w:t>
      </w:r>
      <w:r>
        <w:rPr>
          <w:rFonts w:ascii="Times New Roman" w:hAnsi="Times New Roman" w:hint="default"/>
          <w:rtl w:val="0"/>
          <w:lang w:val="de-DE"/>
        </w:rPr>
        <w:t>ö</w:t>
      </w:r>
      <w:r>
        <w:rPr>
          <w:rFonts w:ascii="Times New Roman" w:hAnsi="Times New Roman"/>
          <w:rtl w:val="0"/>
          <w:lang w:val="de-DE"/>
        </w:rPr>
        <w:t xml:space="preserve">glicherweise handelt es sich bei dem Telones des Verkaufs um den </w:t>
      </w:r>
      <w:r>
        <w:rPr>
          <w:rFonts w:ascii="IFAO-Grec Unicode" w:cs="IFAO-Grec Unicode" w:hAnsi="IFAO-Grec Unicode" w:eastAsia="IFAO-Grec Unicode"/>
          <w:rtl w:val="0"/>
          <w:lang w:val="de-DE"/>
        </w:rPr>
        <w:t>τελώνης ὠνίων ὑποτελῶν</w:t>
      </w:r>
      <w:r>
        <w:rPr>
          <w:rFonts w:ascii="Times New Roman" w:hAnsi="Times New Roman"/>
          <w:rtl w:val="0"/>
          <w:lang w:val="de-DE"/>
        </w:rPr>
        <w:t>, der allerdings bisher nur f</w:t>
      </w:r>
      <w:r>
        <w:rPr>
          <w:rFonts w:ascii="Times New Roman" w:hAnsi="Times New Roman" w:hint="default"/>
          <w:rtl w:val="0"/>
          <w:lang w:val="de-DE"/>
        </w:rPr>
        <w:t>ü</w:t>
      </w:r>
      <w:r>
        <w:rPr>
          <w:rFonts w:ascii="Times New Roman" w:hAnsi="Times New Roman"/>
          <w:rtl w:val="0"/>
          <w:lang w:val="de-DE"/>
        </w:rPr>
        <w:t xml:space="preserve">r den thebanischen Raum belegt ist, vgl. </w:t>
      </w:r>
      <w:r>
        <w:rPr>
          <w:rStyle w:val="Hyperlink.1"/>
        </w:rPr>
        <w:fldChar w:fldCharType="begin" w:fldLock="0"/>
      </w:r>
      <w:r>
        <w:rPr>
          <w:rStyle w:val="Hyperlink.1"/>
        </w:rPr>
        <w:instrText xml:space="preserve"> HYPERLINK "https://papyri.info/biblio/3811"</w:instrText>
      </w:r>
      <w:r>
        <w:rPr>
          <w:rStyle w:val="Hyperlink.1"/>
        </w:rPr>
        <w:fldChar w:fldCharType="separate" w:fldLock="0"/>
      </w:r>
      <w:r>
        <w:rPr>
          <w:rStyle w:val="Hyperlink.1"/>
          <w:rtl w:val="0"/>
          <w:lang w:val="de-DE"/>
        </w:rPr>
        <w:t>Wallace 1938</w:t>
      </w:r>
      <w:r>
        <w:rPr/>
        <w:fldChar w:fldCharType="end" w:fldLock="0"/>
      </w:r>
      <w:r>
        <w:rPr>
          <w:rFonts w:ascii="Times New Roman" w:hAnsi="Times New Roman"/>
          <w:rtl w:val="0"/>
          <w:lang w:val="de-DE"/>
        </w:rPr>
        <w:t>: 303.</w:t>
      </w:r>
    </w:p>
  </w:footnote>
  <w:footnote w:id="5">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Vgl. Col. x+5r, 22f.; sofern es sich hierbei um den Soknopaiostempel selbst handeln sollte, w</w:t>
      </w:r>
      <w:r>
        <w:rPr>
          <w:rFonts w:ascii="Times New Roman" w:hAnsi="Times New Roman" w:hint="default"/>
          <w:rtl w:val="0"/>
          <w:lang w:val="de-DE"/>
        </w:rPr>
        <w:t>ä</w:t>
      </w:r>
      <w:r>
        <w:rPr>
          <w:rFonts w:ascii="Times New Roman" w:hAnsi="Times New Roman"/>
          <w:rtl w:val="0"/>
          <w:lang w:val="de-DE"/>
        </w:rPr>
        <w:t>re dies im Zusammenhang mit dem Datierungsvorschlag unten der bisher sp</w:t>
      </w:r>
      <w:r>
        <w:rPr>
          <w:rFonts w:ascii="Times New Roman" w:hAnsi="Times New Roman" w:hint="default"/>
          <w:rtl w:val="0"/>
          <w:lang w:val="de-DE"/>
        </w:rPr>
        <w:t>ä</w:t>
      </w:r>
      <w:r>
        <w:rPr>
          <w:rFonts w:ascii="Times New Roman" w:hAnsi="Times New Roman"/>
          <w:rtl w:val="0"/>
          <w:lang w:val="de-DE"/>
        </w:rPr>
        <w:t>teste Beleg f</w:t>
      </w:r>
      <w:r>
        <w:rPr>
          <w:rFonts w:ascii="Times New Roman" w:hAnsi="Times New Roman" w:hint="default"/>
          <w:rtl w:val="0"/>
          <w:lang w:val="de-DE"/>
        </w:rPr>
        <w:t>ü</w:t>
      </w:r>
      <w:r>
        <w:rPr>
          <w:rFonts w:ascii="Times New Roman" w:hAnsi="Times New Roman"/>
          <w:rtl w:val="0"/>
          <w:lang w:val="de-DE"/>
        </w:rPr>
        <w:t>r Bauma</w:t>
      </w:r>
      <w:r>
        <w:rPr>
          <w:rFonts w:ascii="Times New Roman" w:hAnsi="Times New Roman" w:hint="default"/>
          <w:rtl w:val="0"/>
          <w:lang w:val="de-DE"/>
        </w:rPr>
        <w:t>ß</w:t>
      </w:r>
      <w:r>
        <w:rPr>
          <w:rFonts w:ascii="Times New Roman" w:hAnsi="Times New Roman"/>
          <w:rtl w:val="0"/>
          <w:lang w:val="de-DE"/>
        </w:rPr>
        <w:t>nahmen am Tempel, welche die Besorgung von Stein involvieren.</w:t>
      </w:r>
    </w:p>
  </w:footnote>
  <w:footnote w:id="6">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Zu diesem Titel, der abseits dieses Papyrus kaum in r</w:t>
      </w:r>
      <w:r>
        <w:rPr>
          <w:rFonts w:ascii="Times New Roman" w:hAnsi="Times New Roman" w:hint="default"/>
          <w:rtl w:val="0"/>
          <w:lang w:val="de-DE"/>
        </w:rPr>
        <w:t>ö</w:t>
      </w:r>
      <w:r>
        <w:rPr>
          <w:rFonts w:ascii="Times New Roman" w:hAnsi="Times New Roman"/>
          <w:rtl w:val="0"/>
          <w:lang w:val="de-DE"/>
        </w:rPr>
        <w:t>mischer Zeit belegt ist, vgl. Moser 2023a.</w:t>
      </w:r>
    </w:p>
  </w:footnote>
  <w:footnote w:id="7">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Vermutlich geh</w:t>
      </w:r>
      <w:r>
        <w:rPr>
          <w:rFonts w:ascii="Times New Roman" w:hAnsi="Times New Roman" w:hint="default"/>
          <w:rtl w:val="0"/>
          <w:lang w:val="de-DE"/>
        </w:rPr>
        <w:t>ö</w:t>
      </w:r>
      <w:r>
        <w:rPr>
          <w:rFonts w:ascii="Times New Roman" w:hAnsi="Times New Roman"/>
          <w:rtl w:val="0"/>
          <w:lang w:val="de-DE"/>
        </w:rPr>
        <w:t xml:space="preserve">rte der Papyrus zu einer sehr langen Abrechnungsrolle </w:t>
      </w:r>
      <w:r>
        <w:rPr>
          <w:rFonts w:ascii="Times New Roman" w:hAnsi="Times New Roman" w:hint="default"/>
          <w:rtl w:val="0"/>
          <w:lang w:val="de-DE"/>
        </w:rPr>
        <w:t>ü</w:t>
      </w:r>
      <w:r>
        <w:rPr>
          <w:rFonts w:ascii="Times New Roman" w:hAnsi="Times New Roman"/>
          <w:rtl w:val="0"/>
          <w:lang w:val="de-DE"/>
        </w:rPr>
        <w:t xml:space="preserve">ber ein ganzes Jahr, wie dies etwa auch bei </w:t>
      </w:r>
      <w:r>
        <w:rPr>
          <w:rStyle w:val="Hyperlink.1"/>
        </w:rPr>
        <w:fldChar w:fldCharType="begin" w:fldLock="0"/>
      </w:r>
      <w:r>
        <w:rPr>
          <w:rStyle w:val="Hyperlink.1"/>
        </w:rPr>
        <w:instrText xml:space="preserve"> HYPERLINK "http://data.onb.ac.at/rec/RZ00021471"</w:instrText>
      </w:r>
      <w:r>
        <w:rPr>
          <w:rStyle w:val="Hyperlink.1"/>
        </w:rPr>
        <w:fldChar w:fldCharType="separate" w:fldLock="0"/>
      </w:r>
      <w:r>
        <w:rPr>
          <w:rStyle w:val="Hyperlink.1"/>
          <w:rtl w:val="0"/>
          <w:lang w:val="de-DE"/>
        </w:rPr>
        <w:t>P.Vindob. D 6770</w:t>
      </w:r>
      <w:r>
        <w:rPr/>
        <w:fldChar w:fldCharType="end" w:fldLock="0"/>
      </w:r>
      <w:r>
        <w:rPr>
          <w:rFonts w:ascii="Times New Roman" w:hAnsi="Times New Roman"/>
          <w:rtl w:val="0"/>
          <w:lang w:val="de-DE"/>
        </w:rPr>
        <w:t xml:space="preserve"> + </w:t>
      </w:r>
      <w:r>
        <w:rPr>
          <w:rStyle w:val="Hyperlink.1"/>
        </w:rPr>
        <w:fldChar w:fldCharType="begin" w:fldLock="0"/>
      </w:r>
      <w:r>
        <w:rPr>
          <w:rStyle w:val="Hyperlink.1"/>
        </w:rPr>
        <w:instrText xml:space="preserve"> HYPERLINK "http://data.onb.ac.at/rec/RZ00021459"</w:instrText>
      </w:r>
      <w:r>
        <w:rPr>
          <w:rStyle w:val="Hyperlink.1"/>
        </w:rPr>
        <w:fldChar w:fldCharType="separate" w:fldLock="0"/>
      </w:r>
      <w:r>
        <w:rPr>
          <w:rStyle w:val="Hyperlink.1"/>
          <w:rtl w:val="0"/>
          <w:lang w:val="de-DE"/>
        </w:rPr>
        <w:t>6771</w:t>
      </w:r>
      <w:r>
        <w:rPr/>
        <w:fldChar w:fldCharType="end" w:fldLock="0"/>
      </w:r>
      <w:r>
        <w:rPr>
          <w:rFonts w:ascii="Times New Roman" w:hAnsi="Times New Roman"/>
          <w:rtl w:val="0"/>
          <w:lang w:val="de-DE"/>
        </w:rPr>
        <w:t xml:space="preserve"> + </w:t>
      </w:r>
      <w:r>
        <w:rPr>
          <w:rStyle w:val="Hyperlink.1"/>
        </w:rPr>
        <w:fldChar w:fldCharType="begin" w:fldLock="0"/>
      </w:r>
      <w:r>
        <w:rPr>
          <w:rStyle w:val="Hyperlink.1"/>
        </w:rPr>
        <w:instrText xml:space="preserve"> HYPERLINK "http://data.onb.ac.at/rec/RZ00021472"</w:instrText>
      </w:r>
      <w:r>
        <w:rPr>
          <w:rStyle w:val="Hyperlink.1"/>
        </w:rPr>
        <w:fldChar w:fldCharType="separate" w:fldLock="0"/>
      </w:r>
      <w:r>
        <w:rPr>
          <w:rStyle w:val="Hyperlink.1"/>
          <w:rtl w:val="0"/>
          <w:lang w:val="de-DE"/>
        </w:rPr>
        <w:t>6772</w:t>
      </w:r>
      <w:r>
        <w:rPr/>
        <w:fldChar w:fldCharType="end" w:fldLock="0"/>
      </w:r>
      <w:r>
        <w:rPr>
          <w:rFonts w:ascii="Times New Roman" w:hAnsi="Times New Roman"/>
          <w:rtl w:val="0"/>
          <w:lang w:val="de-DE"/>
        </w:rPr>
        <w:t xml:space="preserve"> r der Fall ist. Die Publikation dieser Rolle ist als P.DimeData 14 f</w:t>
      </w:r>
      <w:r>
        <w:rPr>
          <w:rFonts w:ascii="Times New Roman" w:hAnsi="Times New Roman" w:hint="default"/>
          <w:rtl w:val="0"/>
          <w:lang w:val="de-DE"/>
        </w:rPr>
        <w:t>ü</w:t>
      </w:r>
      <w:r>
        <w:rPr>
          <w:rFonts w:ascii="Times New Roman" w:hAnsi="Times New Roman"/>
          <w:rtl w:val="0"/>
          <w:lang w:val="de-DE"/>
        </w:rPr>
        <w:t>r die Datenbank geplant.</w:t>
      </w:r>
    </w:p>
  </w:footnote>
  <w:footnote w:id="8">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 xml:space="preserve">Vgl. </w:t>
      </w:r>
      <w:r>
        <w:rPr>
          <w:rStyle w:val="Hyperlink.1"/>
        </w:rPr>
        <w:fldChar w:fldCharType="begin" w:fldLock="0"/>
      </w:r>
      <w:r>
        <w:rPr>
          <w:rStyle w:val="Hyperlink.1"/>
        </w:rPr>
        <w:instrText xml:space="preserve"> HYPERLINK "https://papyri.info/biblio/79288"</w:instrText>
      </w:r>
      <w:r>
        <w:rPr>
          <w:rStyle w:val="Hyperlink.1"/>
        </w:rPr>
        <w:fldChar w:fldCharType="separate" w:fldLock="0"/>
      </w:r>
      <w:r>
        <w:rPr>
          <w:rStyle w:val="Hyperlink.1"/>
          <w:rtl w:val="0"/>
          <w:lang w:val="de-DE"/>
        </w:rPr>
        <w:t>Lippert, Schentuleit and Reiter 2010</w:t>
      </w:r>
      <w:r>
        <w:rPr/>
        <w:fldChar w:fldCharType="end" w:fldLock="0"/>
      </w:r>
      <w:r>
        <w:rPr>
          <w:rFonts w:ascii="Times New Roman" w:hAnsi="Times New Roman"/>
          <w:rtl w:val="0"/>
          <w:lang w:val="de-DE"/>
        </w:rPr>
        <w:t>: 4f.; 79f. Ein Beispiel f</w:t>
      </w:r>
      <w:r>
        <w:rPr>
          <w:rFonts w:ascii="Times New Roman" w:hAnsi="Times New Roman" w:hint="default"/>
          <w:rtl w:val="0"/>
          <w:lang w:val="de-DE"/>
        </w:rPr>
        <w:t>ü</w:t>
      </w:r>
      <w:r>
        <w:rPr>
          <w:rFonts w:ascii="Times New Roman" w:hAnsi="Times New Roman"/>
          <w:rtl w:val="0"/>
          <w:lang w:val="de-DE"/>
        </w:rPr>
        <w:t>r den stetigen Wechsel solcher H</w:t>
      </w:r>
      <w:r>
        <w:rPr>
          <w:rFonts w:ascii="Times New Roman" w:hAnsi="Times New Roman" w:hint="default"/>
          <w:rtl w:val="0"/>
          <w:lang w:val="de-DE"/>
        </w:rPr>
        <w:t>ä</w:t>
      </w:r>
      <w:r>
        <w:rPr>
          <w:rFonts w:ascii="Times New Roman" w:hAnsi="Times New Roman"/>
          <w:rtl w:val="0"/>
          <w:lang w:val="de-DE"/>
        </w:rPr>
        <w:t xml:space="preserve">nde stellt etwa die Urkunde </w:t>
      </w:r>
      <w:r>
        <w:rPr>
          <w:rStyle w:val="Hyperlink.1"/>
        </w:rPr>
        <w:fldChar w:fldCharType="begin" w:fldLock="0"/>
      </w:r>
      <w:r>
        <w:rPr>
          <w:rStyle w:val="Hyperlink.1"/>
        </w:rPr>
        <w:instrText xml:space="preserve"> HYPERLINK "https://papyri.info/biblio/79288"</w:instrText>
      </w:r>
      <w:r>
        <w:rPr>
          <w:rStyle w:val="Hyperlink.1"/>
        </w:rPr>
        <w:fldChar w:fldCharType="separate" w:fldLock="0"/>
      </w:r>
      <w:r>
        <w:rPr>
          <w:rStyle w:val="Hyperlink.1"/>
          <w:rtl w:val="0"/>
          <w:lang w:val="de-DE"/>
        </w:rPr>
        <w:t>P.Dime 3 19</w:t>
      </w:r>
      <w:r>
        <w:rPr/>
        <w:fldChar w:fldCharType="end" w:fldLock="0"/>
      </w:r>
      <w:r>
        <w:rPr>
          <w:rFonts w:ascii="Times New Roman" w:hAnsi="Times New Roman"/>
          <w:rtl w:val="0"/>
          <w:lang w:val="de-DE"/>
        </w:rPr>
        <w:t xml:space="preserve"> (= </w:t>
      </w:r>
      <w:r>
        <w:rPr>
          <w:rStyle w:val="Hyperlink.1"/>
        </w:rPr>
        <w:fldChar w:fldCharType="begin" w:fldLock="0"/>
      </w:r>
      <w:r>
        <w:rPr>
          <w:rStyle w:val="Hyperlink.1"/>
        </w:rPr>
        <w:instrText xml:space="preserve"> HYPERLINK "https://papyri.info/biblio/95018"</w:instrText>
      </w:r>
      <w:r>
        <w:rPr>
          <w:rStyle w:val="Hyperlink.1"/>
        </w:rPr>
        <w:fldChar w:fldCharType="separate" w:fldLock="0"/>
      </w:r>
      <w:r>
        <w:rPr>
          <w:rStyle w:val="Hyperlink.1"/>
          <w:rtl w:val="0"/>
          <w:lang w:val="de-DE"/>
        </w:rPr>
        <w:t>P.Ryl.Dem. 1 45</w:t>
      </w:r>
      <w:r>
        <w:rPr/>
        <w:fldChar w:fldCharType="end" w:fldLock="0"/>
      </w:r>
      <w:r>
        <w:rPr>
          <w:rFonts w:ascii="Times New Roman" w:hAnsi="Times New Roman"/>
          <w:rtl w:val="0"/>
          <w:lang w:val="de-DE"/>
        </w:rPr>
        <w:t>) dar, bei der der Anfang sowie die Datierung der griechischen Darlehensurkunde und die Datierung der griechischen Hypographe in der kursiven Hand des Grapheionbeamten verfasst wurden, w</w:t>
      </w:r>
      <w:r>
        <w:rPr>
          <w:rFonts w:ascii="Times New Roman" w:hAnsi="Times New Roman" w:hint="default"/>
          <w:rtl w:val="0"/>
          <w:lang w:val="de-DE"/>
        </w:rPr>
        <w:t>ä</w:t>
      </w:r>
      <w:r>
        <w:rPr>
          <w:rFonts w:ascii="Times New Roman" w:hAnsi="Times New Roman"/>
          <w:rtl w:val="0"/>
          <w:lang w:val="de-DE"/>
        </w:rPr>
        <w:t xml:space="preserve">hrend ein Teil der Darlehensurkunde sowie der Hauptteil der Hypographe von der Hand des Schreibgehilfen </w:t>
      </w:r>
      <w:r>
        <w:rPr>
          <w:rFonts w:ascii="Times New Roman" w:hAnsi="Times New Roman" w:hint="default"/>
          <w:rtl w:val="0"/>
          <w:lang w:val="de-DE"/>
        </w:rPr>
        <w:t>ü</w:t>
      </w:r>
      <w:r>
        <w:rPr>
          <w:rFonts w:ascii="Times New Roman" w:hAnsi="Times New Roman"/>
          <w:rtl w:val="0"/>
          <w:lang w:val="de-DE"/>
        </w:rPr>
        <w:t xml:space="preserve">bernommen wurden, die dem Duktus der vorliegenden Abrechnung </w:t>
      </w:r>
      <w:r>
        <w:rPr>
          <w:rFonts w:ascii="Times New Roman" w:hAnsi="Times New Roman" w:hint="default"/>
          <w:rtl w:val="0"/>
          <w:lang w:val="de-DE"/>
        </w:rPr>
        <w:t>ä</w:t>
      </w:r>
      <w:r>
        <w:rPr>
          <w:rFonts w:ascii="Times New Roman" w:hAnsi="Times New Roman"/>
          <w:rtl w:val="0"/>
          <w:lang w:val="de-DE"/>
        </w:rPr>
        <w:t>hneln.</w:t>
      </w:r>
    </w:p>
  </w:footnote>
  <w:footnote w:id="9">
    <w:p>
      <w:pPr>
        <w:pStyle w:val="footnote text"/>
        <w:ind w:left="142" w:hanging="142"/>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 xml:space="preserve">Vgl. die </w:t>
      </w:r>
      <w:r>
        <w:rPr>
          <w:rFonts w:ascii="Times New Roman" w:hAnsi="Times New Roman" w:hint="default"/>
          <w:rtl w:val="0"/>
          <w:lang w:val="de-DE"/>
        </w:rPr>
        <w:t>Ü</w:t>
      </w:r>
      <w:r>
        <w:rPr>
          <w:rFonts w:ascii="Times New Roman" w:hAnsi="Times New Roman"/>
          <w:rtl w:val="0"/>
          <w:lang w:val="de-DE"/>
        </w:rPr>
        <w:t xml:space="preserve">bersicht in </w:t>
      </w:r>
      <w:r>
        <w:rPr>
          <w:rStyle w:val="Hyperlink.1"/>
        </w:rPr>
        <w:fldChar w:fldCharType="begin" w:fldLock="0"/>
      </w:r>
      <w:r>
        <w:rPr>
          <w:rStyle w:val="Hyperlink.1"/>
        </w:rPr>
        <w:instrText xml:space="preserve"> HYPERLINK "https://papyri.info/biblio/79288"</w:instrText>
      </w:r>
      <w:r>
        <w:rPr>
          <w:rStyle w:val="Hyperlink.1"/>
        </w:rPr>
        <w:fldChar w:fldCharType="separate" w:fldLock="0"/>
      </w:r>
      <w:r>
        <w:rPr>
          <w:rStyle w:val="Hyperlink.1"/>
          <w:rtl w:val="0"/>
          <w:lang w:val="de-DE"/>
        </w:rPr>
        <w:t>Lippert, Schentuleit and Reiter 2010</w:t>
      </w:r>
      <w:r>
        <w:rPr/>
        <w:fldChar w:fldCharType="end" w:fldLock="0"/>
      </w:r>
      <w:r>
        <w:rPr>
          <w:rFonts w:ascii="Times New Roman" w:hAnsi="Times New Roman"/>
          <w:rtl w:val="0"/>
          <w:lang w:val="de-DE"/>
        </w:rPr>
        <w:t>: 515.</w:t>
      </w:r>
    </w:p>
  </w:footnote>
  <w:footnote w:id="10">
    <w:p>
      <w:pPr>
        <w:pStyle w:val="footnote text"/>
        <w:ind w:left="142" w:hanging="142"/>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it-IT"/>
        </w:rPr>
        <w:t xml:space="preserve">Vgl.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"http://papyri.info/ddbdp/bgu%3B1%3B277"</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BGU 1 277</w:t>
      </w:r>
      <w:r>
        <w:rPr>
          <w:lang w:val="it-IT"/>
        </w:rPr>
        <w:fldChar w:fldCharType="end" w:fldLock="0"/>
      </w:r>
      <w:r>
        <w:rPr>
          <w:rFonts w:ascii="Times New Roman" w:hAnsi="Times New Roman"/>
          <w:rtl w:val="0"/>
          <w:lang w:val="it-IT"/>
        </w:rPr>
        <w:t xml:space="preserve">, Col. 1, 1-9;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"https://papyri.info/biblio/77554"</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Ast</w:t>
      </w:r>
      <w:r>
        <w:rPr>
          <w:rStyle w:val="Link"/>
          <w:rFonts w:ascii="Times New Roman" w:hAnsi="Times New Roman"/>
          <w:i w:val="1"/>
          <w:iCs w:val="1"/>
          <w:rtl w:val="0"/>
          <w:lang w:val="it-IT"/>
        </w:rPr>
        <w:t xml:space="preserve"> et al.</w:t>
      </w:r>
      <w:r>
        <w:rPr>
          <w:rStyle w:val="Hyperlink.4"/>
          <w:rFonts w:ascii="Times New Roman" w:hAnsi="Times New Roman"/>
          <w:rtl w:val="0"/>
          <w:lang w:val="it-IT"/>
        </w:rPr>
        <w:t xml:space="preserve"> 2009</w:t>
      </w:r>
      <w:r>
        <w:rPr>
          <w:lang w:val="it-IT"/>
        </w:rPr>
        <w:fldChar w:fldCharType="end" w:fldLock="0"/>
      </w:r>
      <w:r>
        <w:rPr>
          <w:rFonts w:ascii="Times New Roman" w:hAnsi="Times New Roman"/>
          <w:rtl w:val="0"/>
          <w:lang w:val="it-IT"/>
        </w:rPr>
        <w:t>: 223f.</w:t>
      </w:r>
    </w:p>
  </w:footnote>
  <w:footnote w:id="11">
    <w:p>
      <w:pPr>
        <w:pStyle w:val="footnote text"/>
        <w:ind w:left="142" w:hanging="142"/>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it-IT"/>
        </w:rPr>
        <w:t xml:space="preserve">Vgl.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"http://papyri.info/ddbdp/bgu%3B13%3B2242"</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BGU 13 2242</w:t>
      </w:r>
      <w:r>
        <w:rPr>
          <w:lang w:val="it-IT"/>
        </w:rPr>
        <w:fldChar w:fldCharType="end" w:fldLock="0"/>
      </w:r>
      <w:r>
        <w:rPr>
          <w:rFonts w:ascii="Times New Roman" w:hAnsi="Times New Roman"/>
          <w:rtl w:val="0"/>
          <w:lang w:val="it-IT"/>
        </w:rPr>
        <w:t>, 11f.</w:t>
      </w:r>
    </w:p>
  </w:footnote>
  <w:footnote w:id="12">
    <w:p>
      <w:pPr>
        <w:pStyle w:val="footnote text"/>
        <w:ind w:left="142" w:hanging="142"/>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it-IT"/>
        </w:rPr>
        <w:t xml:space="preserve">Vgl.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"http://papyri.info/ddbdp/bgu%3B3%3B790"</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BGU 3 790</w:t>
      </w:r>
      <w:r>
        <w:rPr>
          <w:lang w:val="it-IT"/>
        </w:rPr>
        <w:fldChar w:fldCharType="end" w:fldLock="0"/>
      </w:r>
      <w:r>
        <w:rPr>
          <w:rFonts w:ascii="Times New Roman" w:hAnsi="Times New Roman"/>
          <w:rtl w:val="0"/>
          <w:lang w:val="it-IT"/>
        </w:rPr>
        <w:t xml:space="preserve">, 1-8 (198-199 n.Chr.);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"http://papyri.info/ddbdp/p.lond%3B3%3B901"</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P.Lond. 3 901</w:t>
      </w:r>
      <w:r>
        <w:rPr>
          <w:lang w:val="it-IT"/>
        </w:rPr>
        <w:fldChar w:fldCharType="end" w:fldLock="0"/>
      </w:r>
      <w:r>
        <w:rPr>
          <w:rFonts w:ascii="Times New Roman" w:hAnsi="Times New Roman"/>
          <w:rtl w:val="0"/>
          <w:lang w:val="it-IT"/>
        </w:rPr>
        <w:t>, 5 (75-125 n.Chr.).</w:t>
      </w:r>
    </w:p>
  </w:footnote>
  <w:footnote w:id="13">
    <w:p>
      <w:pPr>
        <w:pStyle w:val="footnote text"/>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F</w:t>
      </w:r>
      <w:r>
        <w:rPr>
          <w:rStyle w:val="None"/>
          <w:rFonts w:ascii="Times New Roman" w:hAnsi="Times New Roman" w:hint="default"/>
          <w:rtl w:val="0"/>
          <w:lang w:val="de-DE"/>
        </w:rPr>
        <w:t>ü</w:t>
      </w:r>
      <w:r>
        <w:rPr>
          <w:rStyle w:val="None"/>
          <w:rFonts w:ascii="Times New Roman" w:hAnsi="Times New Roman"/>
          <w:rtl w:val="0"/>
          <w:lang w:val="de-DE"/>
        </w:rPr>
        <w:t>r den freundlichen Hinweis auf beide Belegstellen und den Einblick in deren vorl</w:t>
      </w:r>
      <w:r>
        <w:rPr>
          <w:rStyle w:val="None"/>
          <w:rFonts w:ascii="Times New Roman" w:hAnsi="Times New Roman" w:hint="default"/>
          <w:rtl w:val="0"/>
          <w:lang w:val="de-DE"/>
        </w:rPr>
        <w:t>ä</w:t>
      </w:r>
      <w:r>
        <w:rPr>
          <w:rStyle w:val="None"/>
          <w:rFonts w:ascii="Times New Roman" w:hAnsi="Times New Roman"/>
          <w:rtl w:val="0"/>
          <w:lang w:val="de-DE"/>
        </w:rPr>
        <w:t>ufige Edition bin ich W.</w:t>
      </w:r>
      <w:r>
        <w:rPr>
          <w:rStyle w:val="None"/>
          <w:rFonts w:ascii="Times New Roman" w:hAnsi="Times New Roman" w:hint="default"/>
          <w:rtl w:val="0"/>
          <w:lang w:val="de-DE"/>
        </w:rPr>
        <w:t> </w:t>
      </w:r>
      <w:r>
        <w:rPr>
          <w:rStyle w:val="None"/>
          <w:rFonts w:ascii="Times New Roman" w:hAnsi="Times New Roman"/>
          <w:rtl w:val="0"/>
          <w:lang w:val="de-DE"/>
        </w:rPr>
        <w:t>Graham Claytor zu Dank verpflichtet.</w:t>
      </w:r>
    </w:p>
  </w:footnote>
  <w:footnote w:id="14">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Vgl. im Detail zu Herakleias wichtiger Verbindung mit Soknopaiu Nesos hinsichtlich der Landbesitzungen und des geteilten Grapheions R</w:t>
      </w:r>
      <w:r>
        <w:rPr>
          <w:rStyle w:val="None"/>
          <w:rFonts w:ascii="Times New Roman" w:hAnsi="Times New Roman" w:hint="default"/>
          <w:rtl w:val="0"/>
          <w:lang w:val="de-DE"/>
        </w:rPr>
        <w:t>ö</w:t>
      </w:r>
      <w:r>
        <w:rPr>
          <w:rStyle w:val="None"/>
          <w:rFonts w:ascii="Times New Roman" w:hAnsi="Times New Roman"/>
          <w:rtl w:val="0"/>
          <w:lang w:val="de-DE"/>
        </w:rPr>
        <w:t>mer 2019: 315</w:t>
      </w:r>
      <w:r>
        <w:rPr>
          <w:rStyle w:val="None"/>
          <w:rFonts w:ascii="Times New Roman" w:hAnsi="Times New Roman" w:hint="default"/>
          <w:rtl w:val="0"/>
          <w:lang w:val="de-DE"/>
        </w:rPr>
        <w:t>–</w:t>
      </w:r>
      <w:r>
        <w:rPr>
          <w:rStyle w:val="None"/>
          <w:rFonts w:ascii="Times New Roman" w:hAnsi="Times New Roman"/>
          <w:rtl w:val="0"/>
          <w:lang w:val="de-DE"/>
        </w:rPr>
        <w:t>317.</w:t>
      </w:r>
    </w:p>
  </w:footnote>
  <w:footnote w:id="15">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 xml:space="preserve">Vgl. </w:t>
      </w:r>
      <w:r>
        <w:rPr>
          <w:rStyle w:val="Hyperlink.1"/>
        </w:rPr>
        <w:fldChar w:fldCharType="begin" w:fldLock="0"/>
      </w:r>
      <w:r>
        <w:rPr>
          <w:rStyle w:val="Hyperlink.1"/>
        </w:rPr>
        <w:instrText xml:space="preserve"> HYPERLINK "http://papyri.info/ddbdp/bgu%3B1%3B277"</w:instrText>
      </w:r>
      <w:r>
        <w:rPr>
          <w:rStyle w:val="Hyperlink.1"/>
        </w:rPr>
        <w:fldChar w:fldCharType="separate" w:fldLock="0"/>
      </w:r>
      <w:r>
        <w:rPr>
          <w:rStyle w:val="Hyperlink.1"/>
          <w:rtl w:val="0"/>
          <w:lang w:val="de-DE"/>
        </w:rPr>
        <w:t>BGU 1 277</w:t>
      </w:r>
      <w:r>
        <w:rPr/>
        <w:fldChar w:fldCharType="end" w:fldLock="0"/>
      </w:r>
      <w:r>
        <w:rPr>
          <w:rStyle w:val="None"/>
          <w:rFonts w:ascii="Times New Roman" w:hAnsi="Times New Roman"/>
          <w:rtl w:val="0"/>
          <w:lang w:val="de-DE"/>
        </w:rPr>
        <w:t xml:space="preserve">, Col. 1, 28 (als Haupt- und Vatersname aus Amyntaiou Epoikion); 2, 13.17 (jeweils aus Soknopaiu Nesos); </w:t>
      </w:r>
      <w:r>
        <w:rPr>
          <w:rStyle w:val="Hyperlink.1"/>
        </w:rPr>
        <w:fldChar w:fldCharType="begin" w:fldLock="0"/>
      </w:r>
      <w:r>
        <w:rPr>
          <w:rStyle w:val="Hyperlink.1"/>
        </w:rPr>
        <w:instrText xml:space="preserve"> HYPERLINK "http://papyri.info/ddbdp/bgu%3B3%3B790"</w:instrText>
      </w:r>
      <w:r>
        <w:rPr>
          <w:rStyle w:val="Hyperlink.1"/>
        </w:rPr>
        <w:fldChar w:fldCharType="separate" w:fldLock="0"/>
      </w:r>
      <w:r>
        <w:rPr>
          <w:rStyle w:val="Hyperlink.1"/>
          <w:rtl w:val="0"/>
          <w:lang w:val="de-DE"/>
        </w:rPr>
        <w:t>BGU 3 790</w:t>
      </w:r>
      <w:r>
        <w:rPr/>
        <w:fldChar w:fldCharType="end" w:fldLock="0"/>
      </w:r>
      <w:r>
        <w:rPr>
          <w:rStyle w:val="None"/>
          <w:rFonts w:ascii="Times New Roman" w:hAnsi="Times New Roman"/>
          <w:rtl w:val="0"/>
          <w:lang w:val="de-DE"/>
        </w:rPr>
        <w:t xml:space="preserve">, 1 (unsicher); </w:t>
      </w:r>
      <w:r>
        <w:rPr>
          <w:rStyle w:val="Hyperlink.1"/>
        </w:rPr>
        <w:fldChar w:fldCharType="begin" w:fldLock="0"/>
      </w:r>
      <w:r>
        <w:rPr>
          <w:rStyle w:val="Hyperlink.1"/>
        </w:rPr>
        <w:instrText xml:space="preserve"> HYPERLINK "http://papyri.info/ddbdp/p.lond%3B3%3B901"</w:instrText>
      </w:r>
      <w:r>
        <w:rPr>
          <w:rStyle w:val="Hyperlink.1"/>
        </w:rPr>
        <w:fldChar w:fldCharType="separate" w:fldLock="0"/>
      </w:r>
      <w:r>
        <w:rPr>
          <w:rStyle w:val="Hyperlink.1"/>
          <w:rtl w:val="0"/>
          <w:lang w:val="de-DE"/>
        </w:rPr>
        <w:t>P.Lond. 3 901</w:t>
      </w:r>
      <w:r>
        <w:rPr/>
        <w:fldChar w:fldCharType="end" w:fldLock="0"/>
      </w:r>
      <w:r>
        <w:rPr>
          <w:rStyle w:val="None"/>
          <w:rFonts w:ascii="Times New Roman" w:hAnsi="Times New Roman"/>
          <w:rtl w:val="0"/>
          <w:lang w:val="de-DE"/>
        </w:rPr>
        <w:t>, 13f.</w:t>
      </w:r>
    </w:p>
  </w:footnote>
  <w:footnote w:id="16">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 xml:space="preserve">Vgl. dazu </w:t>
      </w:r>
      <w:r>
        <w:rPr>
          <w:rStyle w:val="Hyperlink.1"/>
        </w:rPr>
        <w:fldChar w:fldCharType="begin" w:fldLock="0"/>
      </w:r>
      <w:r>
        <w:rPr>
          <w:rStyle w:val="Hyperlink.1"/>
        </w:rPr>
        <w:instrText xml:space="preserve"> HYPERLINK "https://papyri.info/biblio/87310"</w:instrText>
      </w:r>
      <w:r>
        <w:rPr>
          <w:rStyle w:val="Hyperlink.1"/>
        </w:rPr>
        <w:fldChar w:fldCharType="separate" w:fldLock="0"/>
      </w:r>
      <w:r>
        <w:rPr>
          <w:rStyle w:val="Hyperlink.1"/>
          <w:rtl w:val="0"/>
          <w:lang w:val="de-DE"/>
        </w:rPr>
        <w:t>Monson 2013</w:t>
      </w:r>
      <w:r>
        <w:rPr/>
        <w:fldChar w:fldCharType="end" w:fldLock="0"/>
      </w:r>
      <w:r>
        <w:rPr>
          <w:rStyle w:val="None"/>
          <w:rFonts w:ascii="Times New Roman" w:hAnsi="Times New Roman"/>
          <w:rtl w:val="0"/>
          <w:lang w:val="de-DE"/>
        </w:rPr>
        <w:t>: 128</w:t>
      </w:r>
      <w:r>
        <w:rPr>
          <w:rStyle w:val="None"/>
          <w:rFonts w:ascii="Times New Roman" w:hAnsi="Times New Roman" w:hint="default"/>
          <w:rtl w:val="0"/>
          <w:lang w:val="de-DE"/>
        </w:rPr>
        <w:t>–</w:t>
      </w:r>
      <w:r>
        <w:rPr>
          <w:rStyle w:val="None"/>
          <w:rFonts w:ascii="Times New Roman" w:hAnsi="Times New Roman"/>
          <w:rtl w:val="0"/>
          <w:lang w:val="de-DE"/>
        </w:rPr>
        <w:t>130.</w:t>
      </w:r>
    </w:p>
  </w:footnote>
  <w:footnote w:id="17">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Vgl. R</w:t>
      </w:r>
      <w:r>
        <w:rPr>
          <w:rStyle w:val="None"/>
          <w:rFonts w:ascii="Times New Roman" w:hAnsi="Times New Roman" w:hint="default"/>
          <w:rtl w:val="0"/>
          <w:lang w:val="de-DE"/>
        </w:rPr>
        <w:t>ö</w:t>
      </w:r>
      <w:r>
        <w:rPr>
          <w:rStyle w:val="None"/>
          <w:rFonts w:ascii="Times New Roman" w:hAnsi="Times New Roman"/>
          <w:rtl w:val="0"/>
          <w:lang w:val="de-DE"/>
        </w:rPr>
        <w:t>mer 2019: 327f.</w:t>
      </w:r>
    </w:p>
  </w:footnote>
  <w:footnote w:id="18">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en-US"/>
        </w:rPr>
        <w:t>Vgl. Col. 1v, 12.13; Col. 2v, 1.3.4.9.13.15.18.22.</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jc w:val="center"/>
    </w:pPr>
    <w:r>
      <w:rPr>
        <w:rFonts w:ascii="Times New Roman" w:hAnsi="Times New Roman"/>
        <w:sz w:val="18"/>
        <w:szCs w:val="18"/>
        <w:rtl w:val="0"/>
        <w:lang w:val="fr-FR"/>
      </w:rPr>
      <w:t xml:space="preserve">P.DimeData 34v </w:t>
    </w:r>
    <w:r>
      <w:rPr>
        <w:rFonts w:ascii="Times New Roman" w:hAnsi="Times New Roman" w:hint="default"/>
        <w:sz w:val="18"/>
        <w:szCs w:val="18"/>
        <w:rtl w:val="0"/>
        <w:lang w:val="fr-FR"/>
      </w:rPr>
      <w:t xml:space="preserve">– </w:t>
    </w:r>
    <w:r>
      <w:rPr>
        <w:rFonts w:ascii="Times New Roman" w:hAnsi="Times New Roman"/>
        <w:sz w:val="18"/>
        <w:szCs w:val="18"/>
        <w:rtl w:val="0"/>
        <w:lang w:val="fr-FR"/>
      </w:rPr>
      <w:t>Eine griechische Privatabrechnung aus Soknopaiu Nesos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i w:val="1"/>
      <w:iCs w:val="1"/>
      <w:sz w:val="22"/>
      <w:szCs w:val="22"/>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
    <w:name w:val="Hyperlink.1"/>
    <w:basedOn w:val="Link"/>
    <w:next w:val="Hyperlink.1"/>
    <w:rPr>
      <w:rFonts w:ascii="Times New Roman" w:cs="Times New Roman" w:hAnsi="Times New Roman" w:eastAsia="Times New Roman"/>
    </w:rPr>
  </w:style>
  <w:style w:type="character" w:styleId="Hyperlink.2">
    <w:name w:val="Hyperlink.2"/>
    <w:basedOn w:val="Link"/>
    <w:next w:val="Hyperlink.2"/>
    <w:rPr>
      <w:rFonts w:ascii="Times New Roman" w:cs="Times New Roman" w:hAnsi="Times New Roman" w:eastAsia="Times New Roman"/>
      <w:sz w:val="22"/>
      <w:szCs w:val="22"/>
      <w:lang w:val="de-D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de-DE"/>
      <w14:textOutline>
        <w14:noFill/>
      </w14:textOutline>
      <w14:textFill>
        <w14:solidFill>
          <w14:srgbClr w14:val="000000"/>
        </w14:solidFill>
      </w14:textFill>
    </w:rPr>
  </w:style>
  <w:style w:type="character" w:styleId="Hyperlink.3">
    <w:name w:val="Hyperlink.3"/>
    <w:basedOn w:val="Link"/>
    <w:next w:val="Hyperlink.3"/>
    <w:rPr>
      <w:rFonts w:ascii="IFAO-Grec Unicode" w:cs="IFAO-Grec Unicode" w:hAnsi="IFAO-Grec Unicode" w:eastAsia="IFAO-Grec Unicode"/>
      <w:sz w:val="22"/>
      <w:szCs w:val="22"/>
      <w:lang w:val="de-DE"/>
    </w:rPr>
  </w:style>
  <w:style w:type="character" w:styleId="Hyperlink.4">
    <w:name w:val="Hyperlink.4"/>
    <w:basedOn w:val="Link"/>
    <w:next w:val="Hyperlink.4"/>
    <w:rPr>
      <w:rFonts w:ascii="Times New Roman" w:cs="Times New Roman" w:hAnsi="Times New Roman" w:eastAsia="Times New Roman"/>
      <w:lang w:val="it-IT"/>
    </w:rPr>
  </w:style>
  <w:style w:type="character" w:styleId="None">
    <w:name w:val="None"/>
  </w:style>
  <w:style w:type="character" w:styleId="Hyperlink.5">
    <w:name w:val="Hyperlink.5"/>
    <w:basedOn w:val="None"/>
    <w:next w:val="Hyperlink.5"/>
    <w:rPr>
      <w:rFonts w:ascii="Times New Roman" w:cs="Times New Roman" w:hAnsi="Times New Roman" w:eastAsia="Times New Roman"/>
      <w:outline w:val="0"/>
      <w:color w:val="0000ff"/>
      <w:sz w:val="22"/>
      <w:szCs w:val="22"/>
      <w:u w:val="single" w:color="0000ff"/>
      <w:lang w:val="de-DE"/>
      <w14:textFill>
        <w14:solidFill>
          <w14:srgbClr w14:val="0000FF"/>
        </w14:solidFill>
      </w14:textFill>
    </w:rPr>
  </w:style>
  <w:style w:type="paragraph" w:styleId="Citavi Bibliography Entry">
    <w:name w:val="Citavi Bibliography Entry"/>
    <w:next w:val="Citavi Bibliography Entry"/>
    <w:pPr>
      <w:keepNext w:val="0"/>
      <w:keepLines w:val="0"/>
      <w:pageBreakBefore w:val="0"/>
      <w:widowControl w:val="1"/>
      <w:shd w:val="clear" w:color="auto" w:fill="auto"/>
      <w:tabs>
        <w:tab w:val="left" w:pos="283"/>
      </w:tabs>
      <w:suppressAutoHyphens w:val="0"/>
      <w:bidi w:val="0"/>
      <w:spacing w:before="0" w:after="0" w:line="240" w:lineRule="auto"/>
      <w:ind w:left="283" w:right="0" w:hanging="283"/>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