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91010E">
      <w:pPr>
        <w:pStyle w:val="TextA"/>
      </w:pPr>
      <w:r>
        <w:rPr>
          <w:b/>
          <w:bCs/>
        </w:rPr>
        <w:t>#articleTitle</w:t>
      </w:r>
    </w:p>
    <w:p w14:paraId="6B32FFCF" w14:textId="77777777" w:rsidR="00CF25C0" w:rsidRDefault="0091010E">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91010E">
      <w:pPr>
        <w:pStyle w:val="TextA"/>
      </w:pPr>
      <w:r>
        <w:rPr>
          <w:b/>
          <w:bCs/>
        </w:rPr>
        <w:t>#author(s)</w:t>
      </w:r>
    </w:p>
    <w:p w14:paraId="2B71F67C" w14:textId="77777777" w:rsidR="00CF25C0" w:rsidRDefault="0091010E">
      <w:pPr>
        <w:pStyle w:val="TextA"/>
      </w:pPr>
      <w:r>
        <w:t>Schubert, Paul</w:t>
      </w:r>
    </w:p>
    <w:p w14:paraId="4E09BEF3" w14:textId="77777777" w:rsidR="00CF25C0" w:rsidRDefault="0091010E">
      <w:pPr>
        <w:pStyle w:val="TextA"/>
        <w:rPr>
          <w:lang w:val="fr-FR"/>
        </w:rPr>
      </w:pPr>
      <w:r>
        <w:rPr>
          <w:b/>
          <w:bCs/>
          <w:lang w:val="fr-FR"/>
        </w:rPr>
        <w:t>#affiliation</w:t>
      </w:r>
    </w:p>
    <w:p w14:paraId="66EF4A30" w14:textId="77777777" w:rsidR="00CF25C0" w:rsidRDefault="0091010E">
      <w:pPr>
        <w:pStyle w:val="TextA"/>
      </w:pPr>
      <w:r>
        <w:t>University of Geneva</w:t>
      </w:r>
    </w:p>
    <w:p w14:paraId="04FE1272" w14:textId="77777777" w:rsidR="00CF25C0" w:rsidRDefault="0091010E">
      <w:pPr>
        <w:pStyle w:val="TextA"/>
      </w:pPr>
      <w:r>
        <w:rPr>
          <w:b/>
          <w:bCs/>
        </w:rPr>
        <w:t>#email</w:t>
      </w:r>
    </w:p>
    <w:p w14:paraId="22164E52" w14:textId="77777777" w:rsidR="00CF25C0" w:rsidRDefault="0091010E">
      <w:pPr>
        <w:pStyle w:val="TextA"/>
      </w:pPr>
      <w:r>
        <w:t>paul.schubert@unige.ch</w:t>
      </w:r>
    </w:p>
    <w:p w14:paraId="4CC76E63" w14:textId="77777777" w:rsidR="00CF25C0" w:rsidRDefault="00CF25C0">
      <w:pPr>
        <w:pStyle w:val="TextA"/>
      </w:pPr>
    </w:p>
    <w:p w14:paraId="19E2BA90" w14:textId="77777777" w:rsidR="00CF25C0" w:rsidRDefault="0091010E">
      <w:pPr>
        <w:pStyle w:val="TextA"/>
      </w:pPr>
      <w:r>
        <w:rPr>
          <w:b/>
          <w:bCs/>
        </w:rPr>
        <w:t>#acknowledgement</w:t>
      </w:r>
    </w:p>
    <w:p w14:paraId="2A1BDDB0" w14:textId="77777777" w:rsidR="00CF25C0" w:rsidRDefault="0091010E">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Fogarty and Elisa </w:t>
      </w:r>
      <w:proofErr w:type="spellStart"/>
      <w:r>
        <w:t>Nury</w:t>
      </w:r>
      <w:proofErr w:type="spellEnd"/>
      <w:r>
        <w:t>.</w:t>
      </w:r>
    </w:p>
    <w:p w14:paraId="0A146555" w14:textId="77777777" w:rsidR="00CF25C0" w:rsidRDefault="00CF25C0">
      <w:pPr>
        <w:pStyle w:val="TextA"/>
      </w:pPr>
    </w:p>
    <w:p w14:paraId="4B8030CA" w14:textId="77777777" w:rsidR="00CF25C0" w:rsidRDefault="0091010E">
      <w:pPr>
        <w:pStyle w:val="TextA"/>
      </w:pPr>
      <w:bookmarkStart w:id="0" w:name="_Hlk76453916"/>
      <w:r>
        <w:rPr>
          <w:rStyle w:val="Ohne"/>
          <w:b/>
          <w:bCs/>
        </w:rPr>
        <w:t>#articleHeader</w:t>
      </w:r>
      <w:bookmarkEnd w:id="0"/>
    </w:p>
    <w:p w14:paraId="0FDC9718" w14:textId="77777777" w:rsidR="00CF25C0" w:rsidRDefault="0091010E">
      <w:pPr>
        <w:pStyle w:val="TextA"/>
      </w:pPr>
      <w:r>
        <w:rPr>
          <w:rStyle w:val="Ohne"/>
          <w:i/>
          <w:iCs/>
        </w:rPr>
        <w:t>Introduction</w:t>
      </w:r>
    </w:p>
    <w:p w14:paraId="1C9D21CD" w14:textId="77777777" w:rsidR="00CF25C0" w:rsidRDefault="0091010E">
      <w:pPr>
        <w:pStyle w:val="TextA"/>
      </w:pPr>
      <w:r>
        <w:t>In a recent study devoted to “</w:t>
      </w:r>
      <w:proofErr w:type="spellStart"/>
      <w:r>
        <w:t>bandi</w:t>
      </w:r>
      <w:proofErr w:type="spellEnd"/>
      <w:r>
        <w:t xml:space="preserve"> </w:t>
      </w:r>
      <w:proofErr w:type="spellStart"/>
      <w:r>
        <w:t>li</w:t>
      </w:r>
      <w:r>
        <w:t>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w:t>
      </w:r>
      <w:r>
        <w:t>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w:t>
      </w:r>
      <w:r>
        <w:t>s well as to other stages in the same procedure.</w:t>
      </w:r>
    </w:p>
    <w:p w14:paraId="53268426" w14:textId="77777777" w:rsidR="00CF25C0" w:rsidRDefault="0091010E">
      <w:pPr>
        <w:pStyle w:val="TextA"/>
      </w:pPr>
      <w:r>
        <w:t>The general working of the liturgical system in the Roman empire was neatly summarized by Roger Bagnall: “The Romans preferred to keep their permanent, professional administration small and to draw governors</w:t>
      </w:r>
      <w:r>
        <w:t>, however amateurish, from the ranks of the upper orders. Over the first two centuries of the empire, they developed practices in local administration in line with this overall approach. City and village governance was rotated among the better-endowed resi</w:t>
      </w:r>
      <w:r>
        <w:t>dents, while manual labor was distributed over as wide a spectrum of the male population as possible. One result was to keep stated tax rates low. Another was that because public offices brought work and financial risk, but little or no reward, they were u</w:t>
      </w:r>
      <w:r>
        <w:t>nwelcome to most individuals.”</w:t>
      </w:r>
      <w:r>
        <w:rPr>
          <w:rStyle w:val="Ohne"/>
          <w:rFonts w:eastAsia="Times New Roman" w:cs="Times New Roman"/>
          <w:vertAlign w:val="superscript"/>
        </w:rPr>
        <w:footnoteReference w:id="3"/>
      </w:r>
    </w:p>
    <w:p w14:paraId="07A87502" w14:textId="77777777" w:rsidR="00CF25C0" w:rsidRDefault="0091010E">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t>
      </w:r>
      <w:r>
        <w:t xml:space="preserve">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w:t>
      </w:r>
      <w:r>
        <w:t>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w:t>
      </w:r>
      <w:r>
        <w:t xml:space="preserv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t>
      </w:r>
      <w:r>
        <w:t>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91010E">
      <w:pPr>
        <w:pStyle w:val="TextA"/>
      </w:pPr>
      <w:r>
        <w:rPr>
          <w:rStyle w:val="Ohne"/>
          <w:b/>
          <w:bCs/>
        </w:rPr>
        <w:t>#articleHeader</w:t>
      </w:r>
    </w:p>
    <w:p w14:paraId="3CDB2508" w14:textId="77777777" w:rsidR="00CF25C0" w:rsidRDefault="0091010E">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91010E">
      <w:pPr>
        <w:pStyle w:val="TextA"/>
      </w:pPr>
      <w:r>
        <w:t xml:space="preserve">The corpus </w:t>
      </w:r>
      <w:r>
        <w:t xml:space="preserve">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w:t>
      </w:r>
      <w:r>
        <w:t>papyri are either copies of approvals that were kept among official records, or abstracts made from those records for the use of individuals. Thus, the preserved documents were actually not posted publicly, with one possible exception: the unusual format o</w:t>
      </w:r>
      <w:r>
        <w:t xml:space="preserve">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w:t>
      </w:r>
      <w:r>
        <w:t>atter.</w:t>
      </w:r>
      <w:r>
        <w:rPr>
          <w:rStyle w:val="Ohne"/>
          <w:rFonts w:eastAsia="Times New Roman" w:cs="Times New Roman"/>
          <w:vertAlign w:val="superscript"/>
        </w:rPr>
        <w:footnoteReference w:id="11"/>
      </w:r>
    </w:p>
    <w:p w14:paraId="3084300C" w14:textId="22C33789" w:rsidR="00CF25C0" w:rsidRDefault="0091010E">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w:t>
      </w:r>
      <w:r>
        <w:t xml:space="preserve">s not seem to play a significant role in </w:t>
      </w:r>
      <w:proofErr w:type="spellStart"/>
      <w:r>
        <w:t>Stroppa’s</w:t>
      </w:r>
      <w:proofErr w:type="spellEnd"/>
      <w:r>
        <w:t xml:space="preserve"> overview.</w:t>
      </w:r>
      <w:r w:rsidR="00181B9C">
        <w:t xml:space="preserve"> </w:t>
      </w:r>
    </w:p>
    <w:p w14:paraId="5A33F96D" w14:textId="77777777" w:rsidR="00CF25C0" w:rsidRDefault="00CF25C0">
      <w:pPr>
        <w:pStyle w:val="TextA"/>
      </w:pPr>
    </w:p>
    <w:p w14:paraId="16F4A5DD" w14:textId="77777777" w:rsidR="00CF25C0" w:rsidRDefault="0091010E">
      <w:pPr>
        <w:pStyle w:val="TextA"/>
        <w:keepNext/>
      </w:pPr>
      <w:r>
        <w:t>Table 1: list of approvals of nomination to liturgy</w:t>
      </w:r>
    </w:p>
    <w:p w14:paraId="428BCBE7" w14:textId="77777777" w:rsidR="00CF25C0" w:rsidRDefault="00CF25C0">
      <w:pPr>
        <w:pStyle w:val="TextA"/>
        <w:keepNext/>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91010E">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91010E">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91010E">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91010E">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91010E">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Default="0091010E">
            <w:pPr>
              <w:pStyle w:val="TextA"/>
              <w:keepNext/>
              <w:jc w:val="left"/>
            </w:pPr>
            <w:r>
              <w:rPr>
                <w:rStyle w:val="Ohne"/>
                <w:b/>
                <w:b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91010E">
            <w:pPr>
              <w:pStyle w:val="TextA"/>
              <w:keepNext/>
              <w:jc w:val="left"/>
            </w:pPr>
            <w:hyperlink r:id="rId10" w:history="1">
              <w:r>
                <w:rPr>
                  <w:rStyle w:val="Hyperlink1"/>
                </w:rPr>
                <w:t>SB 16 12504</w:t>
              </w:r>
            </w:hyperlink>
            <w:r>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91010E">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91010E">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91010E">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91010E">
            <w:pPr>
              <w:pStyle w:val="TextA"/>
              <w:keepNext/>
              <w:jc w:val="left"/>
            </w:pPr>
            <w:hyperlink r:id="rId11" w:history="1">
              <w:r>
                <w:rPr>
                  <w:rStyle w:val="Hyperlink1"/>
                </w:rPr>
                <w:t>SB 16 12504</w:t>
              </w:r>
            </w:hyperlink>
            <w:r>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91010E">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91010E">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91010E">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91010E">
            <w:pPr>
              <w:pStyle w:val="TextA"/>
              <w:keepNext/>
              <w:jc w:val="left"/>
            </w:pPr>
            <w:proofErr w:type="spellStart"/>
            <w:r>
              <w:rPr>
                <w:rStyle w:val="Ohne"/>
                <w:sz w:val="20"/>
                <w:szCs w:val="20"/>
              </w:rPr>
              <w:t>P.Mil.Vogl</w:t>
            </w:r>
            <w:proofErr w:type="spell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91010E">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91010E">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91010E">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91010E">
            <w:pPr>
              <w:pStyle w:val="TextA"/>
              <w:keepNext/>
              <w:jc w:val="left"/>
            </w:pPr>
            <w:hyperlink r:id="rId12" w:history="1">
              <w:proofErr w:type="spellStart"/>
              <w:r>
                <w:rPr>
                  <w:rStyle w:val="Hyperlink1"/>
                </w:rPr>
                <w:t>P.Leit</w:t>
              </w:r>
              <w:proofErr w:type="spellEnd"/>
              <w:r>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91010E">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91010E">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91010E">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91010E">
            <w:pPr>
              <w:pStyle w:val="TextA"/>
              <w:keepNext/>
              <w:jc w:val="left"/>
            </w:pPr>
            <w:hyperlink r:id="rId13" w:history="1">
              <w:r>
                <w:rPr>
                  <w:rStyle w:val="Hyperlink1"/>
                </w:rPr>
                <w:t xml:space="preserve">BGU 1 18 = </w:t>
              </w:r>
              <w:proofErr w:type="spellStart"/>
              <w:r>
                <w:rPr>
                  <w:rStyle w:val="Hyperlink1"/>
                </w:rPr>
                <w:t>W.Chr</w:t>
              </w:r>
              <w:proofErr w:type="spellEnd"/>
              <w:r>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91010E">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91010E">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91010E">
            <w:pPr>
              <w:pStyle w:val="TextA"/>
              <w:jc w:val="left"/>
            </w:pPr>
            <w:r>
              <w:rPr>
                <w:rStyle w:val="Ohne"/>
                <w:b/>
                <w:bCs/>
                <w:sz w:val="20"/>
                <w:szCs w:val="20"/>
              </w:rPr>
              <w:lastRenderedPageBreak/>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91010E">
            <w:pPr>
              <w:pStyle w:val="TextA"/>
              <w:keepNext/>
              <w:jc w:val="left"/>
            </w:pPr>
            <w:hyperlink r:id="rId14" w:history="1">
              <w:r>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91010E">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91010E">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91010E">
            <w:pPr>
              <w:pStyle w:val="TextA"/>
              <w:jc w:val="left"/>
            </w:pPr>
            <w:r>
              <w:rPr>
                <w:rStyle w:val="Ohne"/>
                <w:b/>
                <w:bCs/>
                <w:sz w:val="20"/>
                <w:szCs w:val="20"/>
              </w:rPr>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91010E">
            <w:pPr>
              <w:pStyle w:val="TextA"/>
              <w:keepNext/>
              <w:jc w:val="left"/>
            </w:pPr>
            <w:hyperlink r:id="rId15" w:history="1">
              <w:r>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91010E">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91010E">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91010E">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91010E">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91010E">
            <w:pPr>
              <w:pStyle w:val="TextA"/>
              <w:keepNext/>
              <w:jc w:val="left"/>
            </w:pPr>
            <w:hyperlink r:id="rId16" w:history="1">
              <w:proofErr w:type="spellStart"/>
              <w:r>
                <w:rPr>
                  <w:rStyle w:val="Hyperlink1"/>
                </w:rPr>
                <w:t>P.Sijp</w:t>
              </w:r>
              <w:proofErr w:type="spellEnd"/>
              <w:r>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91010E">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91010E">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91010E">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91010E">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91010E">
            <w:pPr>
              <w:pStyle w:val="TextA"/>
              <w:keepNext/>
              <w:jc w:val="left"/>
            </w:pPr>
            <w:hyperlink r:id="rId17" w:history="1">
              <w:proofErr w:type="spellStart"/>
              <w:r>
                <w:rPr>
                  <w:rStyle w:val="Hyperlink1"/>
                </w:rPr>
                <w:t>P.Leit</w:t>
              </w:r>
              <w:proofErr w:type="spellEnd"/>
              <w:r>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91010E">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91010E">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91010E">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91010E">
            <w:pPr>
              <w:pStyle w:val="TextA"/>
              <w:keepNext/>
              <w:jc w:val="left"/>
            </w:pPr>
            <w:hyperlink r:id="rId18" w:history="1">
              <w:r>
                <w:rPr>
                  <w:rStyle w:val="Hyperlink2"/>
                </w:rPr>
                <w:t xml:space="preserve">SB 6 9331 V = </w:t>
              </w:r>
              <w:proofErr w:type="spellStart"/>
              <w:r>
                <w:rPr>
                  <w:rStyle w:val="Hyperlink2"/>
                </w:rPr>
                <w:t>P.Bacch</w:t>
              </w:r>
              <w:proofErr w:type="spellEnd"/>
              <w:r>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91010E">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91010E">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91010E">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91010E">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91010E">
            <w:pPr>
              <w:pStyle w:val="TextA"/>
              <w:keepNext/>
              <w:jc w:val="left"/>
            </w:pPr>
            <w:hyperlink r:id="rId19" w:history="1">
              <w:proofErr w:type="spellStart"/>
              <w:r>
                <w:rPr>
                  <w:rStyle w:val="Hyperlink1"/>
                </w:rPr>
                <w:t>P.Oxy</w:t>
              </w:r>
              <w:proofErr w:type="spellEnd"/>
              <w:r>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91010E">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91010E">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91010E">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91010E">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91010E">
            <w:pPr>
              <w:pStyle w:val="TextA"/>
              <w:keepNext/>
              <w:jc w:val="left"/>
            </w:pPr>
            <w:hyperlink r:id="rId20" w:history="1">
              <w:proofErr w:type="spellStart"/>
              <w:r>
                <w:rPr>
                  <w:rStyle w:val="Hyperlink2"/>
                </w:rPr>
                <w:t>P.Flor</w:t>
              </w:r>
              <w:proofErr w:type="spellEnd"/>
              <w:r>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91010E">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91010E">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91010E">
            <w:pPr>
              <w:pStyle w:val="TextA"/>
              <w:keepNext/>
              <w:jc w:val="left"/>
              <w:rPr>
                <w:rStyle w:val="Ohne"/>
                <w:sz w:val="20"/>
                <w:szCs w:val="20"/>
              </w:rPr>
            </w:pPr>
            <w:hyperlink r:id="rId21" w:history="1">
              <w:proofErr w:type="spellStart"/>
              <w:r>
                <w:rPr>
                  <w:rStyle w:val="Hyperlink3"/>
                  <w:sz w:val="20"/>
                  <w:szCs w:val="20"/>
                </w:rPr>
                <w:t>P.Flor</w:t>
              </w:r>
              <w:proofErr w:type="spellEnd"/>
              <w:r>
                <w:rPr>
                  <w:rStyle w:val="Hyperlink3"/>
                  <w:sz w:val="20"/>
                  <w:szCs w:val="20"/>
                </w:rPr>
                <w:t>. 1 2 Col. 2</w:t>
              </w:r>
            </w:hyperlink>
          </w:p>
          <w:p w14:paraId="0AF009F4" w14:textId="77777777" w:rsidR="00CF25C0" w:rsidRDefault="0091010E">
            <w:pPr>
              <w:pStyle w:val="TextA"/>
              <w:keepNext/>
              <w:jc w:val="left"/>
              <w:rPr>
                <w:rStyle w:val="Ohne"/>
                <w:sz w:val="20"/>
                <w:szCs w:val="20"/>
              </w:rPr>
            </w:pPr>
            <w:hyperlink r:id="rId22" w:history="1">
              <w:proofErr w:type="spellStart"/>
              <w:r>
                <w:rPr>
                  <w:rStyle w:val="Hyperlink3"/>
                  <w:sz w:val="20"/>
                  <w:szCs w:val="20"/>
                </w:rPr>
                <w:t>P.Flor</w:t>
              </w:r>
              <w:proofErr w:type="spellEnd"/>
              <w:r>
                <w:rPr>
                  <w:rStyle w:val="Hyperlink3"/>
                  <w:sz w:val="20"/>
                  <w:szCs w:val="20"/>
                </w:rPr>
                <w:t>. 1 2 Col. 3</w:t>
              </w:r>
            </w:hyperlink>
          </w:p>
          <w:p w14:paraId="35BA7A48" w14:textId="77777777" w:rsidR="00CF25C0" w:rsidRDefault="0091010E">
            <w:pPr>
              <w:pStyle w:val="TextA"/>
              <w:keepNext/>
              <w:jc w:val="left"/>
              <w:rPr>
                <w:rStyle w:val="Ohne"/>
                <w:sz w:val="20"/>
                <w:szCs w:val="20"/>
              </w:rPr>
            </w:pPr>
            <w:hyperlink r:id="rId23" w:history="1">
              <w:proofErr w:type="spellStart"/>
              <w:r>
                <w:rPr>
                  <w:rStyle w:val="Hyperlink3"/>
                  <w:sz w:val="20"/>
                  <w:szCs w:val="20"/>
                </w:rPr>
                <w:t>P.Flor</w:t>
              </w:r>
              <w:proofErr w:type="spellEnd"/>
              <w:r>
                <w:rPr>
                  <w:rStyle w:val="Hyperlink3"/>
                  <w:sz w:val="20"/>
                  <w:szCs w:val="20"/>
                </w:rPr>
                <w:t>. 1 2 Col. 4</w:t>
              </w:r>
            </w:hyperlink>
          </w:p>
          <w:p w14:paraId="4DF1EF2D" w14:textId="77777777" w:rsidR="00CF25C0" w:rsidRDefault="0091010E">
            <w:pPr>
              <w:pStyle w:val="TextA"/>
              <w:keepNext/>
              <w:jc w:val="left"/>
            </w:pPr>
            <w:hyperlink r:id="rId24" w:history="1">
              <w:proofErr w:type="spellStart"/>
              <w:r>
                <w:rPr>
                  <w:rStyle w:val="Hyperlink2"/>
                </w:rPr>
                <w:t>P.Flor</w:t>
              </w:r>
              <w:proofErr w:type="spellEnd"/>
              <w:r>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91010E">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91010E">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91010E">
            <w:pPr>
              <w:pStyle w:val="TextA"/>
              <w:keepNext/>
              <w:jc w:val="left"/>
            </w:pPr>
            <w:hyperlink r:id="rId25" w:history="1">
              <w:proofErr w:type="spellStart"/>
              <w:r>
                <w:rPr>
                  <w:rStyle w:val="Hyperlink2"/>
                </w:rPr>
                <w:t>P.Flor</w:t>
              </w:r>
              <w:proofErr w:type="spellEnd"/>
              <w:r>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91010E">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91010E">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91010E">
            <w:pPr>
              <w:pStyle w:val="TextA"/>
              <w:keepNext/>
              <w:jc w:val="left"/>
            </w:pPr>
            <w:hyperlink r:id="rId26"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91010E">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91010E">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91010E">
            <w:pPr>
              <w:pStyle w:val="TextA"/>
              <w:keepNext/>
              <w:jc w:val="left"/>
            </w:pPr>
            <w:hyperlink r:id="rId27" w:history="1">
              <w:proofErr w:type="spellStart"/>
              <w:r>
                <w:rPr>
                  <w:rStyle w:val="Hyperlink2"/>
                </w:rPr>
                <w:t>P.Flor</w:t>
              </w:r>
              <w:proofErr w:type="spellEnd"/>
              <w:r>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91010E">
            <w:pPr>
              <w:pStyle w:val="TextA"/>
              <w:keepNext/>
              <w:jc w:val="left"/>
            </w:pPr>
            <w:r>
              <w:rPr>
                <w:rStyle w:val="Ohne"/>
                <w:sz w:val="20"/>
                <w:szCs w:val="20"/>
              </w:rPr>
              <w:t>approval, with letter to the keepers of the archive of property (</w:t>
            </w:r>
            <w:r>
              <w:rPr>
                <w:rStyle w:val="Ohne"/>
                <w:sz w:val="20"/>
                <w:szCs w:val="20"/>
              </w:rPr>
              <w:t>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91010E">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91010E">
            <w:pPr>
              <w:pStyle w:val="TextA"/>
              <w:keepNext/>
              <w:jc w:val="left"/>
              <w:rPr>
                <w:rStyle w:val="Ohne"/>
                <w:sz w:val="20"/>
                <w:szCs w:val="20"/>
              </w:rPr>
            </w:pPr>
            <w:hyperlink r:id="rId28" w:history="1">
              <w:proofErr w:type="spellStart"/>
              <w:r>
                <w:rPr>
                  <w:rStyle w:val="Hyperlink3"/>
                  <w:sz w:val="20"/>
                  <w:szCs w:val="20"/>
                </w:rPr>
                <w:t>P.Flor</w:t>
              </w:r>
              <w:proofErr w:type="spellEnd"/>
              <w:r>
                <w:rPr>
                  <w:rStyle w:val="Hyperlink3"/>
                  <w:sz w:val="20"/>
                  <w:szCs w:val="20"/>
                </w:rPr>
                <w:t>. 1 2 Col. 9</w:t>
              </w:r>
            </w:hyperlink>
          </w:p>
          <w:p w14:paraId="1689227A" w14:textId="77777777" w:rsidR="00CF25C0" w:rsidRDefault="0091010E">
            <w:pPr>
              <w:pStyle w:val="TextA"/>
              <w:keepNext/>
              <w:jc w:val="left"/>
            </w:pPr>
            <w:hyperlink r:id="rId29" w:history="1">
              <w:proofErr w:type="spellStart"/>
              <w:r>
                <w:rPr>
                  <w:rStyle w:val="Hyperlink2"/>
                </w:rPr>
                <w:t>P.Flor</w:t>
              </w:r>
              <w:proofErr w:type="spellEnd"/>
              <w:r>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91010E">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91010E">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91010E">
            <w:pPr>
              <w:pStyle w:val="TextA"/>
              <w:keepNext/>
              <w:jc w:val="left"/>
            </w:pPr>
            <w:hyperlink r:id="rId30" w:history="1">
              <w:proofErr w:type="spellStart"/>
              <w:r>
                <w:rPr>
                  <w:rStyle w:val="Hyperlink2"/>
                </w:rPr>
                <w:t>P.Flor</w:t>
              </w:r>
              <w:proofErr w:type="spellEnd"/>
              <w:r>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91010E">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91010E">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91010E">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91010E">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91010E">
            <w:pPr>
              <w:pStyle w:val="TextA"/>
              <w:jc w:val="left"/>
            </w:pPr>
            <w:hyperlink r:id="rId31" w:history="1">
              <w:r>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91010E">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91010E">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91010E">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91010E">
      <w:pPr>
        <w:pStyle w:val="TextA"/>
      </w:pPr>
      <w:r>
        <w:rPr>
          <w:rStyle w:val="Ohne"/>
          <w:b/>
          <w:bCs/>
        </w:rPr>
        <w:t>#articleHeader</w:t>
      </w:r>
    </w:p>
    <w:p w14:paraId="6A0CFE03" w14:textId="77777777" w:rsidR="00CF25C0" w:rsidRDefault="0091010E">
      <w:pPr>
        <w:pStyle w:val="TextA"/>
        <w:keepNext/>
      </w:pPr>
      <w:r>
        <w:rPr>
          <w:rStyle w:val="Ohne"/>
          <w:i/>
          <w:iCs/>
        </w:rPr>
        <w:t xml:space="preserve">Layout: from nomination to </w:t>
      </w:r>
      <w:r>
        <w:rPr>
          <w:rStyle w:val="Ohne"/>
          <w:i/>
          <w:iCs/>
        </w:rPr>
        <w:t>liturgy to approval of nomination</w:t>
      </w:r>
    </w:p>
    <w:p w14:paraId="0F79B3FA" w14:textId="77777777" w:rsidR="00CF25C0" w:rsidRDefault="0091010E">
      <w:pPr>
        <w:pStyle w:val="TextA"/>
      </w:pPr>
      <w:r>
        <w:t>Before we can examine the specific format and layout of these documents according to their provenance, the relation between nomination to liturgy and approval of nomination must be made clear. This will be best illustrated</w:t>
      </w:r>
      <w:r>
        <w:t xml:space="preserve"> through an example.</w:t>
      </w:r>
    </w:p>
    <w:p w14:paraId="4AFA2D1A" w14:textId="77777777" w:rsidR="00CF25C0" w:rsidRDefault="00CF25C0">
      <w:pPr>
        <w:pStyle w:val="TextA"/>
      </w:pPr>
    </w:p>
    <w:p w14:paraId="7AA10985" w14:textId="77777777" w:rsidR="00CF25C0" w:rsidRDefault="0091010E">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91010E">
      <w:pPr>
        <w:pStyle w:val="TextA"/>
      </w:pPr>
      <w:hyperlink r:id="rId32" w:history="1">
        <w:proofErr w:type="spellStart"/>
        <w:r>
          <w:rPr>
            <w:rStyle w:val="Hyperlink0"/>
          </w:rPr>
          <w:t>P.Oxy</w:t>
        </w:r>
        <w:proofErr w:type="spellEnd"/>
        <w:r>
          <w:rPr>
            <w:rStyle w:val="Hyperlink0"/>
          </w:rPr>
          <w:t>. 34 2714</w:t>
        </w:r>
      </w:hyperlink>
      <w:r>
        <w:t xml:space="preserve"> (256, </w:t>
      </w:r>
      <w:proofErr w:type="spellStart"/>
      <w:r>
        <w:t>Oxyrhynchus</w:t>
      </w:r>
      <w:proofErr w:type="spellEnd"/>
      <w:r>
        <w:t>) is a nomination to liturgy, written on a long and narrow, vertical sheet of papyrus. The scribe w</w:t>
      </w:r>
      <w:r>
        <w:t xml:space="preserve">ho prepared the document on behalf of two </w:t>
      </w:r>
      <w:proofErr w:type="spellStart"/>
      <w:r>
        <w:t>κωμ</w:t>
      </w:r>
      <w:r>
        <w:rPr>
          <w:rStyle w:val="Ohne"/>
          <w:rFonts w:ascii="Arial Unicode MS" w:hAnsi="Arial Unicode MS"/>
        </w:rPr>
        <w:t>ά</w:t>
      </w:r>
      <w:r>
        <w:t>ρχ</w:t>
      </w:r>
      <w:proofErr w:type="spellEnd"/>
      <w:r>
        <w:t xml:space="preserve">αι </w:t>
      </w:r>
      <w:proofErr w:type="spellStart"/>
      <w:r>
        <w:t>centred</w:t>
      </w:r>
      <w:proofErr w:type="spellEnd"/>
      <w:r>
        <w:t xml:space="preserve"> the text vertically, leaving ample margins at the top and bottom of the sheet. These two margins provide windows for additional data to be inserted; and indeed, in the bottom margin, a transmission</w:t>
      </w:r>
      <w:r>
        <w:t xml:space="preserve"> docket was entered, without occupying the whole space available: the </w:t>
      </w:r>
      <w:proofErr w:type="spellStart"/>
      <w:r>
        <w:t>κωμ</w:t>
      </w:r>
      <w:r>
        <w:rPr>
          <w:rStyle w:val="Ohne"/>
          <w:rFonts w:ascii="Arial Unicode MS" w:hAnsi="Arial Unicode MS"/>
        </w:rPr>
        <w:t>ά</w:t>
      </w:r>
      <w:r>
        <w:t>ρχ</w:t>
      </w:r>
      <w:proofErr w:type="spellEnd"/>
      <w:r>
        <w:t>αι state that they have submitted the nomination, and a literate scribe writes on their behalf because they cannot write. The top margin, however, remained blank.</w:t>
      </w:r>
    </w:p>
    <w:p w14:paraId="098DE04D" w14:textId="77777777" w:rsidR="00CF25C0" w:rsidRDefault="0091010E">
      <w:pPr>
        <w:pStyle w:val="TextA"/>
      </w:pPr>
      <w:r>
        <w:lastRenderedPageBreak/>
        <w:t>Comparison with a</w:t>
      </w:r>
      <w:r>
        <w:t xml:space="preserve">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w:t>
      </w:r>
      <w:r>
        <w:t>ive his approval. Therefore, the top and bottom margins in such nominations to liturgy were intended for the next stage in the procedure, by which the nomination to liturgy would become an approval of nomination. In other words, nomination to liturgy and a</w:t>
      </w:r>
      <w:r>
        <w:t>pproval of nomination are, in this case, one and the same document, but at two subsequent stages of the procedure.</w:t>
      </w:r>
    </w:p>
    <w:p w14:paraId="22E29030" w14:textId="77777777" w:rsidR="00CF25C0" w:rsidRDefault="0091010E">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w:t>
      </w:r>
      <w:r>
        <w:t xml:space="preserve">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91010E">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w:t>
      </w:r>
      <w:r>
        <w:t xml:space="preserv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r>
        <w:t>P.Flor</w:t>
      </w:r>
      <w:proofErr w:type="spellEnd"/>
      <w:r>
        <w:t>. 1 2 (265).</w:t>
      </w:r>
      <w:r>
        <w:rPr>
          <w:rStyle w:val="Ohne"/>
          <w:rFonts w:eastAsia="Times New Roman" w:cs="Times New Roman"/>
          <w:vertAlign w:val="superscript"/>
        </w:rPr>
        <w:footnoteReference w:id="15"/>
      </w:r>
      <w:r>
        <w:t xml:space="preserve"> A scribe prepared the nomination </w:t>
      </w:r>
      <w:r>
        <w:t xml:space="preserve">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the approval runs horizontally across several nominations, which indicat</w:t>
      </w:r>
      <w:r>
        <w:t xml:space="preserve">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w:t>
      </w:r>
      <w:r>
        <w:t xml:space="preserve"> were posted for all to read.</w:t>
      </w:r>
    </w:p>
    <w:p w14:paraId="011DDC86" w14:textId="77777777" w:rsidR="00CF25C0" w:rsidRDefault="0091010E">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w:t>
      </w:r>
      <w:r>
        <w:t>central part of a sheet, leaving space in the top and bottom margin for the next steps to take place, i.e. transmission docket (bottom margin) and approval of nomination (top margin). This emerging pattern will find confirmation in a more comprehensive lis</w:t>
      </w:r>
      <w:r>
        <w:t>t of evidence that will be discussed below.</w:t>
      </w:r>
    </w:p>
    <w:p w14:paraId="71A1B2F4" w14:textId="77777777" w:rsidR="00CF25C0" w:rsidRDefault="00CF25C0">
      <w:pPr>
        <w:pStyle w:val="TextA"/>
      </w:pPr>
    </w:p>
    <w:p w14:paraId="635B3646" w14:textId="77777777" w:rsidR="00CF25C0" w:rsidRDefault="0091010E">
      <w:pPr>
        <w:pStyle w:val="TextA"/>
      </w:pPr>
      <w:r>
        <w:rPr>
          <w:rStyle w:val="Ohne"/>
          <w:b/>
          <w:bCs/>
        </w:rPr>
        <w:t>#articleHeader</w:t>
      </w:r>
    </w:p>
    <w:p w14:paraId="3D3DF592" w14:textId="77777777" w:rsidR="00CF25C0" w:rsidRDefault="0091010E">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91010E">
      <w:pPr>
        <w:pStyle w:val="TextA"/>
      </w:pPr>
      <w:r>
        <w:t xml:space="preserve">The format of the documents mentioned above is conspicuous: they were nearly all produced by cutting a long and narrow vertical strip (ca. 30 x 10 cm) from a tall </w:t>
      </w:r>
      <w:r>
        <w:t xml:space="preserve">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is shorter (25 cm), but the width of columns is narrower, thus keeping a general shape comparable to that of the other documents. This corresponds to the so-called “demotic s</w:t>
      </w:r>
      <w:r>
        <w:t xml:space="preserve">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w:t>
      </w:r>
      <w:r>
        <w:rPr>
          <w:rStyle w:val="Ohne"/>
          <w:i/>
          <w:iCs/>
        </w:rPr>
        <w:t>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w:t>
      </w:r>
      <w:r>
        <w:t xml:space="preserve">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91010E">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91010E">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w:t>
      </w:r>
      <w:r>
        <w:t>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91010E">
      <w:pPr>
        <w:pStyle w:val="TextA"/>
      </w:pPr>
      <w:r>
        <w:rPr>
          <w:rStyle w:val="Ohne"/>
          <w:b/>
          <w:bCs/>
        </w:rPr>
        <w:t>#articleHeader</w:t>
      </w:r>
    </w:p>
    <w:p w14:paraId="6C30C61A" w14:textId="77777777" w:rsidR="00CF25C0" w:rsidRDefault="0091010E">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91010E">
      <w:pPr>
        <w:pStyle w:val="TextA"/>
      </w:pPr>
      <w:r>
        <w:t>We must now tu</w:t>
      </w:r>
      <w:r>
        <w:t xml:space="preserve">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w:t>
      </w:r>
      <w:r>
        <w:t xml:space="preserve">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w:t>
      </w:r>
      <w:r>
        <w:t xml:space="preserve">ting to liturgy become scarce and fragmentary, but other </w:t>
      </w:r>
      <w:proofErr w:type="spellStart"/>
      <w:r>
        <w:t>nomes</w:t>
      </w:r>
      <w:proofErr w:type="spellEnd"/>
      <w:r>
        <w:t xml:space="preserve"> are better represented.</w:t>
      </w:r>
    </w:p>
    <w:p w14:paraId="1C93092A" w14:textId="77777777" w:rsidR="00CF25C0" w:rsidRDefault="0091010E">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w:t>
      </w:r>
      <w:r>
        <w:t xml:space="preserve">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r>
        <w:t>P.Mil.Vogl</w:t>
      </w:r>
      <w:proofErr w:type="spell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w:t>
      </w:r>
      <w:r>
        <w:rPr>
          <w:rStyle w:val="Hyperlink0"/>
        </w:rPr>
        <w:t>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exactly the same words. Neither in </w:t>
      </w:r>
      <w:r>
        <w:rPr>
          <w:rStyle w:val="Ohne"/>
          <w:b/>
          <w:bCs/>
        </w:rPr>
        <w:t>3a</w:t>
      </w:r>
      <w:r>
        <w:t xml:space="preserve"> nor in </w:t>
      </w:r>
      <w:r>
        <w:rPr>
          <w:rStyle w:val="Ohne"/>
          <w:b/>
          <w:bCs/>
        </w:rPr>
        <w:t>3b</w:t>
      </w:r>
      <w:r>
        <w:t xml:space="preserve"> did the format or layout of t</w:t>
      </w:r>
      <w:r>
        <w:t>he original approval matter to the scribe who prepared the documents.</w:t>
      </w:r>
    </w:p>
    <w:p w14:paraId="4FD348C1" w14:textId="77777777" w:rsidR="00CF25C0" w:rsidRDefault="0091010E">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w:t>
      </w:r>
      <w:r>
        <w:t>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w:t>
      </w:r>
      <w:r>
        <w:t xml:space="preserve">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w:t>
      </w:r>
      <w:r>
        <w:t xml:space="preserve">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91010E">
      <w:pPr>
        <w:pStyle w:val="TextA"/>
      </w:pPr>
      <w:r>
        <w:t>This last docume</w:t>
      </w:r>
      <w:r>
        <w:t xml:space="preserve">nt may also be used to illustrate the specific layout of documents pertaining to liturgy in the </w:t>
      </w:r>
      <w:proofErr w:type="spellStart"/>
      <w:r>
        <w:t>Arsinoite</w:t>
      </w:r>
      <w:proofErr w:type="spellEnd"/>
      <w:r>
        <w:t xml:space="preserve"> </w:t>
      </w:r>
      <w:proofErr w:type="spellStart"/>
      <w:r>
        <w:t>nome</w:t>
      </w:r>
      <w:proofErr w:type="spellEnd"/>
      <w:r>
        <w:t>. The scribe preparing a nomination to liturgy starts at the top of the sheet (without leaving any significant margin), writes the nomination in o</w:t>
      </w:r>
      <w:r>
        <w:t xml:space="preserve">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xml:space="preserve">). In the window, a transmission docket is added (e.g.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91010E">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91010E">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w:t>
      </w:r>
      <w:r>
        <w:t>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w:t>
      </w:r>
      <w:r>
        <w:t>f documents of other types originating from the same area; and it is in sharp contrast with documents pertaining to liturgy that were produced in other parts of Egypt. The sharpness of this contrast will become even more evident when the overall data is ta</w:t>
      </w:r>
      <w:r>
        <w:t>ken into consideration.</w:t>
      </w:r>
    </w:p>
    <w:p w14:paraId="089A2C6A" w14:textId="77777777" w:rsidR="00CF25C0" w:rsidRDefault="00CF25C0">
      <w:pPr>
        <w:pStyle w:val="TextA"/>
      </w:pPr>
    </w:p>
    <w:p w14:paraId="1DA68A45" w14:textId="77777777" w:rsidR="00CF25C0" w:rsidRDefault="0091010E">
      <w:pPr>
        <w:pStyle w:val="TextA"/>
      </w:pPr>
      <w:r>
        <w:rPr>
          <w:rStyle w:val="Ohne"/>
          <w:b/>
          <w:bCs/>
        </w:rPr>
        <w:t>#articleHeader</w:t>
      </w:r>
    </w:p>
    <w:p w14:paraId="19132F8B" w14:textId="77777777" w:rsidR="00CF25C0" w:rsidRDefault="0091010E">
      <w:pPr>
        <w:pStyle w:val="TextA"/>
        <w:keepNext/>
      </w:pPr>
      <w:r>
        <w:rPr>
          <w:rStyle w:val="Ohne"/>
          <w:i/>
          <w:iCs/>
        </w:rPr>
        <w:t>Data pertaining to nominations, approvals and oaths (second – third centuries CE)</w:t>
      </w:r>
    </w:p>
    <w:p w14:paraId="10139D00" w14:textId="77777777" w:rsidR="00CF25C0" w:rsidRDefault="00CF25C0">
      <w:pPr>
        <w:pStyle w:val="TextA"/>
      </w:pPr>
    </w:p>
    <w:p w14:paraId="5B7AB0A3" w14:textId="77777777" w:rsidR="00CF25C0" w:rsidRDefault="0091010E">
      <w:pPr>
        <w:pStyle w:val="TextA"/>
        <w:keepNext/>
      </w:pPr>
      <w:r>
        <w:t>Table 2: nominations to liturgy, approvals of liturgy, and liturgical oaths (2nd – 3rd  c. CE)</w:t>
      </w:r>
    </w:p>
    <w:p w14:paraId="0CD73A6E" w14:textId="77777777" w:rsidR="00CF25C0" w:rsidRDefault="00CF25C0">
      <w:pPr>
        <w:pStyle w:val="TextA"/>
        <w:keepNext/>
      </w:pPr>
    </w:p>
    <w:p w14:paraId="37E93FF0" w14:textId="77777777" w:rsidR="00CF25C0" w:rsidRDefault="0091010E">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91010E">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w:t>
      </w:r>
      <w:r>
        <w:rPr>
          <w:rStyle w:val="Ohne"/>
          <w:sz w:val="20"/>
          <w:szCs w:val="20"/>
          <w:lang w:val="en-US"/>
        </w:rPr>
        <w:t>style format.</w:t>
      </w:r>
    </w:p>
    <w:p w14:paraId="565857FF" w14:textId="77777777" w:rsidR="00CF25C0" w:rsidRDefault="0091010E">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in order to provide a more balance</w:t>
      </w:r>
      <w:r>
        <w:rPr>
          <w:rStyle w:val="Ohne"/>
          <w:sz w:val="20"/>
          <w:szCs w:val="20"/>
          <w:lang w:val="en-US"/>
        </w:rPr>
        <w:t>d impression of the available data.</w:t>
      </w:r>
    </w:p>
    <w:p w14:paraId="1634BEBC" w14:textId="77777777" w:rsidR="00CF25C0" w:rsidRDefault="0091010E">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91010E">
            <w:pPr>
              <w:pStyle w:val="TextA"/>
              <w:jc w:val="left"/>
            </w:pPr>
            <w:proofErr w:type="spellStart"/>
            <w:r>
              <w:rPr>
                <w:rStyle w:val="Ohne"/>
                <w:i/>
                <w:iCs/>
                <w:sz w:val="20"/>
                <w:szCs w:val="20"/>
                <w:lang w:val="fr-FR"/>
              </w:rPr>
              <w:t>reference</w:t>
            </w:r>
            <w:proofErr w:type="spell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91010E">
            <w:pPr>
              <w:pStyle w:val="TextA"/>
              <w:jc w:val="center"/>
            </w:pPr>
            <w:r>
              <w:rPr>
                <w:rStyle w:val="Ohne"/>
                <w:i/>
                <w:iCs/>
                <w:sz w:val="20"/>
                <w:szCs w:val="20"/>
                <w:lang w:val="fr-FR"/>
              </w:rPr>
              <w:t>date</w:t>
            </w:r>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91010E">
            <w:pPr>
              <w:pStyle w:val="TextA"/>
              <w:jc w:val="center"/>
            </w:pPr>
            <w:r>
              <w:rPr>
                <w:rStyle w:val="Ohne"/>
                <w:i/>
                <w:iCs/>
                <w:sz w:val="20"/>
                <w:szCs w:val="20"/>
                <w:lang w:val="fr-FR"/>
              </w:rPr>
              <w:t>pagina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91010E">
            <w:pPr>
              <w:pStyle w:val="TextA"/>
              <w:jc w:val="center"/>
            </w:pPr>
            <w:proofErr w:type="spellStart"/>
            <w:r>
              <w:rPr>
                <w:rStyle w:val="Ohne"/>
                <w:i/>
                <w:iCs/>
                <w:sz w:val="20"/>
                <w:szCs w:val="20"/>
                <w:lang w:val="fr-FR"/>
              </w:rPr>
              <w:t>demotic</w:t>
            </w:r>
            <w:proofErr w:type="spell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91010E">
            <w:pPr>
              <w:pStyle w:val="TextA"/>
              <w:jc w:val="center"/>
            </w:pPr>
            <w:r>
              <w:rPr>
                <w:rStyle w:val="Ohne"/>
                <w:i/>
                <w:iCs/>
                <w:sz w:val="20"/>
                <w:szCs w:val="20"/>
                <w:lang w:val="fr-FR"/>
              </w:rPr>
              <w:t>nomination</w:t>
            </w:r>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91010E">
            <w:pPr>
              <w:pStyle w:val="TextA"/>
              <w:jc w:val="center"/>
            </w:pPr>
            <w:proofErr w:type="spellStart"/>
            <w:r>
              <w:rPr>
                <w:rStyle w:val="Ohne"/>
                <w:i/>
                <w:iCs/>
                <w:sz w:val="20"/>
                <w:szCs w:val="20"/>
                <w:lang w:val="fr-FR"/>
              </w:rPr>
              <w:t>appr</w:t>
            </w:r>
            <w:r>
              <w:rPr>
                <w:rStyle w:val="Ohne"/>
                <w:i/>
                <w:iCs/>
                <w:sz w:val="20"/>
                <w:szCs w:val="20"/>
                <w:lang w:val="fr-FR"/>
              </w:rPr>
              <w:t>oval</w:t>
            </w:r>
            <w:proofErr w:type="spell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91010E">
            <w:pPr>
              <w:pStyle w:val="TextA"/>
              <w:jc w:val="center"/>
            </w:pPr>
            <w:proofErr w:type="spellStart"/>
            <w:r>
              <w:rPr>
                <w:rStyle w:val="Ohne"/>
                <w:i/>
                <w:iCs/>
                <w:sz w:val="20"/>
                <w:szCs w:val="20"/>
                <w:lang w:val="fr-FR"/>
              </w:rPr>
              <w:t>oath</w:t>
            </w:r>
            <w:proofErr w:type="spell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91010E">
            <w:pPr>
              <w:pStyle w:val="TextA"/>
              <w:jc w:val="left"/>
            </w:pPr>
            <w:hyperlink r:id="rId40" w:history="1">
              <w:r>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91010E">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91010E">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91010E">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91010E">
            <w:pPr>
              <w:pStyle w:val="TextA"/>
              <w:jc w:val="center"/>
            </w:pPr>
            <w:r>
              <w:rPr>
                <w:rStyle w:val="Ohne"/>
                <w:sz w:val="20"/>
                <w:szCs w:val="20"/>
                <w:lang w:val="fr-FR"/>
              </w:rPr>
              <w:t xml:space="preserve">(copies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91010E">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91010E">
            <w:pPr>
              <w:pStyle w:val="TextA"/>
              <w:jc w:val="left"/>
            </w:pPr>
            <w:hyperlink r:id="rId42" w:history="1">
              <w:proofErr w:type="spellStart"/>
              <w:r>
                <w:rPr>
                  <w:rStyle w:val="Hyperlink5"/>
                </w:rPr>
                <w:t>P.Oxy</w:t>
              </w:r>
              <w:proofErr w:type="spellEnd"/>
              <w:r>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91010E">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91010E">
            <w:pPr>
              <w:pStyle w:val="TextA"/>
              <w:jc w:val="left"/>
            </w:pPr>
            <w:hyperlink r:id="rId43" w:history="1">
              <w:r>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91010E">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91010E">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91010E">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91010E">
            <w:pPr>
              <w:pStyle w:val="TextA"/>
              <w:jc w:val="left"/>
            </w:pPr>
            <w:hyperlink r:id="rId44" w:history="1">
              <w:proofErr w:type="spellStart"/>
              <w:r>
                <w:rPr>
                  <w:rStyle w:val="Hyperlink2"/>
                </w:rPr>
                <w:t>P.Lond</w:t>
              </w:r>
              <w:proofErr w:type="spellEnd"/>
              <w:r>
                <w:rPr>
                  <w:rStyle w:val="Hyperlink2"/>
                </w:rPr>
                <w:t>. 3 1159</w:t>
              </w:r>
            </w:hyperlink>
            <w:r>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91010E">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91010E">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91010E">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91010E">
            <w:pPr>
              <w:pStyle w:val="TextA"/>
              <w:jc w:val="left"/>
            </w:pPr>
            <w:hyperlink r:id="rId45" w:history="1">
              <w:proofErr w:type="spellStart"/>
              <w:r>
                <w:rPr>
                  <w:rStyle w:val="Hyperlink2"/>
                </w:rPr>
                <w:t>P.Louvre</w:t>
              </w:r>
              <w:proofErr w:type="spellEnd"/>
              <w:r>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91010E">
            <w:pPr>
              <w:pStyle w:val="TextA"/>
              <w:jc w:val="center"/>
            </w:pPr>
            <w:r>
              <w:rPr>
                <w:rStyle w:val="Ohne"/>
                <w:sz w:val="20"/>
                <w:szCs w:val="20"/>
                <w:lang w:val="fr-FR"/>
              </w:rPr>
              <w:t>ca.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91010E">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91010E">
            <w:pPr>
              <w:pStyle w:val="TextA"/>
              <w:jc w:val="left"/>
            </w:pPr>
            <w:hyperlink r:id="rId46" w:history="1">
              <w:proofErr w:type="spellStart"/>
              <w:r>
                <w:rPr>
                  <w:rStyle w:val="Hyperlink2"/>
                </w:rPr>
                <w:t>P.Ryl</w:t>
              </w:r>
              <w:proofErr w:type="spellEnd"/>
              <w:r>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91010E">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91010E">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91010E">
            <w:pPr>
              <w:pStyle w:val="TextA"/>
              <w:jc w:val="left"/>
            </w:pPr>
            <w:hyperlink r:id="rId47" w:history="1">
              <w:proofErr w:type="spellStart"/>
              <w:r>
                <w:rPr>
                  <w:rStyle w:val="Hyperlink2"/>
                </w:rPr>
                <w:t>P.Leit</w:t>
              </w:r>
              <w:proofErr w:type="spellEnd"/>
              <w:r>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91010E">
            <w:pPr>
              <w:pStyle w:val="TextA"/>
              <w:jc w:val="center"/>
            </w:pPr>
            <w:r>
              <w:rPr>
                <w:rStyle w:val="Ohne"/>
                <w:sz w:val="20"/>
                <w:szCs w:val="20"/>
                <w:lang w:val="fr-FR"/>
              </w:rPr>
              <w:t>ca.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91010E">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91010E">
            <w:pPr>
              <w:pStyle w:val="TextA"/>
              <w:jc w:val="left"/>
            </w:pPr>
            <w:hyperlink r:id="rId48" w:history="1">
              <w:proofErr w:type="spellStart"/>
              <w:r>
                <w:rPr>
                  <w:rStyle w:val="Hyperlink2"/>
                </w:rPr>
                <w:t>P.Berl.Leihg</w:t>
              </w:r>
              <w:proofErr w:type="spellEnd"/>
              <w:r>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91010E">
            <w:pPr>
              <w:pStyle w:val="TextA"/>
              <w:jc w:val="center"/>
            </w:pPr>
            <w:r>
              <w:rPr>
                <w:rStyle w:val="Ohne"/>
                <w:sz w:val="20"/>
                <w:szCs w:val="20"/>
                <w:lang w:val="fr-FR"/>
              </w:rPr>
              <w:t>ca.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91010E">
            <w:pPr>
              <w:pStyle w:val="TextA"/>
              <w:jc w:val="center"/>
            </w:pPr>
            <w:r>
              <w:rPr>
                <w:rStyle w:val="Ohne"/>
                <w:sz w:val="20"/>
                <w:szCs w:val="20"/>
              </w:rPr>
              <w:t xml:space="preserve">(draft rather than the official </w:t>
            </w:r>
            <w:r>
              <w:rPr>
                <w:rStyle w:val="Ohne"/>
                <w:sz w:val="20"/>
                <w:szCs w:val="20"/>
              </w:rPr>
              <w:t>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91010E">
            <w:pPr>
              <w:pStyle w:val="TextA"/>
              <w:jc w:val="left"/>
            </w:pPr>
            <w:hyperlink r:id="rId49" w:history="1">
              <w:r>
                <w:rPr>
                  <w:rStyle w:val="Hyperlink2"/>
                </w:rPr>
                <w:t xml:space="preserve">BGU 1 235 = </w:t>
              </w:r>
              <w:proofErr w:type="spellStart"/>
              <w:r>
                <w:rPr>
                  <w:rStyle w:val="Hyperlink2"/>
                </w:rPr>
                <w:t>W.Chr</w:t>
              </w:r>
              <w:proofErr w:type="spellEnd"/>
              <w:r>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91010E">
            <w:pPr>
              <w:pStyle w:val="TextA"/>
              <w:jc w:val="center"/>
            </w:pPr>
            <w:r>
              <w:rPr>
                <w:rStyle w:val="Ohne"/>
                <w:sz w:val="20"/>
                <w:szCs w:val="20"/>
                <w:lang w:val="fr-FR"/>
              </w:rPr>
              <w:t>ca.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91010E">
            <w:pPr>
              <w:pStyle w:val="TextA"/>
              <w:jc w:val="left"/>
            </w:pPr>
            <w:r>
              <w:rPr>
                <w:rStyle w:val="Ohne"/>
                <w:b/>
                <w:bCs/>
                <w:sz w:val="20"/>
                <w:szCs w:val="20"/>
                <w:lang w:val="it-IT"/>
              </w:rPr>
              <w:t>3a</w:t>
            </w:r>
            <w:r>
              <w:rPr>
                <w:rStyle w:val="Ohne"/>
                <w:sz w:val="20"/>
                <w:szCs w:val="20"/>
                <w:lang w:val="it-IT"/>
              </w:rPr>
              <w:t xml:space="preserve"> = </w:t>
            </w:r>
            <w:proofErr w:type="spellStart"/>
            <w:r>
              <w:rPr>
                <w:rStyle w:val="Ohne"/>
                <w:sz w:val="20"/>
                <w:szCs w:val="20"/>
                <w:lang w:val="it-IT"/>
              </w:rPr>
              <w:t>P.Mil.Vogl</w:t>
            </w:r>
            <w:proofErr w:type="spell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91010E">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91010E">
            <w:pPr>
              <w:pStyle w:val="TextA"/>
              <w:jc w:val="center"/>
            </w:pPr>
            <w:r>
              <w:rPr>
                <w:rStyle w:val="Ohne"/>
                <w:sz w:val="20"/>
                <w:szCs w:val="20"/>
              </w:rPr>
              <w:t>(copy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91010E">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91010E">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91010E">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91010E">
            <w:pPr>
              <w:pStyle w:val="TextA"/>
              <w:jc w:val="center"/>
            </w:pPr>
            <w:r>
              <w:rPr>
                <w:rStyle w:val="Ohne"/>
                <w:sz w:val="20"/>
                <w:szCs w:val="20"/>
              </w:rPr>
              <w:t>(text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91010E">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91010E">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r>
                <w:rPr>
                  <w:rStyle w:val="Hyperlink5"/>
                </w:rPr>
                <w:t>W.Chr</w:t>
              </w:r>
              <w:proofErr w:type="spell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91010E">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91010E">
            <w:pPr>
              <w:pStyle w:val="TextA"/>
              <w:jc w:val="center"/>
            </w:pPr>
            <w:r>
              <w:rPr>
                <w:rStyle w:val="Ohne"/>
                <w:sz w:val="20"/>
                <w:szCs w:val="20"/>
                <w:lang w:val="fr-FR"/>
              </w:rPr>
              <w:t xml:space="preserve">(copy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91010E">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91010E">
            <w:pPr>
              <w:pStyle w:val="TextA"/>
              <w:jc w:val="left"/>
            </w:pPr>
            <w:hyperlink r:id="rId52" w:history="1">
              <w:r>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91010E">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91010E">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91010E">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91010E">
            <w:pPr>
              <w:pStyle w:val="TextA"/>
              <w:jc w:val="center"/>
            </w:pPr>
            <w:r>
              <w:rPr>
                <w:rStyle w:val="Ohne"/>
                <w:sz w:val="20"/>
                <w:szCs w:val="20"/>
                <w:lang w:val="fr-FR"/>
              </w:rPr>
              <w:t xml:space="preserve">(abstract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91010E">
            <w:pPr>
              <w:pStyle w:val="TextA"/>
              <w:jc w:val="left"/>
              <w:rPr>
                <w:rStyle w:val="Ohne"/>
                <w:sz w:val="20"/>
                <w:szCs w:val="20"/>
              </w:rPr>
            </w:pPr>
            <w:hyperlink r:id="rId54" w:history="1">
              <w:proofErr w:type="spellStart"/>
              <w:r>
                <w:rPr>
                  <w:rStyle w:val="Hyperlink6"/>
                  <w:sz w:val="20"/>
                  <w:szCs w:val="20"/>
                </w:rPr>
                <w:t>P.Berl.Leihg</w:t>
              </w:r>
              <w:proofErr w:type="spellEnd"/>
              <w:r>
                <w:rPr>
                  <w:rStyle w:val="Hyperlink6"/>
                  <w:sz w:val="20"/>
                  <w:szCs w:val="20"/>
                </w:rPr>
                <w:t>. 2 42a</w:t>
              </w:r>
            </w:hyperlink>
          </w:p>
          <w:p w14:paraId="15D4315E" w14:textId="77777777" w:rsidR="00CF25C0" w:rsidRDefault="0091010E">
            <w:pPr>
              <w:pStyle w:val="TextA"/>
              <w:jc w:val="left"/>
            </w:pPr>
            <w:hyperlink r:id="rId55" w:history="1">
              <w:proofErr w:type="spellStart"/>
              <w:r>
                <w:rPr>
                  <w:rStyle w:val="Hyperlink1"/>
                </w:rPr>
                <w:t>P.Berl.Leihg</w:t>
              </w:r>
              <w:proofErr w:type="spellEnd"/>
              <w:r>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91010E">
            <w:pPr>
              <w:pStyle w:val="TextA"/>
              <w:jc w:val="center"/>
            </w:pPr>
            <w:r>
              <w:rPr>
                <w:rStyle w:val="Ohne"/>
                <w:sz w:val="20"/>
                <w:szCs w:val="20"/>
                <w:lang w:val="fr-FR"/>
              </w:rPr>
              <w:t>ca.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91010E">
            <w:pPr>
              <w:pStyle w:val="TextA"/>
              <w:jc w:val="left"/>
            </w:pPr>
            <w:hyperlink r:id="rId56" w:history="1">
              <w:proofErr w:type="spellStart"/>
              <w:r>
                <w:rPr>
                  <w:rStyle w:val="Hyperlink5"/>
                </w:rPr>
                <w:t>P.Oxy</w:t>
              </w:r>
              <w:proofErr w:type="spellEnd"/>
              <w:r>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91010E">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91010E">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91010E">
            <w:pPr>
              <w:pStyle w:val="TextA"/>
              <w:jc w:val="left"/>
            </w:pPr>
            <w:hyperlink r:id="rId57" w:history="1">
              <w:proofErr w:type="spellStart"/>
              <w:r>
                <w:rPr>
                  <w:rStyle w:val="Hyperlink5"/>
                </w:rPr>
                <w:t>P.Oxy</w:t>
              </w:r>
              <w:proofErr w:type="spellEnd"/>
              <w:r>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91010E">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91010E">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91010E">
            <w:pPr>
              <w:pStyle w:val="TextA"/>
              <w:jc w:val="left"/>
            </w:pPr>
            <w:hyperlink r:id="rId58" w:history="1">
              <w:proofErr w:type="spellStart"/>
              <w:r>
                <w:rPr>
                  <w:rStyle w:val="Hyperlink5"/>
                </w:rPr>
                <w:t>P.Oxy</w:t>
              </w:r>
              <w:proofErr w:type="spellEnd"/>
              <w:r>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91010E">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91010E">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91010E">
            <w:pPr>
              <w:pStyle w:val="TextA"/>
              <w:jc w:val="left"/>
            </w:pPr>
            <w:hyperlink r:id="rId59" w:history="1">
              <w:proofErr w:type="spellStart"/>
              <w:r>
                <w:rPr>
                  <w:rStyle w:val="Hyperlink5"/>
                </w:rPr>
                <w:t>P.Oxy</w:t>
              </w:r>
              <w:proofErr w:type="spellEnd"/>
              <w:r>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91010E">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91010E">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91010E">
            <w:pPr>
              <w:pStyle w:val="TextA"/>
              <w:jc w:val="left"/>
            </w:pPr>
            <w:hyperlink r:id="rId60" w:history="1">
              <w:proofErr w:type="spellStart"/>
              <w:r>
                <w:rPr>
                  <w:rStyle w:val="Hyperlink5"/>
                </w:rPr>
                <w:t>P.Oxy</w:t>
              </w:r>
              <w:proofErr w:type="spellEnd"/>
              <w:r>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91010E">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91010E">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91010E">
            <w:pPr>
              <w:pStyle w:val="TextA"/>
              <w:jc w:val="left"/>
              <w:rPr>
                <w:rStyle w:val="Ohne"/>
                <w:sz w:val="20"/>
                <w:szCs w:val="20"/>
              </w:rPr>
            </w:pPr>
            <w:hyperlink r:id="rId61" w:history="1">
              <w:proofErr w:type="spellStart"/>
              <w:r>
                <w:rPr>
                  <w:rStyle w:val="Hyperlink7"/>
                  <w:sz w:val="20"/>
                  <w:szCs w:val="20"/>
                </w:rPr>
                <w:t>P.Petaus</w:t>
              </w:r>
              <w:proofErr w:type="spellEnd"/>
              <w:r>
                <w:rPr>
                  <w:rStyle w:val="Hyperlink7"/>
                  <w:sz w:val="20"/>
                  <w:szCs w:val="20"/>
                </w:rPr>
                <w:t xml:space="preserve"> 75</w:t>
              </w:r>
            </w:hyperlink>
          </w:p>
          <w:p w14:paraId="5424521A" w14:textId="77777777" w:rsidR="00CF25C0" w:rsidRDefault="0091010E">
            <w:pPr>
              <w:pStyle w:val="TextA"/>
              <w:jc w:val="left"/>
              <w:rPr>
                <w:rStyle w:val="Ohne"/>
                <w:sz w:val="20"/>
                <w:szCs w:val="20"/>
              </w:rPr>
            </w:pPr>
            <w:hyperlink r:id="rId62" w:history="1">
              <w:proofErr w:type="spellStart"/>
              <w:r>
                <w:rPr>
                  <w:rStyle w:val="Hyperlink7"/>
                  <w:sz w:val="20"/>
                  <w:szCs w:val="20"/>
                </w:rPr>
                <w:t>P.Petaus</w:t>
              </w:r>
              <w:proofErr w:type="spellEnd"/>
              <w:r>
                <w:rPr>
                  <w:rStyle w:val="Hyperlink7"/>
                  <w:sz w:val="20"/>
                  <w:szCs w:val="20"/>
                </w:rPr>
                <w:t xml:space="preserve"> 76</w:t>
              </w:r>
            </w:hyperlink>
          </w:p>
          <w:p w14:paraId="106E8F6F" w14:textId="77777777" w:rsidR="00CF25C0" w:rsidRDefault="0091010E">
            <w:pPr>
              <w:pStyle w:val="TextA"/>
              <w:jc w:val="left"/>
              <w:rPr>
                <w:rStyle w:val="Ohne"/>
                <w:sz w:val="20"/>
                <w:szCs w:val="20"/>
              </w:rPr>
            </w:pPr>
            <w:hyperlink r:id="rId63" w:history="1">
              <w:proofErr w:type="spellStart"/>
              <w:r>
                <w:rPr>
                  <w:rStyle w:val="Hyperlink7"/>
                  <w:sz w:val="20"/>
                  <w:szCs w:val="20"/>
                </w:rPr>
                <w:t>P.Petaus</w:t>
              </w:r>
              <w:proofErr w:type="spellEnd"/>
              <w:r>
                <w:rPr>
                  <w:rStyle w:val="Hyperlink7"/>
                  <w:sz w:val="20"/>
                  <w:szCs w:val="20"/>
                </w:rPr>
                <w:t xml:space="preserve"> 77</w:t>
              </w:r>
            </w:hyperlink>
          </w:p>
          <w:p w14:paraId="7C813C95" w14:textId="77777777" w:rsidR="00CF25C0" w:rsidRDefault="0091010E">
            <w:pPr>
              <w:pStyle w:val="TextA"/>
              <w:jc w:val="left"/>
            </w:pPr>
            <w:hyperlink r:id="rId64" w:history="1">
              <w:proofErr w:type="spellStart"/>
              <w:r>
                <w:rPr>
                  <w:rStyle w:val="Hyperlink5"/>
                </w:rPr>
                <w:t>P.Petaus</w:t>
              </w:r>
              <w:proofErr w:type="spellEnd"/>
              <w:r>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91010E">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91010E">
            <w:pPr>
              <w:pStyle w:val="TextA"/>
              <w:jc w:val="left"/>
            </w:pPr>
            <w:hyperlink r:id="rId65" w:history="1">
              <w:proofErr w:type="spellStart"/>
              <w:r>
                <w:rPr>
                  <w:rStyle w:val="Hyperlink5"/>
                </w:rPr>
                <w:t>P.Petaus</w:t>
              </w:r>
              <w:proofErr w:type="spellEnd"/>
              <w:r>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91010E">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91010E">
            <w:pPr>
              <w:pStyle w:val="TextA"/>
              <w:jc w:val="center"/>
            </w:pPr>
            <w:r>
              <w:rPr>
                <w:rStyle w:val="Ohne"/>
                <w:sz w:val="20"/>
                <w:szCs w:val="20"/>
                <w:lang w:val="fr-FR"/>
              </w:rPr>
              <w:t>(</w:t>
            </w:r>
            <w:proofErr w:type="spellStart"/>
            <w:r>
              <w:rPr>
                <w:rStyle w:val="Ohne"/>
                <w:sz w:val="20"/>
                <w:szCs w:val="20"/>
                <w:lang w:val="fr-FR"/>
              </w:rPr>
              <w:t>atypical</w:t>
            </w:r>
            <w:proofErr w:type="spell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91010E">
            <w:pPr>
              <w:pStyle w:val="TextA"/>
              <w:jc w:val="left"/>
            </w:pPr>
            <w:hyperlink r:id="rId66" w:history="1">
              <w:proofErr w:type="spellStart"/>
              <w:r>
                <w:rPr>
                  <w:rStyle w:val="Hyperlink5"/>
                </w:rPr>
                <w:t>P.Petaus</w:t>
              </w:r>
              <w:proofErr w:type="spellEnd"/>
              <w:r>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91010E">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91010E">
            <w:pPr>
              <w:pStyle w:val="TextA"/>
              <w:jc w:val="left"/>
            </w:pPr>
            <w:hyperlink r:id="rId67" w:history="1">
              <w:proofErr w:type="spellStart"/>
              <w:r>
                <w:rPr>
                  <w:rStyle w:val="Hyperlink5"/>
                </w:rPr>
                <w:t>P.Petaus</w:t>
              </w:r>
              <w:proofErr w:type="spellEnd"/>
              <w:r>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91010E">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91010E">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91010E">
            <w:pPr>
              <w:pStyle w:val="TextA"/>
              <w:jc w:val="left"/>
            </w:pPr>
            <w:hyperlink r:id="rId69" w:history="1">
              <w:proofErr w:type="spellStart"/>
              <w:r>
                <w:rPr>
                  <w:rStyle w:val="Hyperlink5"/>
                </w:rPr>
                <w:t>P.Petaus</w:t>
              </w:r>
              <w:proofErr w:type="spellEnd"/>
              <w:r>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91010E">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91010E">
            <w:pPr>
              <w:pStyle w:val="TextA"/>
              <w:jc w:val="left"/>
            </w:pPr>
            <w:hyperlink r:id="rId70" w:history="1">
              <w:proofErr w:type="spellStart"/>
              <w:r>
                <w:rPr>
                  <w:rStyle w:val="Hyperlink5"/>
                </w:rPr>
                <w:t>P.Petaus</w:t>
              </w:r>
              <w:proofErr w:type="spellEnd"/>
              <w:r>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91010E">
            <w:pPr>
              <w:pStyle w:val="TextA"/>
              <w:jc w:val="left"/>
            </w:pPr>
            <w:hyperlink r:id="rId71" w:history="1">
              <w:proofErr w:type="spellStart"/>
              <w:r>
                <w:rPr>
                  <w:rStyle w:val="Hyperlink5"/>
                </w:rPr>
                <w:t>P.Petaus</w:t>
              </w:r>
              <w:proofErr w:type="spellEnd"/>
              <w:r>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91010E">
            <w:pPr>
              <w:pStyle w:val="TextA"/>
              <w:jc w:val="left"/>
            </w:pPr>
            <w:hyperlink r:id="rId72" w:history="1">
              <w:proofErr w:type="spellStart"/>
              <w:r>
                <w:rPr>
                  <w:rStyle w:val="Hyperlink5"/>
                </w:rPr>
                <w:t>P.Petaus</w:t>
              </w:r>
              <w:proofErr w:type="spellEnd"/>
              <w:r>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91010E">
            <w:pPr>
              <w:pStyle w:val="TextA"/>
              <w:jc w:val="left"/>
            </w:pPr>
            <w:hyperlink r:id="rId73" w:history="1">
              <w:proofErr w:type="spellStart"/>
              <w:r>
                <w:rPr>
                  <w:rStyle w:val="Hyperlink5"/>
                </w:rPr>
                <w:t>P.Petaus</w:t>
              </w:r>
              <w:proofErr w:type="spellEnd"/>
              <w:r>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91010E">
            <w:pPr>
              <w:pStyle w:val="TextA"/>
              <w:jc w:val="left"/>
            </w:pPr>
            <w:hyperlink r:id="rId74" w:history="1">
              <w:proofErr w:type="spellStart"/>
              <w:r>
                <w:rPr>
                  <w:rStyle w:val="Hyperlink5"/>
                </w:rPr>
                <w:t>P.Petaus</w:t>
              </w:r>
              <w:proofErr w:type="spellEnd"/>
              <w:r>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91010E">
            <w:pPr>
              <w:pStyle w:val="TextA"/>
              <w:jc w:val="left"/>
            </w:pPr>
            <w:hyperlink r:id="rId75" w:history="1">
              <w:proofErr w:type="spellStart"/>
              <w:r>
                <w:rPr>
                  <w:rStyle w:val="Hyperlink5"/>
                </w:rPr>
                <w:t>P.Petaus</w:t>
              </w:r>
              <w:proofErr w:type="spellEnd"/>
              <w:r>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91010E">
            <w:pPr>
              <w:pStyle w:val="TextA"/>
              <w:jc w:val="left"/>
            </w:pPr>
            <w:hyperlink r:id="rId76" w:history="1">
              <w:proofErr w:type="spellStart"/>
              <w:r>
                <w:rPr>
                  <w:rStyle w:val="Hyperlink5"/>
                </w:rPr>
                <w:t>P.Petaus</w:t>
              </w:r>
              <w:proofErr w:type="spellEnd"/>
              <w:r>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91010E">
            <w:pPr>
              <w:pStyle w:val="TextA"/>
              <w:jc w:val="left"/>
            </w:pPr>
            <w:hyperlink r:id="rId77" w:history="1">
              <w:proofErr w:type="spellStart"/>
              <w:r>
                <w:rPr>
                  <w:rStyle w:val="Hyperlink5"/>
                </w:rPr>
                <w:t>P.Petaus</w:t>
              </w:r>
              <w:proofErr w:type="spellEnd"/>
              <w:r>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91010E">
            <w:pPr>
              <w:pStyle w:val="TextA"/>
              <w:jc w:val="left"/>
            </w:pPr>
            <w:hyperlink r:id="rId78" w:history="1">
              <w:proofErr w:type="spellStart"/>
              <w:r>
                <w:rPr>
                  <w:rStyle w:val="Hyperlink5"/>
                </w:rPr>
                <w:t>P.Mich</w:t>
              </w:r>
              <w:proofErr w:type="spellEnd"/>
              <w:r>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91010E">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91010E">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91010E">
            <w:pPr>
              <w:pStyle w:val="TextA"/>
              <w:jc w:val="center"/>
            </w:pPr>
            <w:r>
              <w:rPr>
                <w:rStyle w:val="Ohne"/>
                <w:sz w:val="20"/>
                <w:szCs w:val="20"/>
                <w:lang w:val="fr-FR"/>
              </w:rPr>
              <w:t xml:space="preserve">(abstract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91010E">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91010E">
            <w:pPr>
              <w:pStyle w:val="TextA"/>
              <w:jc w:val="left"/>
            </w:pPr>
            <w:hyperlink r:id="rId80" w:history="1">
              <w:proofErr w:type="spellStart"/>
              <w:r>
                <w:rPr>
                  <w:rStyle w:val="Hyperlink5"/>
                </w:rPr>
                <w:t>P.Petaus</w:t>
              </w:r>
              <w:proofErr w:type="spellEnd"/>
              <w:r>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91010E">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91010E">
            <w:pPr>
              <w:pStyle w:val="TextA"/>
              <w:jc w:val="left"/>
            </w:pPr>
            <w:hyperlink r:id="rId81" w:history="1">
              <w:proofErr w:type="spellStart"/>
              <w:r>
                <w:rPr>
                  <w:rStyle w:val="Hyperlink5"/>
                </w:rPr>
                <w:t>P.Petaus</w:t>
              </w:r>
              <w:proofErr w:type="spellEnd"/>
              <w:r>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91010E">
            <w:pPr>
              <w:pStyle w:val="TextA"/>
              <w:jc w:val="center"/>
            </w:pPr>
            <w:proofErr w:type="spellStart"/>
            <w:r>
              <w:rPr>
                <w:rStyle w:val="Ohne"/>
                <w:sz w:val="20"/>
                <w:szCs w:val="20"/>
                <w:lang w:val="fr-FR"/>
              </w:rPr>
              <w:t>before</w:t>
            </w:r>
            <w:proofErr w:type="spell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91010E">
            <w:pPr>
              <w:pStyle w:val="TextA"/>
              <w:jc w:val="left"/>
            </w:pPr>
            <w:hyperlink r:id="rId82" w:history="1">
              <w:proofErr w:type="spellStart"/>
              <w:r>
                <w:rPr>
                  <w:rStyle w:val="Hyperlink5"/>
                </w:rPr>
                <w:t>P.Gen</w:t>
              </w:r>
              <w:proofErr w:type="spellEnd"/>
              <w:r>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91010E">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91010E">
            <w:pPr>
              <w:pStyle w:val="TextA"/>
              <w:jc w:val="left"/>
            </w:pPr>
            <w:hyperlink r:id="rId83" w:history="1">
              <w:proofErr w:type="spellStart"/>
              <w:r>
                <w:rPr>
                  <w:rStyle w:val="Hyperlink5"/>
                </w:rPr>
                <w:t>P.Petaus</w:t>
              </w:r>
              <w:proofErr w:type="spellEnd"/>
              <w:r>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91010E">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91010E">
            <w:pPr>
              <w:pStyle w:val="TextA"/>
              <w:jc w:val="left"/>
            </w:pPr>
            <w:hyperlink r:id="rId84" w:history="1">
              <w:proofErr w:type="spellStart"/>
              <w:r>
                <w:rPr>
                  <w:rStyle w:val="Hyperlink8"/>
                </w:rPr>
                <w:t>P.Wisc</w:t>
              </w:r>
              <w:proofErr w:type="spellEnd"/>
              <w:r>
                <w:rPr>
                  <w:rStyle w:val="Hyperlink8"/>
                </w:rPr>
                <w:t xml:space="preserve">. 2 85 = SB 8 10193 = </w:t>
              </w:r>
              <w:proofErr w:type="spellStart"/>
              <w:r>
                <w:rPr>
                  <w:rStyle w:val="Hyperlink8"/>
                </w:rPr>
                <w:t>P.Leit</w:t>
              </w:r>
              <w:proofErr w:type="spellEnd"/>
              <w:r>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91010E">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91010E">
            <w:pPr>
              <w:pStyle w:val="TextA"/>
              <w:jc w:val="left"/>
            </w:pPr>
            <w:hyperlink r:id="rId85" w:history="1">
              <w:r>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91010E">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91010E">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91010E">
            <w:pPr>
              <w:pStyle w:val="TextA"/>
              <w:jc w:val="left"/>
            </w:pPr>
            <w:hyperlink r:id="rId86" w:history="1">
              <w:proofErr w:type="spellStart"/>
              <w:r>
                <w:rPr>
                  <w:rStyle w:val="Hyperlink5"/>
                </w:rPr>
                <w:t>P.Oxy</w:t>
              </w:r>
              <w:proofErr w:type="spellEnd"/>
              <w:r>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91010E">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91010E">
            <w:pPr>
              <w:pStyle w:val="TextA"/>
              <w:jc w:val="left"/>
            </w:pPr>
            <w:hyperlink r:id="rId87" w:history="1">
              <w:r>
                <w:rPr>
                  <w:rStyle w:val="Hyperlink1"/>
                </w:rPr>
                <w:t xml:space="preserve">SB 18 13333 = </w:t>
              </w:r>
              <w:proofErr w:type="spellStart"/>
              <w:r>
                <w:rPr>
                  <w:rStyle w:val="Hyperlink1"/>
                </w:rPr>
                <w:t>P.Oxy</w:t>
              </w:r>
              <w:proofErr w:type="spellEnd"/>
              <w:r>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91010E">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91010E">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91010E">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91010E">
            <w:pPr>
              <w:pStyle w:val="TextA"/>
              <w:jc w:val="left"/>
            </w:pPr>
            <w:hyperlink r:id="rId88" w:history="1">
              <w:r>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91010E">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91010E">
            <w:pPr>
              <w:pStyle w:val="TextA"/>
              <w:jc w:val="left"/>
            </w:pPr>
            <w:hyperlink r:id="rId89" w:history="1">
              <w:proofErr w:type="spellStart"/>
              <w:r>
                <w:rPr>
                  <w:rStyle w:val="Hyperlink5"/>
                </w:rPr>
                <w:t>P.Lond</w:t>
              </w:r>
              <w:proofErr w:type="spellEnd"/>
              <w:r>
                <w:rPr>
                  <w:rStyle w:val="Hyperlink5"/>
                </w:rPr>
                <w:t>. 3 1220</w:t>
              </w:r>
            </w:hyperlink>
            <w:r>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91010E">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91010E">
            <w:pPr>
              <w:pStyle w:val="TextA"/>
              <w:jc w:val="left"/>
            </w:pPr>
            <w:hyperlink r:id="rId90" w:history="1">
              <w:proofErr w:type="spellStart"/>
              <w:r>
                <w:rPr>
                  <w:rStyle w:val="Hyperlink5"/>
                </w:rPr>
                <w:t>P.Oxy</w:t>
              </w:r>
              <w:proofErr w:type="spellEnd"/>
              <w:r>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91010E">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91010E">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91010E">
            <w:pPr>
              <w:pStyle w:val="TextA"/>
              <w:jc w:val="left"/>
            </w:pPr>
            <w:hyperlink r:id="rId91" w:history="1">
              <w:r>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91010E">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91010E">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91010E">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91010E">
            <w:pPr>
              <w:pStyle w:val="TextA"/>
              <w:jc w:val="left"/>
            </w:pPr>
            <w:hyperlink r:id="rId92" w:history="1">
              <w:proofErr w:type="spellStart"/>
              <w:r>
                <w:rPr>
                  <w:rStyle w:val="Hyperlink1"/>
                </w:rPr>
                <w:t>P.Oxy</w:t>
              </w:r>
              <w:proofErr w:type="spellEnd"/>
              <w:r>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91010E">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91010E">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91010E">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91010E">
            <w:pPr>
              <w:pStyle w:val="TextA"/>
              <w:jc w:val="left"/>
            </w:pPr>
            <w:hyperlink r:id="rId93" w:history="1">
              <w:proofErr w:type="spellStart"/>
              <w:r>
                <w:rPr>
                  <w:rStyle w:val="Hyperlink5"/>
                </w:rPr>
                <w:t>P.Oxy</w:t>
              </w:r>
              <w:proofErr w:type="spellEnd"/>
              <w:r>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91010E">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91010E">
            <w:pPr>
              <w:pStyle w:val="TextA"/>
              <w:jc w:val="center"/>
            </w:pPr>
            <w:r>
              <w:rPr>
                <w:rStyle w:val="Ohne"/>
                <w:sz w:val="20"/>
                <w:szCs w:val="20"/>
                <w:lang w:val="fr-FR"/>
              </w:rPr>
              <w:t>(</w:t>
            </w:r>
            <w:proofErr w:type="spellStart"/>
            <w:r>
              <w:rPr>
                <w:rStyle w:val="Ohne"/>
                <w:sz w:val="20"/>
                <w:szCs w:val="20"/>
                <w:lang w:val="fr-FR"/>
              </w:rPr>
              <w:t>atypical</w:t>
            </w:r>
            <w:proofErr w:type="spell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91010E">
            <w:pPr>
              <w:pStyle w:val="TextA"/>
              <w:jc w:val="left"/>
            </w:pPr>
            <w:hyperlink r:id="rId94" w:history="1">
              <w:proofErr w:type="spellStart"/>
              <w:r>
                <w:rPr>
                  <w:rStyle w:val="Hyperlink5"/>
                </w:rPr>
                <w:t>P.Oxy</w:t>
              </w:r>
              <w:proofErr w:type="spellEnd"/>
              <w:r>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91010E">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91010E">
            <w:pPr>
              <w:pStyle w:val="TextA"/>
              <w:jc w:val="left"/>
            </w:pPr>
            <w:hyperlink r:id="rId95" w:history="1">
              <w:proofErr w:type="spellStart"/>
              <w:r>
                <w:rPr>
                  <w:rStyle w:val="Hyperlink5"/>
                </w:rPr>
                <w:t>P.Oxy</w:t>
              </w:r>
              <w:proofErr w:type="spellEnd"/>
              <w:r>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91010E">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91010E">
            <w:pPr>
              <w:pStyle w:val="TextA"/>
              <w:jc w:val="left"/>
            </w:pPr>
            <w:hyperlink r:id="rId96" w:history="1">
              <w:proofErr w:type="spellStart"/>
              <w:r>
                <w:rPr>
                  <w:rStyle w:val="Hyperlink5"/>
                </w:rPr>
                <w:t>P.Oxy</w:t>
              </w:r>
              <w:proofErr w:type="spellEnd"/>
              <w:r>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91010E">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91010E">
            <w:pPr>
              <w:pStyle w:val="TextA"/>
              <w:jc w:val="left"/>
            </w:pPr>
            <w:hyperlink r:id="rId97" w:history="1">
              <w:proofErr w:type="spellStart"/>
              <w:r>
                <w:rPr>
                  <w:rStyle w:val="Hyperlink5"/>
                </w:rPr>
                <w:t>P.Oxy</w:t>
              </w:r>
              <w:proofErr w:type="spellEnd"/>
              <w:r>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91010E">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91010E">
            <w:pPr>
              <w:pStyle w:val="TextA"/>
              <w:jc w:val="left"/>
            </w:pPr>
            <w:hyperlink r:id="rId98" w:history="1">
              <w:proofErr w:type="spellStart"/>
              <w:r>
                <w:rPr>
                  <w:rStyle w:val="Hyperlink5"/>
                </w:rPr>
                <w:t>P.Oxy</w:t>
              </w:r>
              <w:proofErr w:type="spellEnd"/>
              <w:r>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91010E">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91010E">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91010E">
            <w:pPr>
              <w:pStyle w:val="TextA"/>
              <w:jc w:val="left"/>
            </w:pPr>
            <w:hyperlink r:id="rId99" w:history="1">
              <w:proofErr w:type="spellStart"/>
              <w:r>
                <w:rPr>
                  <w:rStyle w:val="Hyperlink5"/>
                </w:rPr>
                <w:t>P.Oxy</w:t>
              </w:r>
              <w:proofErr w:type="spellEnd"/>
              <w:r>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91010E">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91010E">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91010E">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91010E">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91010E">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91010E">
            <w:pPr>
              <w:pStyle w:val="TextA"/>
              <w:jc w:val="left"/>
            </w:pPr>
            <w:hyperlink r:id="rId101" w:history="1">
              <w:proofErr w:type="spellStart"/>
              <w:r>
                <w:rPr>
                  <w:rStyle w:val="Hyperlink5"/>
                </w:rPr>
                <w:t>P.Lips</w:t>
              </w:r>
              <w:proofErr w:type="spellEnd"/>
              <w:r>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91010E">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91010E">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91010E">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91010E">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91010E">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91010E">
            <w:pPr>
              <w:pStyle w:val="TextA"/>
              <w:jc w:val="left"/>
              <w:rPr>
                <w:rStyle w:val="Ohne"/>
                <w:sz w:val="20"/>
                <w:szCs w:val="20"/>
              </w:rPr>
            </w:pPr>
            <w:hyperlink r:id="rId103" w:history="1">
              <w:proofErr w:type="spellStart"/>
              <w:r>
                <w:rPr>
                  <w:rStyle w:val="Hyperlink3"/>
                  <w:sz w:val="20"/>
                  <w:szCs w:val="20"/>
                </w:rPr>
                <w:t>P.Flor</w:t>
              </w:r>
              <w:proofErr w:type="spellEnd"/>
              <w:r>
                <w:rPr>
                  <w:rStyle w:val="Hyperlink3"/>
                  <w:sz w:val="20"/>
                  <w:szCs w:val="20"/>
                </w:rPr>
                <w:t>. 1 2 Col. 2</w:t>
              </w:r>
            </w:hyperlink>
          </w:p>
          <w:p w14:paraId="1B83C0AB" w14:textId="77777777" w:rsidR="00CF25C0" w:rsidRDefault="0091010E">
            <w:pPr>
              <w:pStyle w:val="TextA"/>
              <w:jc w:val="left"/>
              <w:rPr>
                <w:rStyle w:val="Ohne"/>
                <w:sz w:val="20"/>
                <w:szCs w:val="20"/>
              </w:rPr>
            </w:pPr>
            <w:hyperlink r:id="rId104" w:history="1">
              <w:proofErr w:type="spellStart"/>
              <w:r>
                <w:rPr>
                  <w:rStyle w:val="Hyperlink3"/>
                  <w:sz w:val="20"/>
                  <w:szCs w:val="20"/>
                </w:rPr>
                <w:t>P.Flor</w:t>
              </w:r>
              <w:proofErr w:type="spellEnd"/>
              <w:r>
                <w:rPr>
                  <w:rStyle w:val="Hyperlink3"/>
                  <w:sz w:val="20"/>
                  <w:szCs w:val="20"/>
                </w:rPr>
                <w:t>. 1 2 Col. 3</w:t>
              </w:r>
            </w:hyperlink>
          </w:p>
          <w:p w14:paraId="2883103A" w14:textId="77777777" w:rsidR="00CF25C0" w:rsidRDefault="0091010E">
            <w:pPr>
              <w:pStyle w:val="TextA"/>
              <w:jc w:val="left"/>
              <w:rPr>
                <w:rStyle w:val="Ohne"/>
                <w:sz w:val="20"/>
                <w:szCs w:val="20"/>
              </w:rPr>
            </w:pPr>
            <w:hyperlink r:id="rId105" w:history="1">
              <w:proofErr w:type="spellStart"/>
              <w:r>
                <w:rPr>
                  <w:rStyle w:val="Hyperlink3"/>
                  <w:sz w:val="20"/>
                  <w:szCs w:val="20"/>
                </w:rPr>
                <w:t>P.Flor</w:t>
              </w:r>
              <w:proofErr w:type="spellEnd"/>
              <w:r>
                <w:rPr>
                  <w:rStyle w:val="Hyperlink3"/>
                  <w:sz w:val="20"/>
                  <w:szCs w:val="20"/>
                </w:rPr>
                <w:t>. 1 2 Col. 4</w:t>
              </w:r>
            </w:hyperlink>
          </w:p>
          <w:p w14:paraId="47124C13" w14:textId="77777777" w:rsidR="00CF25C0" w:rsidRDefault="0091010E">
            <w:pPr>
              <w:pStyle w:val="TextA"/>
              <w:jc w:val="left"/>
            </w:pPr>
            <w:hyperlink r:id="rId106" w:history="1">
              <w:proofErr w:type="spellStart"/>
              <w:r>
                <w:rPr>
                  <w:rStyle w:val="Hyperlink2"/>
                </w:rPr>
                <w:t>P.Flor</w:t>
              </w:r>
              <w:proofErr w:type="spellEnd"/>
              <w:r>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91010E">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91010E">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91010E">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91010E">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91010E">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91010E">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91010E">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91010E">
            <w:pPr>
              <w:pStyle w:val="TextA"/>
              <w:jc w:val="center"/>
            </w:pPr>
            <w:r>
              <w:rPr>
                <w:rStyle w:val="Ohne"/>
                <w:sz w:val="20"/>
                <w:szCs w:val="20"/>
              </w:rPr>
              <w:t>(letter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91010E">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91010E">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91010E">
            <w:pPr>
              <w:pStyle w:val="TextA"/>
              <w:jc w:val="left"/>
              <w:rPr>
                <w:rStyle w:val="Ohne"/>
                <w:sz w:val="20"/>
                <w:szCs w:val="20"/>
              </w:rPr>
            </w:pPr>
            <w:hyperlink r:id="rId110" w:history="1">
              <w:proofErr w:type="spellStart"/>
              <w:r>
                <w:rPr>
                  <w:rStyle w:val="Hyperlink3"/>
                  <w:sz w:val="20"/>
                  <w:szCs w:val="20"/>
                </w:rPr>
                <w:t>P.Flor</w:t>
              </w:r>
              <w:proofErr w:type="spellEnd"/>
              <w:r>
                <w:rPr>
                  <w:rStyle w:val="Hyperlink3"/>
                  <w:sz w:val="20"/>
                  <w:szCs w:val="20"/>
                </w:rPr>
                <w:t>. 1 2 Col. 9</w:t>
              </w:r>
            </w:hyperlink>
          </w:p>
          <w:p w14:paraId="762F41E8" w14:textId="77777777" w:rsidR="00CF25C0" w:rsidRDefault="0091010E">
            <w:pPr>
              <w:pStyle w:val="TextA"/>
              <w:jc w:val="left"/>
            </w:pPr>
            <w:hyperlink r:id="rId111" w:history="1">
              <w:proofErr w:type="spellStart"/>
              <w:r>
                <w:rPr>
                  <w:rStyle w:val="Hyperlink2"/>
                </w:rPr>
                <w:t>P.Flor</w:t>
              </w:r>
              <w:proofErr w:type="spellEnd"/>
              <w:r>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91010E">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91010E">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91010E">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91010E">
            <w:pPr>
              <w:pStyle w:val="TextA"/>
              <w:jc w:val="left"/>
            </w:pPr>
            <w:hyperlink r:id="rId113" w:history="1">
              <w:proofErr w:type="spellStart"/>
              <w:r>
                <w:rPr>
                  <w:rStyle w:val="Hyperlink5"/>
                </w:rPr>
                <w:t>P.Oxy</w:t>
              </w:r>
              <w:proofErr w:type="spellEnd"/>
              <w:r>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91010E">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91010E">
            <w:pPr>
              <w:pStyle w:val="TextA"/>
              <w:jc w:val="left"/>
            </w:pPr>
            <w:hyperlink r:id="rId114" w:history="1">
              <w:proofErr w:type="spellStart"/>
              <w:r>
                <w:rPr>
                  <w:rStyle w:val="Hyperlink5"/>
                </w:rPr>
                <w:t>P.Oxy</w:t>
              </w:r>
              <w:proofErr w:type="spellEnd"/>
              <w:r>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91010E">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91010E">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91010E">
            <w:pPr>
              <w:pStyle w:val="TextA"/>
              <w:jc w:val="left"/>
            </w:pPr>
            <w:hyperlink r:id="rId115" w:history="1">
              <w:r>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91010E">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91010E">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91010E">
            <w:pPr>
              <w:pStyle w:val="TextA"/>
              <w:jc w:val="left"/>
            </w:pPr>
            <w:hyperlink r:id="rId116" w:history="1">
              <w:proofErr w:type="spellStart"/>
              <w:r>
                <w:rPr>
                  <w:rStyle w:val="Hyperlink5"/>
                </w:rPr>
                <w:t>P.Oxy</w:t>
              </w:r>
              <w:proofErr w:type="spellEnd"/>
              <w:r>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91010E">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91010E">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91010E">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91010E">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91010E">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91010E">
      <w:pPr>
        <w:pStyle w:val="TextA"/>
      </w:pPr>
      <w:r>
        <w:t>In spite of this diversity, and of the fact that not every aspe</w:t>
      </w:r>
      <w:r>
        <w:t>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w:t>
      </w:r>
      <w:r>
        <w:t xml:space="preserve">nance (esp. </w:t>
      </w:r>
      <w:proofErr w:type="spellStart"/>
      <w:r>
        <w:t>Arsinoite</w:t>
      </w:r>
      <w:proofErr w:type="spellEnd"/>
      <w:r>
        <w:t xml:space="preserve"> vs. other </w:t>
      </w:r>
      <w:proofErr w:type="spellStart"/>
      <w:r>
        <w:t>nomes</w:t>
      </w:r>
      <w:proofErr w:type="spellEnd"/>
      <w:r>
        <w:t>).</w:t>
      </w:r>
    </w:p>
    <w:p w14:paraId="19E87AF9" w14:textId="77777777" w:rsidR="00CF25C0" w:rsidRDefault="0091010E">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w:t>
      </w:r>
      <w:r>
        <w:t>ining to liturgy were, on a standard basis, prepared in the demotic style format in other parts of Egypt.</w:t>
      </w:r>
    </w:p>
    <w:p w14:paraId="06C2509E" w14:textId="77777777" w:rsidR="00CF25C0" w:rsidRDefault="0091010E">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w:t>
      </w:r>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w:t>
      </w:r>
      <w:r>
        <w:t xml:space="preserve">display the characteristic shape of the sheet that is still attested more than a century later in the same </w:t>
      </w:r>
      <w:proofErr w:type="spellStart"/>
      <w:r>
        <w:t>nome</w:t>
      </w:r>
      <w:proofErr w:type="spellEnd"/>
      <w:r>
        <w:t>.</w:t>
      </w:r>
    </w:p>
    <w:p w14:paraId="679B6CAD" w14:textId="77777777" w:rsidR="00CF25C0" w:rsidRDefault="0091010E">
      <w:pPr>
        <w:pStyle w:val="TextA"/>
      </w:pPr>
      <w:r>
        <w:t xml:space="preserve">In a broader perspective, the dimensions of these two documents are also similar to some of the so-called private protocols from </w:t>
      </w:r>
      <w:proofErr w:type="spellStart"/>
      <w:r>
        <w:t>Oxyrhynchus</w:t>
      </w:r>
      <w:proofErr w:type="spellEnd"/>
      <w:r>
        <w:t>, i</w:t>
      </w:r>
      <w:r>
        <w:t>.e.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w:t>
      </w:r>
      <w:r>
        <w:t>ird centuries CE.</w:t>
      </w:r>
      <w:r>
        <w:rPr>
          <w:rStyle w:val="Ohne"/>
          <w:rFonts w:eastAsia="Times New Roman" w:cs="Times New Roman"/>
          <w:vertAlign w:val="superscript"/>
        </w:rPr>
        <w:footnoteReference w:id="24"/>
      </w:r>
    </w:p>
    <w:p w14:paraId="50A51A4A" w14:textId="77777777" w:rsidR="00CF25C0" w:rsidRDefault="0091010E">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w:t>
      </w:r>
      <w:r>
        <w:t xml:space="preserve">her the scribe left a space for the </w:t>
      </w:r>
      <w:proofErr w:type="spellStart"/>
      <w:r>
        <w:rPr>
          <w:rStyle w:val="Ohne"/>
          <w:i/>
          <w:iCs/>
        </w:rPr>
        <w:t>strategos</w:t>
      </w:r>
      <w:proofErr w:type="spellEnd"/>
      <w:r>
        <w:t xml:space="preserve"> to add his approval, or the space was actually filled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w:t>
      </w:r>
      <w:r>
        <w:t xml:space="preserve">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91010E">
      <w:pPr>
        <w:pStyle w:val="TextA"/>
      </w:pPr>
      <w:hyperlink r:id="rId119" w:history="1">
        <w:r>
          <w:rPr>
            <w:rStyle w:val="Hyperlink10"/>
          </w:rPr>
          <w:t>BGU 7 1566</w:t>
        </w:r>
      </w:hyperlink>
      <w:r>
        <w:rPr>
          <w:rStyle w:val="Ohne"/>
          <w:lang w:val="fr-FR"/>
        </w:rPr>
        <w:t xml:space="preserve"> (198-209, </w:t>
      </w:r>
      <w:proofErr w:type="spellStart"/>
      <w:r>
        <w:rPr>
          <w:rStyle w:val="Ohne"/>
          <w:lang w:val="fr-FR"/>
        </w:rPr>
        <w:t>Cynopolite</w:t>
      </w:r>
      <w:proofErr w:type="spellEnd"/>
      <w:r>
        <w:rPr>
          <w:rStyle w:val="Ohne"/>
          <w:lang w:val="fr-FR"/>
        </w:rPr>
        <w:t xml:space="preserve"> nome) </w:t>
      </w:r>
      <w:proofErr w:type="spellStart"/>
      <w:r>
        <w:rPr>
          <w:rStyle w:val="Ohne"/>
          <w:lang w:val="fr-FR"/>
        </w:rPr>
        <w:t>deserves</w:t>
      </w:r>
      <w:proofErr w:type="spellEnd"/>
      <w:r>
        <w:rPr>
          <w:rStyle w:val="Ohne"/>
          <w:lang w:val="fr-FR"/>
        </w:rPr>
        <w:t xml:space="preserve"> a </w:t>
      </w:r>
      <w:proofErr w:type="spellStart"/>
      <w:r>
        <w:rPr>
          <w:rStyle w:val="Ohne"/>
          <w:lang w:val="fr-FR"/>
        </w:rPr>
        <w:t>special</w:t>
      </w:r>
      <w:proofErr w:type="spellEnd"/>
      <w:r>
        <w:rPr>
          <w:rStyle w:val="Ohne"/>
          <w:lang w:val="fr-FR"/>
        </w:rPr>
        <w:t xml:space="preserve"> mention. </w:t>
      </w:r>
      <w:r>
        <w:rPr>
          <w:rStyle w:val="Ohne"/>
        </w:rPr>
        <w:t xml:space="preserve">The papyrus was lost, presumably destroyed during World War II, and its dimensions are not given in the edition. The editor, however, recorded in </w:t>
      </w:r>
      <w:r>
        <w:rPr>
          <w:rStyle w:val="Ohne"/>
        </w:rPr>
        <w:t xml:space="preserve">1926 the presence of a date at the top of the sheet: </w:t>
      </w:r>
      <w:proofErr w:type="spellStart"/>
      <w:r>
        <w:rPr>
          <w:rStyle w:val="Ohne"/>
          <w:rFonts w:ascii="Arial Unicode MS" w:hAnsi="Arial Unicode MS"/>
        </w:rPr>
        <w:t>Ἁ</w:t>
      </w:r>
      <w:r>
        <w:rPr>
          <w:rStyle w:val="Ohne"/>
        </w:rPr>
        <w:t>θ</w:t>
      </w:r>
      <w:r>
        <w:rPr>
          <w:rStyle w:val="Ohne"/>
          <w:rFonts w:ascii="Arial Unicode MS" w:hAnsi="Arial Unicode MS"/>
        </w:rPr>
        <w:t>ὺ</w:t>
      </w:r>
      <w:r>
        <w:rPr>
          <w:rStyle w:val="Ohne"/>
        </w:rPr>
        <w:t>ρ</w:t>
      </w:r>
      <w:proofErr w:type="spellEnd"/>
      <w:r>
        <w:rPr>
          <w:rStyle w:val="Ohne"/>
        </w:rPr>
        <w:t xml:space="preserve"> ζ [ . A comparison with </w:t>
      </w:r>
      <w:r>
        <w:rPr>
          <w:rStyle w:val="Ohne"/>
          <w:b/>
          <w:bCs/>
        </w:rPr>
        <w:t>10</w:t>
      </w:r>
      <w:r>
        <w:rPr>
          <w:rStyle w:val="Ohne"/>
        </w:rPr>
        <w:t xml:space="preserve"> = </w:t>
      </w:r>
      <w:hyperlink r:id="rId120" w:history="1">
        <w:proofErr w:type="spellStart"/>
        <w:r>
          <w:rPr>
            <w:rStyle w:val="Hyperlink4"/>
          </w:rPr>
          <w:t>P.Oxy</w:t>
        </w:r>
        <w:proofErr w:type="spellEnd"/>
        <w:r>
          <w:rPr>
            <w:rStyle w:val="Hyperlink4"/>
          </w:rPr>
          <w:t>. 10 1254</w:t>
        </w:r>
      </w:hyperlink>
      <w:r>
        <w:rPr>
          <w:rStyle w:val="Ohne"/>
        </w:rPr>
        <w:t xml:space="preserve"> (260, also from the </w:t>
      </w:r>
      <w:proofErr w:type="spellStart"/>
      <w:r>
        <w:rPr>
          <w:rStyle w:val="Ohne"/>
        </w:rPr>
        <w:t>Cynopolite</w:t>
      </w:r>
      <w:proofErr w:type="spellEnd"/>
      <w:r>
        <w:rPr>
          <w:rStyle w:val="Ohne"/>
        </w:rPr>
        <w:t xml:space="preserve"> </w:t>
      </w:r>
      <w:proofErr w:type="spellStart"/>
      <w:r>
        <w:rPr>
          <w:rStyle w:val="Ohne"/>
        </w:rPr>
        <w:t>nome</w:t>
      </w:r>
      <w:proofErr w:type="spellEnd"/>
      <w:r>
        <w:rPr>
          <w:rStyle w:val="Ohne"/>
        </w:rPr>
        <w:t xml:space="preserve">) suggests that the </w:t>
      </w:r>
      <w:r>
        <w:rPr>
          <w:rStyle w:val="Ohne"/>
        </w:rPr>
        <w:lastRenderedPageBreak/>
        <w:t xml:space="preserve">top of </w:t>
      </w:r>
      <w:hyperlink r:id="rId121" w:history="1">
        <w:r>
          <w:rPr>
            <w:rStyle w:val="Hyperlink4"/>
          </w:rPr>
          <w:t>BGU 7 1</w:t>
        </w:r>
        <w:r>
          <w:rPr>
            <w:rStyle w:val="Hyperlink4"/>
          </w:rPr>
          <w:t>566</w:t>
        </w:r>
      </w:hyperlink>
      <w:r>
        <w:rPr>
          <w:rStyle w:val="Ohne"/>
        </w:rPr>
        <w:t xml:space="preserve"> was missing: it should have contained the approval by the </w:t>
      </w:r>
      <w:proofErr w:type="spellStart"/>
      <w:r>
        <w:rPr>
          <w:rStyle w:val="Ohne"/>
          <w:i/>
          <w:iCs/>
        </w:rPr>
        <w:t>strategos</w:t>
      </w:r>
      <w:proofErr w:type="spellEnd"/>
      <w:r>
        <w:rPr>
          <w:rStyle w:val="Ohne"/>
        </w:rPr>
        <w:t xml:space="preserve">, which is still preserved in </w:t>
      </w:r>
      <w:hyperlink r:id="rId122" w:history="1">
        <w:proofErr w:type="spellStart"/>
        <w:r>
          <w:rPr>
            <w:rStyle w:val="Hyperlink4"/>
          </w:rPr>
          <w:t>P.Oxy</w:t>
        </w:r>
        <w:proofErr w:type="spellEnd"/>
        <w:r>
          <w:rPr>
            <w:rStyle w:val="Hyperlink4"/>
          </w:rPr>
          <w:t>. 10 1254</w:t>
        </w:r>
      </w:hyperlink>
      <w:r>
        <w:rPr>
          <w:rStyle w:val="Ohne"/>
        </w:rPr>
        <w:t>.1-13 and ends with a date (</w:t>
      </w:r>
      <w:proofErr w:type="spellStart"/>
      <w:r>
        <w:rPr>
          <w:rStyle w:val="Ohne"/>
        </w:rPr>
        <w:t>Χοί</w:t>
      </w:r>
      <w:proofErr w:type="spellEnd"/>
      <w:r>
        <w:rPr>
          <w:rStyle w:val="Ohne"/>
        </w:rPr>
        <w:t xml:space="preserve">ακ α). Therefore, the procedure by which the </w:t>
      </w:r>
      <w:proofErr w:type="spellStart"/>
      <w:r>
        <w:rPr>
          <w:rStyle w:val="Ohne"/>
          <w:i/>
          <w:iCs/>
        </w:rPr>
        <w:t>strategos</w:t>
      </w:r>
      <w:proofErr w:type="spellEnd"/>
      <w:r>
        <w:rPr>
          <w:rStyle w:val="Ohne"/>
        </w:rPr>
        <w:t xml:space="preserve"> added a </w:t>
      </w:r>
      <w:r>
        <w:rPr>
          <w:rStyle w:val="Ohne"/>
        </w:rPr>
        <w:t xml:space="preserve">note at the top of the nomination, effectively turning it into an approval, could already have been in force in the early third century. </w:t>
      </w:r>
      <w:hyperlink r:id="rId123" w:history="1">
        <w:proofErr w:type="spellStart"/>
        <w:r>
          <w:rPr>
            <w:rStyle w:val="Hyperlink4"/>
          </w:rPr>
          <w:t>P.Wisc</w:t>
        </w:r>
        <w:proofErr w:type="spellEnd"/>
        <w:r>
          <w:rPr>
            <w:rStyle w:val="Hyperlink4"/>
          </w:rPr>
          <w:t>. 2 85</w:t>
        </w:r>
      </w:hyperlink>
      <w:r>
        <w:rPr>
          <w:rStyle w:val="Ohne"/>
        </w:rPr>
        <w:t>, mentioned above, would then be dated to 197 (rather than 226)</w:t>
      </w:r>
      <w:r>
        <w:rPr>
          <w:rStyle w:val="Ohne"/>
        </w:rPr>
        <w:t xml:space="preserve">, and the change of practice would have taken place shortly thereafter, as attested by </w:t>
      </w:r>
      <w:hyperlink r:id="rId124" w:history="1">
        <w:r>
          <w:rPr>
            <w:rStyle w:val="Hyperlink4"/>
          </w:rPr>
          <w:t>BGU 7 1566</w:t>
        </w:r>
      </w:hyperlink>
      <w:r>
        <w:rPr>
          <w:rStyle w:val="Ohne"/>
        </w:rPr>
        <w:t xml:space="preserve">. Incidentally, since the latter can be identified as a fragmentary approval of nomination, it could be added to </w:t>
      </w:r>
      <w:proofErr w:type="spellStart"/>
      <w:r>
        <w:rPr>
          <w:rStyle w:val="Ohne"/>
        </w:rPr>
        <w:t>St</w:t>
      </w:r>
      <w:r>
        <w:rPr>
          <w:rStyle w:val="Ohne"/>
        </w:rPr>
        <w:t>roppa’s</w:t>
      </w:r>
      <w:proofErr w:type="spellEnd"/>
      <w:r>
        <w:rPr>
          <w:rStyle w:val="Ohne"/>
        </w:rPr>
        <w:t xml:space="preserve"> list of “</w:t>
      </w:r>
      <w:proofErr w:type="spellStart"/>
      <w:r>
        <w:rPr>
          <w:rStyle w:val="Ohne"/>
        </w:rPr>
        <w:t>bandi</w:t>
      </w:r>
      <w:proofErr w:type="spellEnd"/>
      <w:r>
        <w:rPr>
          <w:rStyle w:val="Ohne"/>
        </w:rPr>
        <w:t xml:space="preserve"> </w:t>
      </w:r>
      <w:proofErr w:type="spellStart"/>
      <w:r>
        <w:rPr>
          <w:rStyle w:val="Ohne"/>
        </w:rPr>
        <w:t>liturgici</w:t>
      </w:r>
      <w:proofErr w:type="spellEnd"/>
      <w:r>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91010E">
      <w:pPr>
        <w:pStyle w:val="TextA"/>
      </w:pPr>
      <w:r>
        <w:t xml:space="preserve">The evidence from the </w:t>
      </w:r>
      <w:proofErr w:type="spellStart"/>
      <w:r>
        <w:t>Arsinoite</w:t>
      </w:r>
      <w:proofErr w:type="spellEnd"/>
      <w:r>
        <w:t xml:space="preserve"> </w:t>
      </w:r>
      <w:proofErr w:type="spellStart"/>
      <w:r>
        <w:t>nome</w:t>
      </w:r>
      <w:proofErr w:type="spellEnd"/>
      <w:r>
        <w:t xml:space="preserve"> beco</w:t>
      </w:r>
      <w:r>
        <w:t xml:space="preserve">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w:t>
      </w:r>
      <w:r>
        <w:t>pestein</w:t>
      </w:r>
      <w:proofErr w:type="spellEnd"/>
      <w:r>
        <w:t xml:space="preserve"> noted the following: “3 cm above line 1 minimal remains of two lines of writing (in the second line perhaps ]</w:t>
      </w:r>
      <w:proofErr w:type="spellStart"/>
      <w:r>
        <w:t>ω̣τιω</w:t>
      </w:r>
      <w:proofErr w:type="spell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w:t>
      </w:r>
      <w:r>
        <w:t xml:space="preserve">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77777777" w:rsidR="00CF25C0" w:rsidRDefault="00CF25C0">
      <w:pPr>
        <w:pStyle w:val="TextA"/>
      </w:pPr>
    </w:p>
    <w:p w14:paraId="3109519F" w14:textId="77777777" w:rsidR="00CF25C0" w:rsidRDefault="0091010E">
      <w:pPr>
        <w:pStyle w:val="TextA"/>
        <w:keepNext/>
      </w:pPr>
      <w:r>
        <w:rPr>
          <w:rStyle w:val="Ohne"/>
          <w:i/>
          <w:iCs/>
        </w:rPr>
        <w:t>Conclusion</w:t>
      </w:r>
    </w:p>
    <w:p w14:paraId="4D8D0578" w14:textId="77777777" w:rsidR="00CF25C0" w:rsidRDefault="0091010E">
      <w:pPr>
        <w:pStyle w:val="TextA"/>
      </w:pPr>
      <w:r>
        <w:t xml:space="preserve">To </w:t>
      </w:r>
      <w:proofErr w:type="spellStart"/>
      <w:r>
        <w:t>Stroppa’s</w:t>
      </w:r>
      <w:proofErr w:type="spellEnd"/>
      <w:r>
        <w:t xml:space="preserve"> fundamental contribution to the</w:t>
      </w:r>
      <w:r>
        <w:t xml:space="preserve"> understanding of approvals to liturgy, several points can now be added:</w:t>
      </w:r>
    </w:p>
    <w:p w14:paraId="3617BC17" w14:textId="77777777" w:rsidR="00CF25C0" w:rsidRDefault="0091010E">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with the exception of the </w:t>
      </w:r>
      <w:proofErr w:type="spellStart"/>
      <w:r>
        <w:rPr>
          <w:rStyle w:val="Ohne"/>
          <w:lang w:val="en-US"/>
        </w:rPr>
        <w:t>Arsinoi</w:t>
      </w:r>
      <w:r>
        <w:rPr>
          <w:rStyle w:val="Ohne"/>
          <w:lang w:val="en-US"/>
        </w:rPr>
        <w:t>te</w:t>
      </w:r>
      <w:proofErr w:type="spellEnd"/>
      <w:r>
        <w:rPr>
          <w:rStyle w:val="Ohne"/>
          <w:lang w:val="en-US"/>
        </w:rPr>
        <w:t>. For documents pertaining to liturgy, the demotic style format is in constant use, at least from 138 till 277.</w:t>
      </w:r>
    </w:p>
    <w:p w14:paraId="47977C9F" w14:textId="77777777" w:rsidR="00CF25C0" w:rsidRDefault="0091010E">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w:t>
      </w:r>
      <w:r>
        <w:rPr>
          <w:rStyle w:val="Ohne"/>
          <w:lang w:val="en-US"/>
        </w:rPr>
        <w:t xml:space="preserve">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w:t>
      </w:r>
      <w:r>
        <w:rPr>
          <w:rStyle w:val="Ohne"/>
          <w:lang w:val="en-US"/>
        </w:rPr>
        <w:t>n only speculate about how this was done before the early third century.</w:t>
      </w:r>
    </w:p>
    <w:p w14:paraId="1994B76E" w14:textId="77777777" w:rsidR="00CF25C0" w:rsidRDefault="0091010E">
      <w:pPr>
        <w:pStyle w:val="ListParagraph"/>
        <w:numPr>
          <w:ilvl w:val="0"/>
          <w:numId w:val="4"/>
        </w:numPr>
        <w:rPr>
          <w:rStyle w:val="Ohne"/>
          <w:lang w:val="en-US"/>
        </w:rPr>
      </w:pPr>
      <w:r>
        <w:rPr>
          <w:rStyle w:val="Ohne"/>
          <w:lang w:val="en-US"/>
        </w:rPr>
        <w:t>Starting in the early third century, a consistent cluster of evidence appears, both among nominations and approvals: the scribes who prepare a nomination to liturgy leave an ample mar</w:t>
      </w:r>
      <w:r>
        <w:rPr>
          <w:rStyle w:val="Ohne"/>
          <w:lang w:val="en-US"/>
        </w:rPr>
        <w:t xml:space="preserve">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91010E">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w:t>
      </w:r>
      <w:r>
        <w:rPr>
          <w:rStyle w:val="Ohne"/>
          <w:lang w:val="en-US"/>
        </w:rPr>
        <w:t xml:space="preserve">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liturgies, the scribes adopte</w:t>
      </w:r>
      <w:r>
        <w:rPr>
          <w:rStyle w:val="Ohne"/>
          <w:lang w:val="en-US"/>
        </w:rPr>
        <w:t xml:space="preserv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91010E">
      <w:pPr>
        <w:pStyle w:val="TextA"/>
      </w:pPr>
      <w:r>
        <w:lastRenderedPageBreak/>
        <w:t xml:space="preserve">The model proposed here relies on abundant, but nonetheless patchy evidence. We lack original nominations and approvals for the period </w:t>
      </w:r>
      <w:r>
        <w:t xml:space="preserve">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w:t>
      </w:r>
      <w:r>
        <w:t xml:space="preserve"> refine the model.</w:t>
      </w:r>
    </w:p>
    <w:p w14:paraId="595E15BA" w14:textId="77777777" w:rsidR="00CF25C0" w:rsidRDefault="0091010E">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w:t>
      </w:r>
      <w:r>
        <w:t xml:space="preserve">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w:t>
      </w:r>
      <w:r>
        <w:t>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91010E">
      <w:pPr>
        <w:pStyle w:val="TextA"/>
      </w:pPr>
      <w:r>
        <w:t>A survival of the demotic style format in documents pertaining to liturgy may reflect a conservative trend that endur</w:t>
      </w:r>
      <w:r>
        <w:t xml:space="preserve">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w:t>
      </w:r>
      <w:r>
        <w:t>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91010E">
      <w:pPr>
        <w:pStyle w:val="TextA"/>
        <w:rPr>
          <w:rStyle w:val="Ohne"/>
          <w:b/>
          <w:bCs/>
        </w:rPr>
      </w:pPr>
      <w:r>
        <w:rPr>
          <w:rStyle w:val="Ohne"/>
          <w:b/>
          <w:bCs/>
        </w:rPr>
        <w:t>#bibliography</w:t>
      </w:r>
    </w:p>
    <w:p w14:paraId="4EA35645" w14:textId="77777777" w:rsidR="00CF25C0" w:rsidRDefault="0091010E">
      <w:pPr>
        <w:pStyle w:val="TextA"/>
        <w:rPr>
          <w:rStyle w:val="Ohne"/>
          <w:lang w:val="de-DE"/>
        </w:rPr>
      </w:pPr>
      <w:hyperlink r:id="rId126" w:history="1">
        <w:r>
          <w:rPr>
            <w:rStyle w:val="Hyperlink9"/>
          </w:rPr>
          <w:t>Bagnall, R</w:t>
        </w:r>
        <w:r>
          <w:rPr>
            <w:rStyle w:val="Hyperlink9"/>
          </w:rPr>
          <w:t>. S. (2001)</w:t>
        </w:r>
      </w:hyperlink>
      <w:r>
        <w:rPr>
          <w:rStyle w:val="Ohne"/>
        </w:rPr>
        <w:t xml:space="preserve"> </w:t>
      </w:r>
      <w:proofErr w:type="spellStart"/>
      <w:r>
        <w:rPr>
          <w:rStyle w:val="Ohne"/>
          <w:lang w:val="de-DE"/>
        </w:rPr>
        <w:t>review</w:t>
      </w:r>
      <w:proofErr w:type="spellEnd"/>
      <w:r>
        <w:rPr>
          <w:rStyle w:val="Ohne"/>
          <w:lang w:val="de-DE"/>
        </w:rPr>
        <w:t xml:space="preserve"> </w:t>
      </w:r>
      <w:r>
        <w:rPr>
          <w:rStyle w:val="Ohne"/>
        </w:rPr>
        <w:t xml:space="preserve">of </w:t>
      </w:r>
      <w:proofErr w:type="spellStart"/>
      <w:r>
        <w:rPr>
          <w:rStyle w:val="Ohne"/>
        </w:rPr>
        <w:t>Drecoll</w:t>
      </w:r>
      <w:proofErr w:type="spellEnd"/>
      <w:r>
        <w:rPr>
          <w:rStyle w:val="Ohne"/>
        </w:rPr>
        <w:t xml:space="preserve"> 1997, Gnomon 73: 459-461.</w:t>
      </w:r>
      <w:r>
        <w:rPr>
          <w:rStyle w:val="Ohne"/>
          <w:lang w:val="de-DE"/>
        </w:rPr>
        <w:t xml:space="preserve"> (</w:t>
      </w:r>
      <w:hyperlink r:id="rId127" w:history="1">
        <w:r>
          <w:rPr>
            <w:rStyle w:val="Hyperlink4"/>
          </w:rPr>
          <w:t>https://www.jstor.org/stable/40493597</w:t>
        </w:r>
      </w:hyperlink>
      <w:r>
        <w:rPr>
          <w:rStyle w:val="Ohne"/>
          <w:lang w:val="de-DE"/>
        </w:rPr>
        <w:t>)</w:t>
      </w:r>
    </w:p>
    <w:p w14:paraId="6B316623" w14:textId="77777777" w:rsidR="00CF25C0" w:rsidRDefault="0091010E">
      <w:pPr>
        <w:pStyle w:val="TextA"/>
        <w:rPr>
          <w:rStyle w:val="Ohne"/>
          <w:lang w:val="de-DE"/>
        </w:rPr>
      </w:pPr>
      <w:hyperlink r:id="rId128" w:history="1">
        <w:proofErr w:type="spellStart"/>
        <w:r>
          <w:rPr>
            <w:rStyle w:val="Hyperlink4"/>
          </w:rPr>
          <w:t>Drecoll</w:t>
        </w:r>
        <w:proofErr w:type="spellEnd"/>
        <w:r>
          <w:rPr>
            <w:rStyle w:val="Hyperlink4"/>
          </w:rPr>
          <w:t>, C. (1997)</w:t>
        </w:r>
      </w:hyperlink>
      <w:r>
        <w:rPr>
          <w:rStyle w:val="Ohne"/>
          <w:lang w:val="de-DE"/>
        </w:rPr>
        <w:t xml:space="preserve"> Die Liturgien im rö</w:t>
      </w:r>
      <w:r>
        <w:rPr>
          <w:rStyle w:val="Ohne"/>
          <w:lang w:val="de-DE"/>
        </w:rPr>
        <w:t>mischen Kaiserreich des 3. und 4. Jh. n.Chr. Untersuchung über Zugang, Inhalt und wirtschaftliche Bedeutung der öffentlichen Zwangsdienste in Ägypten und anderen Provinzen. Stuttgart.</w:t>
      </w:r>
    </w:p>
    <w:p w14:paraId="61283B15" w14:textId="77777777" w:rsidR="00CF25C0" w:rsidRDefault="0091010E">
      <w:pPr>
        <w:pStyle w:val="TextA"/>
        <w:rPr>
          <w:rStyle w:val="Ohne"/>
        </w:rPr>
      </w:pPr>
      <w:hyperlink r:id="rId129" w:history="1">
        <w:r>
          <w:rPr>
            <w:rStyle w:val="Hyperlink4"/>
          </w:rPr>
          <w:t>Lewis, N. (1963)</w:t>
        </w:r>
      </w:hyperlink>
      <w:r>
        <w:rPr>
          <w:rStyle w:val="Ohne"/>
        </w:rPr>
        <w:t>, “</w:t>
      </w:r>
      <w:proofErr w:type="spellStart"/>
      <w:r>
        <w:rPr>
          <w:rStyle w:val="Ohne"/>
        </w:rPr>
        <w:t>Leitou</w:t>
      </w:r>
      <w:r>
        <w:rPr>
          <w:rStyle w:val="Ohne"/>
        </w:rPr>
        <w:t>rgia</w:t>
      </w:r>
      <w:proofErr w:type="spellEnd"/>
      <w:r>
        <w:rPr>
          <w:rStyle w:val="Ohne"/>
        </w:rPr>
        <w:t xml:space="preserve"> Papyri: Documents on Compulsory Public Service in Egypt under Roman Rule”, Transactions of the American Philosophical Society 53: 1-39 [= </w:t>
      </w:r>
      <w:proofErr w:type="spellStart"/>
      <w:r>
        <w:rPr>
          <w:rStyle w:val="Ohne"/>
        </w:rPr>
        <w:t>P.Leit</w:t>
      </w:r>
      <w:proofErr w:type="spellEnd"/>
      <w:r>
        <w:rPr>
          <w:rStyle w:val="Ohne"/>
        </w:rPr>
        <w:t>.].</w:t>
      </w:r>
    </w:p>
    <w:p w14:paraId="5F6F83E5" w14:textId="77777777" w:rsidR="00CF25C0" w:rsidRDefault="0091010E">
      <w:pPr>
        <w:pStyle w:val="TextA"/>
        <w:rPr>
          <w:rStyle w:val="Ohne"/>
        </w:rPr>
      </w:pPr>
      <w:hyperlink r:id="rId130" w:history="1">
        <w:r>
          <w:rPr>
            <w:rStyle w:val="Hyperlink4"/>
          </w:rPr>
          <w:t>Lewis, N. (1997)</w:t>
        </w:r>
      </w:hyperlink>
      <w:r>
        <w:rPr>
          <w:rStyle w:val="Ohne"/>
        </w:rPr>
        <w:t xml:space="preserve"> The Compulsory Public Services of Roma</w:t>
      </w:r>
      <w:r>
        <w:rPr>
          <w:rStyle w:val="Ohne"/>
        </w:rPr>
        <w:t xml:space="preserve">n Egypt (Second Edition), </w:t>
      </w:r>
      <w:proofErr w:type="spellStart"/>
      <w:r>
        <w:rPr>
          <w:rStyle w:val="Ohne"/>
        </w:rPr>
        <w:t>Papyrologica</w:t>
      </w:r>
      <w:proofErr w:type="spellEnd"/>
      <w:r>
        <w:rPr>
          <w:rStyle w:val="Ohne"/>
        </w:rPr>
        <w:t xml:space="preserve"> Florentina 28. Firenze.</w:t>
      </w:r>
    </w:p>
    <w:p w14:paraId="5423DE47" w14:textId="77777777" w:rsidR="00CF25C0" w:rsidRDefault="0091010E">
      <w:pPr>
        <w:pStyle w:val="TextA"/>
        <w:rPr>
          <w:rStyle w:val="Ohne"/>
          <w:lang w:val="de-DE"/>
        </w:rPr>
      </w:pPr>
      <w:hyperlink r:id="rId131" w:history="1">
        <w:r>
          <w:rPr>
            <w:rStyle w:val="Hyperlink4"/>
          </w:rPr>
          <w:t>Reiter, F. (2013)</w:t>
        </w:r>
      </w:hyperlink>
      <w:r>
        <w:rPr>
          <w:rStyle w:val="Ohne"/>
        </w:rPr>
        <w:t xml:space="preserve"> “Liturgy, Greco-Roman Egypt”, The Encyclopedia of Ancient History 8: 4117-4119.</w:t>
      </w:r>
      <w:r>
        <w:rPr>
          <w:rStyle w:val="Ohne"/>
          <w:lang w:val="de-DE"/>
        </w:rPr>
        <w:t xml:space="preserve"> (</w:t>
      </w:r>
      <w:hyperlink r:id="rId132" w:history="1">
        <w:r>
          <w:rPr>
            <w:rStyle w:val="Hyperlink4"/>
          </w:rPr>
          <w:t>https://doi.org/10.1002/9781444338386.wbeah07057</w:t>
        </w:r>
      </w:hyperlink>
      <w:r>
        <w:rPr>
          <w:rStyle w:val="Ohne"/>
          <w:lang w:val="de-DE"/>
        </w:rPr>
        <w:t>)</w:t>
      </w:r>
    </w:p>
    <w:p w14:paraId="7F132DD2" w14:textId="77777777" w:rsidR="00CF25C0" w:rsidRDefault="0091010E">
      <w:pPr>
        <w:pStyle w:val="TextA"/>
        <w:rPr>
          <w:rStyle w:val="Ohne"/>
        </w:rPr>
      </w:pPr>
      <w:hyperlink r:id="rId133" w:history="1">
        <w:proofErr w:type="spellStart"/>
        <w:r>
          <w:rPr>
            <w:rStyle w:val="Hyperlink4"/>
          </w:rPr>
          <w:t>Sarri</w:t>
        </w:r>
        <w:proofErr w:type="spellEnd"/>
        <w:r>
          <w:rPr>
            <w:rStyle w:val="Hyperlink4"/>
          </w:rPr>
          <w:t>, A. (2018)</w:t>
        </w:r>
      </w:hyperlink>
      <w:r>
        <w:rPr>
          <w:rStyle w:val="Ohne"/>
        </w:rPr>
        <w:t xml:space="preserve"> Material aspects of letter writing in the Graeco-Roman world. (Berlin and Boston).</w:t>
      </w:r>
    </w:p>
    <w:p w14:paraId="1DD1BDF0" w14:textId="77777777" w:rsidR="00CF25C0" w:rsidRDefault="0091010E">
      <w:pPr>
        <w:pStyle w:val="TextA"/>
        <w:rPr>
          <w:rStyle w:val="Ohne"/>
          <w:lang w:val="de-DE"/>
        </w:rPr>
      </w:pPr>
      <w:hyperlink r:id="rId134" w:history="1">
        <w:r>
          <w:rPr>
            <w:rStyle w:val="Hyperlink4"/>
          </w:rPr>
          <w:t>Sijpesteijn, P. J. (1995)</w:t>
        </w:r>
      </w:hyperlink>
      <w:r>
        <w:rPr>
          <w:rStyle w:val="Ohne"/>
        </w:rPr>
        <w:t xml:space="preserve"> “Known and unknown officials”, ZPE 106: 203-234.</w:t>
      </w:r>
      <w:r>
        <w:rPr>
          <w:rStyle w:val="Ohne"/>
          <w:lang w:val="de-DE"/>
        </w:rPr>
        <w:t xml:space="preserve"> (</w:t>
      </w:r>
      <w:hyperlink r:id="rId135" w:history="1">
        <w:r>
          <w:rPr>
            <w:rStyle w:val="Hyperlink4"/>
          </w:rPr>
          <w:t>https://www.jstor.org/stable/20189314</w:t>
        </w:r>
      </w:hyperlink>
      <w:r>
        <w:rPr>
          <w:rStyle w:val="Ohne"/>
          <w:lang w:val="de-DE"/>
        </w:rPr>
        <w:t>)</w:t>
      </w:r>
    </w:p>
    <w:p w14:paraId="1270625A" w14:textId="77777777" w:rsidR="00CF25C0" w:rsidRDefault="0091010E">
      <w:pPr>
        <w:pStyle w:val="TextA"/>
        <w:rPr>
          <w:rStyle w:val="Ohne"/>
          <w:lang w:val="de-DE"/>
        </w:rPr>
      </w:pPr>
      <w:hyperlink r:id="rId136" w:history="1">
        <w:r>
          <w:rPr>
            <w:rStyle w:val="Hyperlink4"/>
          </w:rPr>
          <w:t>Stroppa, M. (2004)</w:t>
        </w:r>
      </w:hyperlink>
      <w:r>
        <w:rPr>
          <w:rStyle w:val="Ohne"/>
          <w:lang w:val="it-IT"/>
        </w:rPr>
        <w:t xml:space="preserve"> “Il termine π</w:t>
      </w:r>
      <w:proofErr w:type="spellStart"/>
      <w:r>
        <w:rPr>
          <w:rStyle w:val="Ohne"/>
          <w:lang w:val="it-IT"/>
        </w:rPr>
        <w:t>ρ</w:t>
      </w:r>
      <w:r>
        <w:rPr>
          <w:rStyle w:val="Ohne"/>
          <w:lang w:val="it-IT"/>
        </w:rPr>
        <w:t>όγρ</w:t>
      </w:r>
      <w:proofErr w:type="spellEnd"/>
      <w:r>
        <w:rPr>
          <w:rStyle w:val="Ohne"/>
          <w:lang w:val="it-IT"/>
        </w:rPr>
        <w:t>α</w:t>
      </w:r>
      <w:proofErr w:type="spellStart"/>
      <w:r>
        <w:rPr>
          <w:rStyle w:val="Ohne"/>
          <w:lang w:val="it-IT"/>
        </w:rPr>
        <w:t>μμ</w:t>
      </w:r>
      <w:proofErr w:type="spellEnd"/>
      <w:r>
        <w:rPr>
          <w:rStyle w:val="Ohne"/>
          <w:lang w:val="it-IT"/>
        </w:rPr>
        <w:t xml:space="preserve">α nella documentazione papiracea dell’Egitto romano”, </w:t>
      </w:r>
      <w:proofErr w:type="spellStart"/>
      <w:r>
        <w:rPr>
          <w:rStyle w:val="Ohne"/>
          <w:lang w:val="it-IT"/>
        </w:rPr>
        <w:t>Aegyptus</w:t>
      </w:r>
      <w:proofErr w:type="spellEnd"/>
      <w:r>
        <w:rPr>
          <w:rStyle w:val="Ohne"/>
          <w:lang w:val="it-IT"/>
        </w:rPr>
        <w:t xml:space="preserve"> 84: 177-200.</w:t>
      </w:r>
      <w:r>
        <w:rPr>
          <w:rStyle w:val="Ohne"/>
          <w:lang w:val="de-DE"/>
        </w:rPr>
        <w:t xml:space="preserve"> (</w:t>
      </w:r>
      <w:hyperlink r:id="rId137" w:history="1">
        <w:r>
          <w:rPr>
            <w:rStyle w:val="Hyperlink4"/>
          </w:rPr>
          <w:t>https://www.jstor.org/stable/41217410</w:t>
        </w:r>
      </w:hyperlink>
      <w:r>
        <w:rPr>
          <w:rStyle w:val="Ohne"/>
          <w:lang w:val="de-DE"/>
        </w:rPr>
        <w:t>)</w:t>
      </w:r>
    </w:p>
    <w:p w14:paraId="7C79D914" w14:textId="77777777" w:rsidR="00CF25C0" w:rsidRDefault="0091010E">
      <w:pPr>
        <w:pStyle w:val="TextA"/>
        <w:rPr>
          <w:rStyle w:val="Ohne"/>
        </w:rPr>
      </w:pPr>
      <w:hyperlink r:id="rId138" w:history="1">
        <w:proofErr w:type="spellStart"/>
        <w:r>
          <w:rPr>
            <w:rStyle w:val="Hyperlink4"/>
          </w:rPr>
          <w:t>Stroppa</w:t>
        </w:r>
        <w:proofErr w:type="spellEnd"/>
        <w:r>
          <w:rPr>
            <w:rStyle w:val="Hyperlink4"/>
          </w:rPr>
          <w:t>, M. (2017)</w:t>
        </w:r>
      </w:hyperlink>
      <w:r>
        <w:rPr>
          <w:rStyle w:val="Ohne"/>
        </w:rPr>
        <w:t xml:space="preserve"> I </w:t>
      </w:r>
      <w:proofErr w:type="spellStart"/>
      <w:r>
        <w:rPr>
          <w:rStyle w:val="Ohne"/>
        </w:rPr>
        <w:t>bandi</w:t>
      </w:r>
      <w:proofErr w:type="spellEnd"/>
      <w:r>
        <w:rPr>
          <w:rStyle w:val="Ohne"/>
        </w:rPr>
        <w:t xml:space="preserve"> </w:t>
      </w:r>
      <w:proofErr w:type="spellStart"/>
      <w:r>
        <w:rPr>
          <w:rStyle w:val="Ohne"/>
        </w:rPr>
        <w:t>liturgi</w:t>
      </w:r>
      <w:r>
        <w:rPr>
          <w:rStyle w:val="Ohne"/>
        </w:rPr>
        <w:t>ci</w:t>
      </w:r>
      <w:proofErr w:type="spellEnd"/>
      <w:r>
        <w:rPr>
          <w:rStyle w:val="Ohne"/>
        </w:rPr>
        <w:t xml:space="preserve"> </w:t>
      </w:r>
      <w:proofErr w:type="spellStart"/>
      <w:r>
        <w:rPr>
          <w:rStyle w:val="Ohne"/>
        </w:rPr>
        <w:t>nell’Egitto</w:t>
      </w:r>
      <w:proofErr w:type="spellEnd"/>
      <w:r>
        <w:rPr>
          <w:rStyle w:val="Ohne"/>
        </w:rPr>
        <w:t xml:space="preserve"> </w:t>
      </w:r>
      <w:proofErr w:type="spellStart"/>
      <w:r>
        <w:rPr>
          <w:rStyle w:val="Ohne"/>
        </w:rPr>
        <w:t>romano</w:t>
      </w:r>
      <w:proofErr w:type="spellEnd"/>
      <w:r>
        <w:rPr>
          <w:rStyle w:val="Ohne"/>
        </w:rPr>
        <w:t xml:space="preserve">, </w:t>
      </w:r>
      <w:proofErr w:type="spellStart"/>
      <w:r>
        <w:rPr>
          <w:rStyle w:val="Ohne"/>
        </w:rPr>
        <w:t>Edizioni</w:t>
      </w:r>
      <w:proofErr w:type="spellEnd"/>
      <w:r>
        <w:rPr>
          <w:rStyle w:val="Ohne"/>
        </w:rPr>
        <w:t xml:space="preserve"> </w:t>
      </w:r>
      <w:proofErr w:type="spellStart"/>
      <w:r>
        <w:rPr>
          <w:rStyle w:val="Ohne"/>
        </w:rPr>
        <w:t>dell’Istituto</w:t>
      </w:r>
      <w:proofErr w:type="spellEnd"/>
      <w:r>
        <w:rPr>
          <w:rStyle w:val="Ohne"/>
        </w:rPr>
        <w:t xml:space="preserve"> </w:t>
      </w:r>
      <w:proofErr w:type="spellStart"/>
      <w:r>
        <w:rPr>
          <w:rStyle w:val="Ohne"/>
        </w:rPr>
        <w:t>papirologico</w:t>
      </w:r>
      <w:proofErr w:type="spellEnd"/>
      <w:r>
        <w:rPr>
          <w:rStyle w:val="Ohne"/>
        </w:rPr>
        <w:t xml:space="preserve"> “G. Vitelli” 6. Firenze.</w:t>
      </w:r>
    </w:p>
    <w:p w14:paraId="6989D1EB" w14:textId="77777777" w:rsidR="00CF25C0" w:rsidRDefault="0091010E">
      <w:pPr>
        <w:pStyle w:val="TextA"/>
        <w:rPr>
          <w:rStyle w:val="Ohne"/>
          <w:lang w:val="de-DE"/>
        </w:rPr>
      </w:pPr>
      <w:hyperlink r:id="rId139" w:history="1">
        <w:r>
          <w:rPr>
            <w:rStyle w:val="Hyperlink4"/>
          </w:rPr>
          <w:t>Thomas, J. D. (1975)</w:t>
        </w:r>
      </w:hyperlink>
      <w:r>
        <w:rPr>
          <w:rStyle w:val="Ohne"/>
        </w:rPr>
        <w:t xml:space="preserve"> “The introduction of </w:t>
      </w:r>
      <w:proofErr w:type="spellStart"/>
      <w:r>
        <w:rPr>
          <w:rStyle w:val="Ohne"/>
        </w:rPr>
        <w:t>dekaprotoi</w:t>
      </w:r>
      <w:proofErr w:type="spellEnd"/>
      <w:r>
        <w:rPr>
          <w:rStyle w:val="Ohne"/>
        </w:rPr>
        <w:t xml:space="preserve"> and </w:t>
      </w:r>
      <w:proofErr w:type="spellStart"/>
      <w:r>
        <w:rPr>
          <w:rStyle w:val="Ohne"/>
        </w:rPr>
        <w:t>comarchs</w:t>
      </w:r>
      <w:proofErr w:type="spellEnd"/>
      <w:r>
        <w:rPr>
          <w:rStyle w:val="Ohne"/>
        </w:rPr>
        <w:t xml:space="preserve"> into Egypt in the 3rd century A.D.”, ZPE 19: 111-119.</w:t>
      </w:r>
      <w:r>
        <w:rPr>
          <w:rStyle w:val="Ohne"/>
          <w:lang w:val="de-DE"/>
        </w:rPr>
        <w:t xml:space="preserve"> (</w:t>
      </w:r>
      <w:hyperlink r:id="rId140" w:history="1">
        <w:r>
          <w:rPr>
            <w:rStyle w:val="Hyperlink4"/>
          </w:rPr>
          <w:t>https://www.jstor.org/stable/20180948</w:t>
        </w:r>
      </w:hyperlink>
      <w:r>
        <w:rPr>
          <w:rStyle w:val="Ohne"/>
          <w:lang w:val="de-DE"/>
        </w:rPr>
        <w:t>)</w:t>
      </w:r>
    </w:p>
    <w:p w14:paraId="674715BC" w14:textId="77777777" w:rsidR="00CF25C0" w:rsidRDefault="0091010E">
      <w:pPr>
        <w:pStyle w:val="TextA"/>
        <w:rPr>
          <w:rStyle w:val="Ohne"/>
          <w:lang w:val="fr-FR"/>
        </w:rPr>
      </w:pPr>
      <w:hyperlink r:id="rId141" w:history="1">
        <w:proofErr w:type="spellStart"/>
        <w:r>
          <w:rPr>
            <w:rStyle w:val="Hyperlink4"/>
          </w:rPr>
          <w:t>Tomsin</w:t>
        </w:r>
        <w:proofErr w:type="spellEnd"/>
        <w:r>
          <w:rPr>
            <w:rStyle w:val="Hyperlink4"/>
          </w:rPr>
          <w:t>, A. (1952)</w:t>
        </w:r>
      </w:hyperlink>
      <w:r>
        <w:rPr>
          <w:rStyle w:val="Ohne"/>
          <w:lang w:val="fr-FR"/>
        </w:rPr>
        <w:t xml:space="preserve"> Étude sur les π</w:t>
      </w:r>
      <w:proofErr w:type="spellStart"/>
      <w:r>
        <w:rPr>
          <w:rStyle w:val="Ohne"/>
          <w:lang w:val="fr-FR"/>
        </w:rPr>
        <w:t>ρεσ</w:t>
      </w:r>
      <w:proofErr w:type="spellEnd"/>
      <w:r>
        <w:rPr>
          <w:rStyle w:val="Ohne"/>
          <w:lang w:val="fr-FR"/>
        </w:rPr>
        <w:t>β</w:t>
      </w:r>
      <w:proofErr w:type="spellStart"/>
      <w:r>
        <w:rPr>
          <w:rStyle w:val="Ohne"/>
          <w:rFonts w:ascii="Arial Unicode MS" w:hAnsi="Arial Unicode MS"/>
          <w:lang w:val="fr-FR"/>
        </w:rPr>
        <w:t>ύ</w:t>
      </w:r>
      <w:r>
        <w:rPr>
          <w:rStyle w:val="Ohne"/>
          <w:lang w:val="fr-FR"/>
        </w:rPr>
        <w:t>τεροι</w:t>
      </w:r>
      <w:proofErr w:type="spellEnd"/>
      <w:r>
        <w:rPr>
          <w:rStyle w:val="Ohne"/>
          <w:lang w:val="fr-FR"/>
        </w:rPr>
        <w:t xml:space="preserve"> des villages de la </w:t>
      </w:r>
      <w:proofErr w:type="spellStart"/>
      <w:r>
        <w:rPr>
          <w:rStyle w:val="Ohne"/>
          <w:lang w:val="fr-FR"/>
        </w:rPr>
        <w:t>χ</w:t>
      </w:r>
      <w:r>
        <w:rPr>
          <w:rStyle w:val="Ohne"/>
          <w:rFonts w:ascii="Arial Unicode MS" w:hAnsi="Arial Unicode MS"/>
          <w:lang w:val="fr-FR"/>
        </w:rPr>
        <w:t>ώ</w:t>
      </w:r>
      <w:r>
        <w:rPr>
          <w:rStyle w:val="Ohne"/>
          <w:lang w:val="fr-FR"/>
        </w:rPr>
        <w:t>ρ</w:t>
      </w:r>
      <w:proofErr w:type="spellEnd"/>
      <w:r>
        <w:rPr>
          <w:rStyle w:val="Ohne"/>
          <w:lang w:val="fr-FR"/>
        </w:rPr>
        <w:t xml:space="preserve">α égyptienne, Académie Royale de Belgique, </w:t>
      </w:r>
      <w:r>
        <w:rPr>
          <w:rStyle w:val="Ohne"/>
          <w:lang w:val="fr-FR"/>
        </w:rPr>
        <w:t>Bulletin de la classe de lettres 5.38. Bruxelles.</w:t>
      </w:r>
    </w:p>
    <w:p w14:paraId="2D19C6AF" w14:textId="77777777" w:rsidR="00CF25C0" w:rsidRDefault="0091010E">
      <w:pPr>
        <w:pStyle w:val="TextA"/>
        <w:rPr>
          <w:rStyle w:val="Ohne"/>
          <w:lang w:val="de-DE"/>
        </w:rPr>
      </w:pPr>
      <w:hyperlink r:id="rId142" w:history="1">
        <w:r>
          <w:rPr>
            <w:rStyle w:val="Hyperlink4"/>
          </w:rPr>
          <w:t>Wilcken, U. (1906)</w:t>
        </w:r>
      </w:hyperlink>
      <w:r>
        <w:rPr>
          <w:rStyle w:val="Ohne"/>
        </w:rPr>
        <w:t xml:space="preserve"> “</w:t>
      </w:r>
      <w:proofErr w:type="spellStart"/>
      <w:r>
        <w:rPr>
          <w:rStyle w:val="Ohne"/>
        </w:rPr>
        <w:t>Referate</w:t>
      </w:r>
      <w:proofErr w:type="spellEnd"/>
      <w:r>
        <w:rPr>
          <w:rStyle w:val="Ohne"/>
        </w:rPr>
        <w:t xml:space="preserve"> und </w:t>
      </w:r>
      <w:proofErr w:type="spellStart"/>
      <w:r>
        <w:rPr>
          <w:rStyle w:val="Ohne"/>
        </w:rPr>
        <w:t>Besprechungen</w:t>
      </w:r>
      <w:proofErr w:type="spellEnd"/>
      <w:r>
        <w:rPr>
          <w:rStyle w:val="Ohne"/>
        </w:rPr>
        <w:t>”, APF 3: 529-538</w:t>
      </w:r>
      <w:r>
        <w:rPr>
          <w:rStyle w:val="Ohne"/>
          <w:lang w:val="de-DE"/>
        </w:rPr>
        <w:t>. (</w:t>
      </w:r>
      <w:hyperlink r:id="rId143" w:history="1">
        <w:r>
          <w:rPr>
            <w:rStyle w:val="Hyperlink4"/>
          </w:rPr>
          <w:t>https://www</w:t>
        </w:r>
        <w:r>
          <w:rPr>
            <w:rStyle w:val="Hyperlink4"/>
          </w:rPr>
          <w:t>.degruyter.com/document/doi/10.1515/apf.1906.3.4.443/html</w:t>
        </w:r>
      </w:hyperlink>
      <w:r>
        <w:rPr>
          <w:rStyle w:val="Ohne"/>
          <w:lang w:val="de-DE"/>
        </w:rPr>
        <w:t>)</w:t>
      </w:r>
    </w:p>
    <w:p w14:paraId="50E7E4F1" w14:textId="77777777" w:rsidR="00CF25C0" w:rsidRDefault="0091010E">
      <w:pPr>
        <w:pStyle w:val="TextA"/>
        <w:rPr>
          <w:rStyle w:val="Ohne"/>
        </w:rPr>
      </w:pPr>
      <w:hyperlink r:id="rId144" w:history="1">
        <w:proofErr w:type="spellStart"/>
        <w:r>
          <w:rPr>
            <w:rStyle w:val="Hyperlink4"/>
          </w:rPr>
          <w:t>Wilcken</w:t>
        </w:r>
        <w:proofErr w:type="spellEnd"/>
        <w:r>
          <w:rPr>
            <w:rStyle w:val="Hyperlink4"/>
          </w:rPr>
          <w:t>, U. (1908)</w:t>
        </w:r>
      </w:hyperlink>
      <w:r>
        <w:rPr>
          <w:rStyle w:val="Ohne"/>
        </w:rPr>
        <w:t xml:space="preserve"> “Zu den </w:t>
      </w:r>
      <w:proofErr w:type="spellStart"/>
      <w:r>
        <w:rPr>
          <w:rStyle w:val="Ohne"/>
        </w:rPr>
        <w:t>Florentiner</w:t>
      </w:r>
      <w:proofErr w:type="spellEnd"/>
      <w:r>
        <w:rPr>
          <w:rStyle w:val="Ohne"/>
        </w:rPr>
        <w:t xml:space="preserve"> und den </w:t>
      </w:r>
      <w:proofErr w:type="spellStart"/>
      <w:r>
        <w:rPr>
          <w:rStyle w:val="Ohne"/>
        </w:rPr>
        <w:t>Leipziger</w:t>
      </w:r>
      <w:proofErr w:type="spellEnd"/>
      <w:r>
        <w:rPr>
          <w:rStyle w:val="Ohne"/>
        </w:rPr>
        <w:t xml:space="preserve"> Papyri”, APF 4: 423-486.</w:t>
      </w:r>
    </w:p>
    <w:p w14:paraId="6B46C252" w14:textId="77777777" w:rsidR="00CF25C0" w:rsidRDefault="0091010E">
      <w:pPr>
        <w:pStyle w:val="TextA"/>
        <w:rPr>
          <w:rStyle w:val="Ohne"/>
        </w:rPr>
      </w:pPr>
      <w:hyperlink r:id="rId145" w:history="1">
        <w:r>
          <w:rPr>
            <w:rStyle w:val="Hyperlink4"/>
          </w:rPr>
          <w:t>Wolff, H.-J. (1975)</w:t>
        </w:r>
      </w:hyperlink>
      <w:r>
        <w:rPr>
          <w:rStyle w:val="Ohne"/>
        </w:rPr>
        <w:t xml:space="preserve"> “The so-called Private Protocol”, in Proceedings of the XIV International Congress of </w:t>
      </w:r>
      <w:proofErr w:type="spellStart"/>
      <w:r>
        <w:rPr>
          <w:rStyle w:val="Ohne"/>
        </w:rPr>
        <w:t>Papyrologists</w:t>
      </w:r>
      <w:proofErr w:type="spellEnd"/>
      <w:r>
        <w:rPr>
          <w:rStyle w:val="Ohne"/>
        </w:rPr>
        <w:t xml:space="preserve"> (London): 349-354.</w:t>
      </w:r>
    </w:p>
    <w:p w14:paraId="1499BCA7" w14:textId="77777777" w:rsidR="00CF25C0" w:rsidRDefault="0091010E">
      <w:pPr>
        <w:pStyle w:val="TextA"/>
      </w:pPr>
      <w:hyperlink r:id="rId146" w:history="1">
        <w:r>
          <w:rPr>
            <w:rStyle w:val="Hyperlink4"/>
          </w:rPr>
          <w:t>Wolff, H.-J. (1978)</w:t>
        </w:r>
      </w:hyperlink>
      <w:r>
        <w:rPr>
          <w:rStyle w:val="Ohne"/>
          <w:lang w:val="de-DE"/>
        </w:rPr>
        <w:t xml:space="preserve"> Das Recht der griechischen Papyri </w:t>
      </w:r>
      <w:proofErr w:type="spellStart"/>
      <w:r>
        <w:rPr>
          <w:rStyle w:val="Ohne"/>
          <w:lang w:val="de-DE"/>
        </w:rPr>
        <w:t>Ägytens</w:t>
      </w:r>
      <w:proofErr w:type="spellEnd"/>
      <w:r>
        <w:rPr>
          <w:rStyle w:val="Ohne"/>
          <w:lang w:val="de-DE"/>
        </w:rPr>
        <w:t xml:space="preserve"> in der Zeit der </w:t>
      </w:r>
      <w:proofErr w:type="spellStart"/>
      <w:r>
        <w:rPr>
          <w:rStyle w:val="Ohne"/>
          <w:lang w:val="de-DE"/>
        </w:rPr>
        <w:t>Ptolemae</w:t>
      </w:r>
      <w:r>
        <w:rPr>
          <w:rStyle w:val="Ohne"/>
          <w:lang w:val="de-DE"/>
        </w:rPr>
        <w:t>er</w:t>
      </w:r>
      <w:proofErr w:type="spellEnd"/>
      <w:r>
        <w:rPr>
          <w:rStyle w:val="Ohne"/>
          <w:lang w:val="de-DE"/>
        </w:rPr>
        <w:t xml:space="preserve"> und des </w:t>
      </w:r>
      <w:proofErr w:type="spellStart"/>
      <w:r>
        <w:rPr>
          <w:rStyle w:val="Ohne"/>
          <w:lang w:val="de-DE"/>
        </w:rPr>
        <w:t>Prinzipats</w:t>
      </w:r>
      <w:proofErr w:type="spellEnd"/>
      <w:r>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CAAD" w14:textId="77777777" w:rsidR="0091010E" w:rsidRDefault="0091010E">
      <w:r>
        <w:separator/>
      </w:r>
    </w:p>
  </w:endnote>
  <w:endnote w:type="continuationSeparator" w:id="0">
    <w:p w14:paraId="56700437" w14:textId="77777777" w:rsidR="0091010E" w:rsidRDefault="0091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AE9E" w14:textId="77777777" w:rsidR="0091010E" w:rsidRDefault="0091010E">
      <w:r>
        <w:separator/>
      </w:r>
    </w:p>
  </w:footnote>
  <w:footnote w:type="continuationSeparator" w:id="0">
    <w:p w14:paraId="7332905A" w14:textId="77777777" w:rsidR="0091010E" w:rsidRDefault="0091010E">
      <w:r>
        <w:continuationSeparator/>
      </w:r>
    </w:p>
  </w:footnote>
  <w:footnote w:type="continuationNotice" w:id="1">
    <w:p w14:paraId="18F1889D" w14:textId="77777777" w:rsidR="0091010E" w:rsidRDefault="0091010E"/>
  </w:footnote>
  <w:footnote w:id="2">
    <w:p w14:paraId="1BB4ECE5"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91010E">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91010E">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503-505 ; Lewis 1997: 66.</w:t>
      </w:r>
    </w:p>
  </w:footnote>
  <w:footnote w:id="6">
    <w:p w14:paraId="4C374465" w14:textId="77777777" w:rsidR="00CF25C0" w:rsidRDefault="0091010E">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91010E">
      <w:pPr>
        <w:pStyle w:val="FootnoteText"/>
      </w:pPr>
      <w:r>
        <w:rPr>
          <w:rStyle w:val="Ohne"/>
          <w:vertAlign w:val="superscript"/>
          <w:lang w:val="en-US"/>
        </w:rPr>
        <w:footnoteRef/>
      </w:r>
      <w:r>
        <w:rPr>
          <w:rStyle w:val="Ohne"/>
          <w:lang w:val="en-US"/>
        </w:rPr>
        <w:t xml:space="preserve"> A</w:t>
      </w:r>
      <w:r>
        <w:rPr>
          <w:rStyle w:val="Ohne"/>
          <w:lang w:val="en-US"/>
        </w:rPr>
        <w:t xml:space="preserve"> list of oaths of office was provided by Lewis 1997: 117.</w:t>
      </w:r>
    </w:p>
  </w:footnote>
  <w:footnote w:id="9">
    <w:p w14:paraId="7BAE83F2" w14:textId="77777777" w:rsidR="00CF25C0" w:rsidRDefault="0091010E">
      <w:pPr>
        <w:pStyle w:val="FootnoteText"/>
      </w:pPr>
      <w:r>
        <w:rPr>
          <w:rStyle w:val="Ohne"/>
          <w:vertAlign w:val="superscript"/>
          <w:lang w:val="en-US"/>
        </w:rPr>
        <w:footnoteRef/>
      </w:r>
      <w:r>
        <w:rPr>
          <w:rStyle w:val="Ohne"/>
          <w:lang w:val="en-US"/>
        </w:rPr>
        <w:t xml:space="preserve"> Other documents pertaining to liturgy, such as petitions of individuals protesting against their nomination, are not taken into account here because they belong to another kind of procedure altogether.</w:t>
      </w:r>
    </w:p>
  </w:footnote>
  <w:footnote w:id="10">
    <w:p w14:paraId="7108C922" w14:textId="77777777" w:rsidR="00CF25C0" w:rsidRDefault="0091010E">
      <w:pPr>
        <w:pStyle w:val="FootnoteText"/>
      </w:pPr>
      <w:r>
        <w:rPr>
          <w:rStyle w:val="Ohne"/>
          <w:vertAlign w:val="superscript"/>
          <w:lang w:val="en-US"/>
        </w:rPr>
        <w:footnoteRef/>
      </w:r>
      <w:r>
        <w:rPr>
          <w:rStyle w:val="Ohne"/>
          <w:lang w:val="en-US"/>
        </w:rPr>
        <w:t xml:space="preserve"> All dates, unless otherwise stated, are CE. For the</w:t>
      </w:r>
      <w:r>
        <w:rPr>
          <w:rStyle w:val="Ohne"/>
          <w:lang w:val="en-US"/>
        </w:rPr>
        <w:t xml:space="preserv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w:t>
      </w:r>
      <w:r>
        <w:rPr>
          <w:rStyle w:val="Ohne"/>
          <w:lang w:val="en-US"/>
        </w:rPr>
        <w:t xml:space="preserve">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91010E">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w:t>
      </w:r>
      <w:r>
        <w:rPr>
          <w:rStyle w:val="Ohne"/>
          <w:lang w:val="en-US"/>
        </w:rPr>
        <w:t xml:space="preserve">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91010E">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91010E">
      <w:pPr>
        <w:pStyle w:val="FootnoteText"/>
      </w:pPr>
      <w:r>
        <w:rPr>
          <w:rStyle w:val="Ohne"/>
          <w:vertAlign w:val="superscript"/>
          <w:lang w:val="en-US"/>
        </w:rPr>
        <w:footnoteRef/>
      </w:r>
      <w:r>
        <w:rPr>
          <w:rStyle w:val="Ohne"/>
          <w:lang w:val="en-US"/>
        </w:rPr>
        <w:t xml:space="preserve"> The approximate ratios of 0.3 and 0.6 are illustrated in Fig. 2; for a ratio of ca. 0.5, see e.g.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r>
        <w:rPr>
          <w:rStyle w:val="Ohne"/>
          <w:lang w:val="en-US"/>
        </w:rPr>
        <w:t>.</w:t>
      </w:r>
    </w:p>
  </w:footnote>
  <w:footnote w:id="21">
    <w:p w14:paraId="5B4FAA78" w14:textId="77777777" w:rsidR="00CF25C0" w:rsidRDefault="0091010E">
      <w:pPr>
        <w:pStyle w:val="FootnoteText"/>
      </w:pPr>
      <w:r>
        <w:rPr>
          <w:rStyle w:val="Ohne"/>
          <w:vertAlign w:val="superscript"/>
          <w:lang w:val="en-US"/>
        </w:rPr>
        <w:footnoteRef/>
      </w:r>
      <w:r>
        <w:rPr>
          <w:rStyle w:val="Ohne"/>
          <w:lang w:val="en-US"/>
        </w:rPr>
        <w:t xml:space="preserve"> Census declaration: e.g. </w:t>
      </w:r>
      <w:hyperlink r:id="rId2" w:history="1">
        <w:r>
          <w:rPr>
            <w:rStyle w:val="Hyperlink4"/>
          </w:rPr>
          <w:t>BGU 1 53</w:t>
        </w:r>
      </w:hyperlink>
      <w:r>
        <w:rPr>
          <w:rStyle w:val="Ohne"/>
          <w:lang w:val="en-US"/>
        </w:rPr>
        <w:t xml:space="preserve"> (133). Certificate of pagan sacrifice: e.g.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91010E">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r>
          <w:rPr>
            <w:rStyle w:val="Hyperlink4"/>
          </w:rPr>
          <w:t>P.Leit</w:t>
        </w:r>
        <w:proofErr w:type="spellEnd"/>
        <w:r>
          <w:rPr>
            <w:rStyle w:val="Hyperlink4"/>
          </w:rPr>
          <w:t xml:space="preserve">. 1 = SB 8 </w:t>
        </w:r>
        <w:r>
          <w:rPr>
            <w:rStyle w:val="Hyperlink4"/>
          </w:rPr>
          <w:t>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is presumably a draft, and not an original declaration. Lewis 1963: 5: “As the text is undated and indicates neither sender nor addressee, it is presumably a draft rather than the official nomination document.” This hy</w:t>
      </w:r>
      <w:r>
        <w:rPr>
          <w:rStyle w:val="Ohne"/>
          <w:lang w:val="en-US"/>
        </w:rPr>
        <w:t xml:space="preserve">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91010E">
      <w:pPr>
        <w:pStyle w:val="FootnoteText"/>
      </w:pPr>
      <w:r>
        <w:rPr>
          <w:rStyle w:val="Ohne"/>
          <w:vertAlign w:val="superscript"/>
          <w:lang w:val="en-US"/>
        </w:rPr>
        <w:footnoteRef/>
      </w:r>
      <w:r>
        <w:rPr>
          <w:rStyle w:val="Ohne"/>
          <w:lang w:val="de-DE"/>
        </w:rPr>
        <w:t xml:space="preserve"> Wolff 1</w:t>
      </w:r>
      <w:r>
        <w:rPr>
          <w:rStyle w:val="Ohne"/>
          <w:lang w:val="de-DE"/>
        </w:rPr>
        <w:t>975; Wolff 1978:122-127.</w:t>
      </w:r>
    </w:p>
  </w:footnote>
  <w:footnote w:id="24">
    <w:p w14:paraId="1FE724D8" w14:textId="77777777" w:rsidR="00CF25C0" w:rsidRDefault="0091010E">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 </w:t>
      </w:r>
      <w:hyperlink r:id="rId9" w:history="1">
        <w:r>
          <w:rPr>
            <w:rStyle w:val="Hyperlink0"/>
            <w:rFonts w:eastAsia="Arial Unicode MS" w:cs="Arial Unicode MS"/>
          </w:rPr>
          <w:t>3</w:t>
        </w:r>
        <w:r>
          <w:rPr>
            <w:rStyle w:val="Hyperlink0"/>
            <w:rFonts w:eastAsia="Arial Unicode MS" w:cs="Arial Unicode MS"/>
          </w:rPr>
          <w:t> </w:t>
        </w:r>
        <w:r>
          <w:rPr>
            <w:rStyle w:val="Hyperlink0"/>
            <w:rFonts w:eastAsia="Arial Unicode MS" w:cs="Arial Unicode MS"/>
          </w:rPr>
          <w:t xml:space="preserve">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91010E">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91010E">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r>
          <w:rPr>
            <w:rStyle w:val="Hyperlink4"/>
          </w:rPr>
          <w:t>P.Heid</w:t>
        </w:r>
        <w:proofErr w:type="spell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a nomination to liturgy too fragmentary to be listed above, part of the top margin is preserved; but it is not possible to ascertain if it could accomm</w:t>
      </w:r>
      <w:r>
        <w:rPr>
          <w:rStyle w:val="Ohne"/>
          <w:lang w:val="en-US"/>
        </w:rPr>
        <w:t xml:space="preserve">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91010E">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91010E">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91010E"/>
    <w:rsid w:val="00CF2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5312</Words>
  <Characters>30284</Characters>
  <Application>Microsoft Office Word</Application>
  <DocSecurity>0</DocSecurity>
  <Lines>252</Lines>
  <Paragraphs>71</Paragraphs>
  <ScaleCrop>false</ScaleCrop>
  <Company/>
  <LinksUpToDate>false</LinksUpToDate>
  <CharactersWithSpaces>35525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2021-11-19T16:22:00Z</dcterms:created>
  <dcterms:modified xsi:type="dcterms:W3CDTF">2021-11-19T19:08:00Z</dcterms:modified>
</cp:coreProperties>
</file>