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ext"/>
        <w:bidi w:val="0"/>
        <w:ind w:left="0" w:right="0" w:firstLine="0"/>
        <w:jc w:val="left"/>
        <w:rPr>
          <w:rFonts w:ascii="Times New Roman" w:cs="Times New Roman" w:hAnsi="Times New Roman" w:eastAsia="Times New Roman"/>
          <w:color w:val="d9d9d9"/>
          <w:sz w:val="24"/>
          <w:szCs w:val="24"/>
          <w:u w:color="d9d9d9"/>
          <w:rtl w:val="0"/>
        </w:rPr>
      </w:pPr>
      <w:r>
        <w:rPr>
          <w:rFonts w:ascii="Times New Roman" w:hAnsi="Times New Roman"/>
          <w:color w:val="d9d9d9"/>
          <w:sz w:val="24"/>
          <w:szCs w:val="24"/>
          <w:u w:color="d9d9d9"/>
          <w:rtl w:val="0"/>
          <w:lang w:val="en-US"/>
        </w:rPr>
        <w:t>#articleTitle</w:t>
      </w:r>
    </w:p>
    <w:p>
      <w:pPr>
        <w:pStyle w:val="Text"/>
        <w:bidi w:val="0"/>
        <w:ind w:left="0" w:right="0" w:firstLine="0"/>
        <w:jc w:val="left"/>
        <w:rPr>
          <w:rFonts w:ascii="Times New Roman" w:cs="Times New Roman" w:hAnsi="Times New Roman" w:eastAsia="Times New Roman"/>
          <w:b w:val="1"/>
          <w:bCs w:val="1"/>
          <w:sz w:val="24"/>
          <w:szCs w:val="24"/>
          <w:u w:color="000000"/>
          <w:rtl w:val="0"/>
        </w:rPr>
      </w:pPr>
      <w:r>
        <w:rPr>
          <w:rFonts w:ascii="Times New Roman" w:hAnsi="Times New Roman"/>
          <w:b w:val="1"/>
          <w:bCs w:val="1"/>
          <w:sz w:val="24"/>
          <w:szCs w:val="24"/>
          <w:u w:color="000000"/>
          <w:rtl w:val="0"/>
          <w:lang w:val="en-US"/>
        </w:rPr>
        <w:t>The David G. Hogarth Papyri</w:t>
      </w:r>
    </w:p>
    <w:p>
      <w:pPr>
        <w:pStyle w:val="Text"/>
        <w:bidi w:val="0"/>
        <w:ind w:left="0" w:right="0" w:firstLine="0"/>
        <w:jc w:val="left"/>
        <w:rPr>
          <w:rFonts w:ascii="Times New Roman" w:cs="Times New Roman" w:hAnsi="Times New Roman" w:eastAsia="Times New Roman"/>
          <w:color w:val="d9d9d9"/>
          <w:sz w:val="24"/>
          <w:szCs w:val="24"/>
          <w:u w:color="d9d9d9"/>
          <w:rtl w:val="0"/>
        </w:rPr>
      </w:pPr>
      <w:r>
        <w:rPr>
          <w:rFonts w:ascii="Times New Roman" w:hAnsi="Times New Roman"/>
          <w:color w:val="d9d9d9"/>
          <w:sz w:val="24"/>
          <w:szCs w:val="24"/>
          <w:u w:color="d9d9d9"/>
          <w:rtl w:val="0"/>
          <w:lang w:val="en-US"/>
        </w:rPr>
        <w:t>#author</w:t>
      </w:r>
    </w:p>
    <w:p>
      <w:pPr>
        <w:pStyle w:val="Text"/>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it-IT"/>
        </w:rPr>
        <w:t>Sampson, C. Michael</w:t>
      </w:r>
    </w:p>
    <w:p>
      <w:pPr>
        <w:pStyle w:val="Text"/>
        <w:bidi w:val="0"/>
        <w:ind w:left="0" w:right="0" w:firstLine="0"/>
        <w:jc w:val="left"/>
        <w:rPr>
          <w:rFonts w:ascii="Times New Roman" w:cs="Times New Roman" w:hAnsi="Times New Roman" w:eastAsia="Times New Roman"/>
          <w:color w:val="d9d9d9"/>
          <w:sz w:val="24"/>
          <w:szCs w:val="24"/>
          <w:u w:color="d9d9d9"/>
          <w:rtl w:val="0"/>
        </w:rPr>
      </w:pPr>
      <w:r>
        <w:rPr>
          <w:rFonts w:ascii="Times New Roman" w:hAnsi="Times New Roman"/>
          <w:color w:val="d9d9d9"/>
          <w:sz w:val="24"/>
          <w:szCs w:val="24"/>
          <w:u w:color="d9d9d9"/>
          <w:rtl w:val="0"/>
          <w:lang w:val="fr-FR"/>
        </w:rPr>
        <w:t>#affiliation</w:t>
      </w:r>
    </w:p>
    <w:p>
      <w:pPr>
        <w:pStyle w:val="Text"/>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University of Manitoba</w:t>
      </w:r>
    </w:p>
    <w:p>
      <w:pPr>
        <w:pStyle w:val="Text"/>
        <w:bidi w:val="0"/>
        <w:ind w:left="0" w:right="0" w:firstLine="0"/>
        <w:jc w:val="left"/>
        <w:rPr>
          <w:rFonts w:ascii="Times New Roman" w:cs="Times New Roman" w:hAnsi="Times New Roman" w:eastAsia="Times New Roman"/>
          <w:color w:val="d9d9d9"/>
          <w:sz w:val="24"/>
          <w:szCs w:val="24"/>
          <w:u w:color="d9d9d9"/>
          <w:rtl w:val="0"/>
        </w:rPr>
      </w:pPr>
      <w:r>
        <w:rPr>
          <w:rFonts w:ascii="Times New Roman" w:hAnsi="Times New Roman"/>
          <w:color w:val="d9d9d9"/>
          <w:sz w:val="24"/>
          <w:szCs w:val="24"/>
          <w:u w:color="d9d9d9"/>
          <w:rtl w:val="0"/>
          <w:lang w:val="en-US"/>
        </w:rPr>
        <w:t>#email</w:t>
      </w:r>
    </w:p>
    <w:p>
      <w:pPr>
        <w:pStyle w:val="Text"/>
        <w:bidi w:val="0"/>
        <w:ind w:left="0" w:right="0" w:firstLine="0"/>
        <w:jc w:val="left"/>
        <w:rPr>
          <w:rFonts w:ascii="Times New Roman" w:cs="Times New Roman" w:hAnsi="Times New Roman" w:eastAsia="Times New Roman"/>
          <w:sz w:val="24"/>
          <w:szCs w:val="24"/>
          <w:u w:color="000000"/>
          <w:rtl w:val="0"/>
        </w:rPr>
      </w:pPr>
      <w:r>
        <w:rPr>
          <w:rStyle w:val="Hyperlink.0"/>
          <w:rFonts w:ascii="Times New Roman" w:cs="Times New Roman" w:hAnsi="Times New Roman" w:eastAsia="Times New Roman"/>
          <w:sz w:val="24"/>
          <w:szCs w:val="24"/>
          <w:u w:color="000000"/>
          <w:rtl w:val="0"/>
        </w:rPr>
        <w:fldChar w:fldCharType="begin" w:fldLock="0"/>
      </w:r>
      <w:r>
        <w:rPr>
          <w:rStyle w:val="Hyperlink.0"/>
          <w:rFonts w:ascii="Times New Roman" w:cs="Times New Roman" w:hAnsi="Times New Roman" w:eastAsia="Times New Roman"/>
          <w:sz w:val="24"/>
          <w:szCs w:val="24"/>
          <w:u w:color="000000"/>
          <w:rtl w:val="0"/>
        </w:rPr>
        <w:instrText xml:space="preserve"> HYPERLINK "mailto:mike.sampson@umanitoba.ca"</w:instrText>
      </w:r>
      <w:r>
        <w:rPr>
          <w:rStyle w:val="Hyperlink.0"/>
          <w:rFonts w:ascii="Times New Roman" w:cs="Times New Roman" w:hAnsi="Times New Roman" w:eastAsia="Times New Roman"/>
          <w:sz w:val="24"/>
          <w:szCs w:val="24"/>
          <w:u w:color="000000"/>
          <w:rtl w:val="0"/>
        </w:rPr>
        <w:fldChar w:fldCharType="separate" w:fldLock="0"/>
      </w:r>
      <w:r>
        <w:rPr>
          <w:rStyle w:val="Hyperlink.0"/>
          <w:rFonts w:ascii="Times New Roman" w:hAnsi="Times New Roman"/>
          <w:sz w:val="24"/>
          <w:szCs w:val="24"/>
          <w:u w:color="000000"/>
          <w:rtl w:val="0"/>
          <w:lang w:val="en-US"/>
        </w:rPr>
        <w:t>mike.sampson@umanitoba.ca</w:t>
      </w:r>
      <w:r>
        <w:rPr>
          <w:rFonts w:ascii="Times New Roman" w:cs="Times New Roman" w:hAnsi="Times New Roman" w:eastAsia="Times New Roman"/>
          <w:sz w:val="24"/>
          <w:szCs w:val="24"/>
          <w:u w:color="000000"/>
          <w:rtl w:val="0"/>
        </w:rPr>
        <w:fldChar w:fldCharType="end" w:fldLock="0"/>
      </w:r>
    </w:p>
    <w:p>
      <w:pPr>
        <w:pStyle w:val="Text"/>
        <w:bidi w:val="0"/>
        <w:ind w:left="0" w:right="0" w:firstLine="0"/>
        <w:jc w:val="left"/>
        <w:rPr>
          <w:rFonts w:ascii="Times New Roman" w:cs="Times New Roman" w:hAnsi="Times New Roman" w:eastAsia="Times New Roman"/>
          <w:sz w:val="24"/>
          <w:szCs w:val="24"/>
          <w:u w:color="000000"/>
          <w:rtl w:val="0"/>
        </w:rPr>
      </w:pPr>
    </w:p>
    <w:p>
      <w:pPr>
        <w:pStyle w:val="Text"/>
        <w:bidi w:val="0"/>
        <w:ind w:left="0" w:right="0" w:firstLine="0"/>
        <w:jc w:val="left"/>
        <w:rPr>
          <w:rFonts w:ascii="Times New Roman" w:cs="Times New Roman" w:hAnsi="Times New Roman" w:eastAsia="Times New Roman"/>
          <w:color w:val="d9d9d9"/>
          <w:sz w:val="24"/>
          <w:szCs w:val="24"/>
          <w:u w:color="d9d9d9"/>
          <w:rtl w:val="0"/>
        </w:rPr>
      </w:pPr>
      <w:r>
        <w:rPr>
          <w:rFonts w:ascii="Times New Roman" w:hAnsi="Times New Roman"/>
          <w:color w:val="d9d9d9"/>
          <w:sz w:val="24"/>
          <w:szCs w:val="24"/>
          <w:u w:color="d9d9d9"/>
          <w:rtl w:val="0"/>
          <w:lang w:val="en-US"/>
        </w:rPr>
        <w:t>#articleHeader</w:t>
      </w:r>
    </w:p>
    <w:p>
      <w:pPr>
        <w:pStyle w:val="Text"/>
        <w:bidi w:val="0"/>
        <w:spacing w:line="480" w:lineRule="auto"/>
        <w:ind w:left="0" w:right="0" w:firstLine="0"/>
        <w:jc w:val="left"/>
        <w:rPr>
          <w:rFonts w:ascii="Times New Roman" w:cs="Times New Roman" w:hAnsi="Times New Roman" w:eastAsia="Times New Roman"/>
          <w:b w:val="1"/>
          <w:bCs w:val="1"/>
          <w:sz w:val="24"/>
          <w:szCs w:val="24"/>
          <w:u w:color="000000"/>
          <w:rtl w:val="0"/>
        </w:rPr>
      </w:pPr>
      <w:r>
        <w:rPr>
          <w:rFonts w:ascii="Times New Roman" w:hAnsi="Times New Roman"/>
          <w:b w:val="1"/>
          <w:bCs w:val="1"/>
          <w:sz w:val="24"/>
          <w:szCs w:val="24"/>
          <w:u w:color="000000"/>
          <w:rtl w:val="0"/>
          <w:lang w:val="en-US"/>
        </w:rPr>
        <w:t>Postscript: Cataloguing Papyri in the Bodleian Library from 1935</w:t>
      </w:r>
    </w:p>
    <w:p>
      <w:pPr>
        <w:pStyle w:val="Text"/>
        <w:bidi w:val="0"/>
        <w:spacing w:line="480" w:lineRule="auto"/>
        <w:ind w:left="0" w:right="0" w:firstLine="72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William Hogarth</w:t>
      </w:r>
      <w:r>
        <w:rPr>
          <w:rFonts w:ascii="Times New Roman" w:hAnsi="Times New Roman" w:hint="default"/>
          <w:sz w:val="24"/>
          <w:szCs w:val="24"/>
          <w:u w:color="000000"/>
          <w:rtl w:val="0"/>
        </w:rPr>
        <w:t>’</w:t>
      </w:r>
      <w:r>
        <w:rPr>
          <w:rFonts w:ascii="Times New Roman" w:hAnsi="Times New Roman"/>
          <w:sz w:val="24"/>
          <w:szCs w:val="24"/>
          <w:u w:color="000000"/>
          <w:rtl w:val="0"/>
          <w:lang w:val="en-US"/>
        </w:rPr>
        <w:t>s donation of his father</w:t>
      </w:r>
      <w:r>
        <w:rPr>
          <w:rFonts w:ascii="Times New Roman" w:hAnsi="Times New Roman" w:hint="default"/>
          <w:sz w:val="24"/>
          <w:szCs w:val="24"/>
          <w:u w:color="000000"/>
          <w:rtl w:val="0"/>
        </w:rPr>
        <w:t>’</w:t>
      </w:r>
      <w:r>
        <w:rPr>
          <w:rFonts w:ascii="Times New Roman" w:hAnsi="Times New Roman"/>
          <w:sz w:val="24"/>
          <w:szCs w:val="24"/>
          <w:u w:color="000000"/>
          <w:rtl w:val="0"/>
          <w:lang w:val="en-US"/>
        </w:rPr>
        <w:t>s personal collection of papyri to the Bodleian on 15 May 1935 was one of the final additions to the library</w:t>
      </w:r>
      <w:r>
        <w:rPr>
          <w:rFonts w:ascii="Times New Roman" w:hAnsi="Times New Roman" w:hint="default"/>
          <w:sz w:val="24"/>
          <w:szCs w:val="24"/>
          <w:u w:color="000000"/>
          <w:rtl w:val="0"/>
        </w:rPr>
        <w:t>’</w:t>
      </w:r>
      <w:r>
        <w:rPr>
          <w:rFonts w:ascii="Times New Roman" w:hAnsi="Times New Roman"/>
          <w:sz w:val="24"/>
          <w:szCs w:val="24"/>
          <w:u w:color="000000"/>
          <w:rtl w:val="0"/>
          <w:lang w:val="en-US"/>
        </w:rPr>
        <w:t xml:space="preserve">s papyrological holdings. It is dwarfed, however, by </w:t>
      </w:r>
      <w:r>
        <w:rPr>
          <w:rFonts w:ascii="Times New Roman" w:hAnsi="Times New Roman"/>
          <w:i w:val="1"/>
          <w:iCs w:val="1"/>
          <w:sz w:val="24"/>
          <w:szCs w:val="24"/>
          <w:u w:color="000000"/>
          <w:rtl w:val="0"/>
          <w:lang w:val="en-US"/>
        </w:rPr>
        <w:t>the</w:t>
      </w:r>
      <w:r>
        <w:rPr>
          <w:rFonts w:ascii="Times New Roman" w:hAnsi="Times New Roman"/>
          <w:sz w:val="24"/>
          <w:szCs w:val="24"/>
          <w:u w:color="000000"/>
          <w:rtl w:val="0"/>
          <w:lang w:val="en-US"/>
        </w:rPr>
        <w:t xml:space="preserve"> last major acquisition, on whose heels it closely followed. Just two months previous, on 13 March 1935, Lucy Hunt had presented a collection consisting of several hundred fragments, following her husband</w:t>
      </w:r>
      <w:r>
        <w:rPr>
          <w:rFonts w:ascii="Times New Roman" w:hAnsi="Times New Roman" w:hint="default"/>
          <w:sz w:val="24"/>
          <w:szCs w:val="24"/>
          <w:u w:color="000000"/>
          <w:rtl w:val="0"/>
        </w:rPr>
        <w:t>’</w:t>
      </w:r>
      <w:r>
        <w:rPr>
          <w:rFonts w:ascii="Times New Roman" w:hAnsi="Times New Roman"/>
          <w:sz w:val="24"/>
          <w:szCs w:val="24"/>
          <w:u w:color="000000"/>
          <w:rtl w:val="0"/>
          <w:lang w:val="en-US"/>
        </w:rPr>
        <w:t>s passing the summer before.</w:t>
      </w:r>
      <w:r>
        <w:rPr>
          <w:rFonts w:ascii="Times New Roman" w:cs="Times New Roman" w:hAnsi="Times New Roman" w:eastAsia="Times New Roman"/>
          <w:sz w:val="24"/>
          <w:szCs w:val="24"/>
          <w:u w:color="000000"/>
          <w:vertAlign w:val="superscript"/>
          <w:rtl w:val="0"/>
        </w:rPr>
        <w:footnoteReference w:id="1"/>
      </w:r>
      <w:r>
        <w:rPr>
          <w:rFonts w:ascii="Times New Roman" w:hAnsi="Times New Roman"/>
          <w:sz w:val="24"/>
          <w:szCs w:val="24"/>
          <w:u w:color="000000"/>
          <w:rtl w:val="0"/>
          <w:lang w:val="en-US"/>
        </w:rPr>
        <w:t xml:space="preserve"> This donation included papyri Hunt had purchased in Egypt and ones that had belonged previously to Grenfell, though it was by no means the full extent of either man</w:t>
      </w:r>
      <w:r>
        <w:rPr>
          <w:rFonts w:ascii="Times New Roman" w:hAnsi="Times New Roman" w:hint="default"/>
          <w:sz w:val="24"/>
          <w:szCs w:val="24"/>
          <w:u w:color="000000"/>
          <w:rtl w:val="0"/>
        </w:rPr>
        <w:t>’</w:t>
      </w:r>
      <w:r>
        <w:rPr>
          <w:rFonts w:ascii="Times New Roman" w:hAnsi="Times New Roman"/>
          <w:sz w:val="24"/>
          <w:szCs w:val="24"/>
          <w:u w:color="000000"/>
          <w:rtl w:val="0"/>
          <w:lang w:val="fr-FR"/>
        </w:rPr>
        <w:t>s personal collection.</w:t>
      </w:r>
      <w:r>
        <w:rPr>
          <w:rFonts w:ascii="Times New Roman" w:cs="Times New Roman" w:hAnsi="Times New Roman" w:eastAsia="Times New Roman"/>
          <w:sz w:val="24"/>
          <w:szCs w:val="24"/>
          <w:u w:color="000000"/>
          <w:vertAlign w:val="superscript"/>
          <w:rtl w:val="0"/>
        </w:rPr>
        <w:footnoteReference w:id="2"/>
      </w:r>
      <w:r>
        <w:rPr>
          <w:rFonts w:ascii="Times New Roman" w:hAnsi="Times New Roman"/>
          <w:sz w:val="24"/>
          <w:szCs w:val="24"/>
          <w:u w:color="000000"/>
          <w:rtl w:val="0"/>
          <w:lang w:val="en-US"/>
        </w:rPr>
        <w:t xml:space="preserve"> One cannot help but wonder whether the timing of Hogarth </w:t>
      </w:r>
      <w:r>
        <w:rPr>
          <w:rFonts w:ascii="Times New Roman" w:hAnsi="Times New Roman"/>
          <w:i w:val="1"/>
          <w:iCs w:val="1"/>
          <w:sz w:val="24"/>
          <w:szCs w:val="24"/>
          <w:u w:color="000000"/>
          <w:rtl w:val="0"/>
          <w:lang w:val="fr-FR"/>
        </w:rPr>
        <w:t xml:space="preserve">fils </w:t>
      </w:r>
      <w:r>
        <w:rPr>
          <w:rFonts w:ascii="Times New Roman" w:hAnsi="Times New Roman"/>
          <w:sz w:val="24"/>
          <w:szCs w:val="24"/>
          <w:u w:color="000000"/>
          <w:rtl w:val="0"/>
          <w:lang w:val="en-US"/>
        </w:rPr>
        <w:t>was purely coincidental, or whether he was inspired to find his father</w:t>
      </w:r>
      <w:r>
        <w:rPr>
          <w:rFonts w:ascii="Times New Roman" w:hAnsi="Times New Roman" w:hint="default"/>
          <w:sz w:val="24"/>
          <w:szCs w:val="24"/>
          <w:u w:color="000000"/>
          <w:rtl w:val="0"/>
        </w:rPr>
        <w:t>’</w:t>
      </w:r>
      <w:r>
        <w:rPr>
          <w:rFonts w:ascii="Times New Roman" w:hAnsi="Times New Roman"/>
          <w:sz w:val="24"/>
          <w:szCs w:val="24"/>
          <w:u w:color="000000"/>
          <w:rtl w:val="0"/>
          <w:lang w:val="en-US"/>
        </w:rPr>
        <w:t>s papyri an institutional home by the example of a bygone collaborator</w:t>
      </w:r>
      <w:r>
        <w:rPr>
          <w:rFonts w:ascii="Times New Roman" w:hAnsi="Times New Roman" w:hint="default"/>
          <w:sz w:val="24"/>
          <w:szCs w:val="24"/>
          <w:u w:color="000000"/>
          <w:rtl w:val="0"/>
        </w:rPr>
        <w:t>’</w:t>
      </w:r>
      <w:r>
        <w:rPr>
          <w:rFonts w:ascii="Times New Roman" w:hAnsi="Times New Roman"/>
          <w:sz w:val="24"/>
          <w:szCs w:val="24"/>
          <w:u w:color="000000"/>
          <w:rtl w:val="0"/>
        </w:rPr>
        <w:t xml:space="preserve">s widow. </w:t>
      </w:r>
    </w:p>
    <w:p>
      <w:pPr>
        <w:pStyle w:val="Text"/>
        <w:bidi w:val="0"/>
        <w:spacing w:line="480" w:lineRule="auto"/>
        <w:ind w:left="0" w:right="0" w:firstLine="72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Most, if not all, of Hogarth</w:t>
      </w:r>
      <w:r>
        <w:rPr>
          <w:rFonts w:ascii="Times New Roman" w:hAnsi="Times New Roman" w:hint="default"/>
          <w:sz w:val="24"/>
          <w:szCs w:val="24"/>
          <w:u w:color="000000"/>
          <w:rtl w:val="0"/>
        </w:rPr>
        <w:t>’</w:t>
      </w:r>
      <w:r>
        <w:rPr>
          <w:rFonts w:ascii="Times New Roman" w:hAnsi="Times New Roman"/>
          <w:sz w:val="24"/>
          <w:szCs w:val="24"/>
          <w:u w:color="000000"/>
          <w:rtl w:val="0"/>
          <w:lang w:val="en-US"/>
        </w:rPr>
        <w:t>s papyri were catalogued promptly. By August 1936, when Eefje P. Wegener visited Oxford for four weeks of work, they had been sorted by size and assigned shelfmarks such that these could be reported.</w:t>
      </w:r>
      <w:r>
        <w:rPr>
          <w:rFonts w:ascii="Times New Roman" w:cs="Times New Roman" w:hAnsi="Times New Roman" w:eastAsia="Times New Roman"/>
          <w:sz w:val="24"/>
          <w:szCs w:val="24"/>
          <w:u w:color="000000"/>
          <w:vertAlign w:val="superscript"/>
          <w:rtl w:val="0"/>
        </w:rPr>
        <w:footnoteReference w:id="3"/>
      </w:r>
      <w:r>
        <w:rPr>
          <w:rFonts w:ascii="Times New Roman" w:hAnsi="Times New Roman"/>
          <w:sz w:val="24"/>
          <w:szCs w:val="24"/>
          <w:u w:color="000000"/>
          <w:rtl w:val="0"/>
          <w:lang w:val="en-US"/>
        </w:rPr>
        <w:t xml:space="preserve"> But the same cannot be said for the much larger Hunt collection, despite the fact that it had reached the library first. Wegener</w:t>
      </w:r>
      <w:r>
        <w:rPr>
          <w:rFonts w:ascii="Times New Roman" w:hAnsi="Times New Roman" w:hint="default"/>
          <w:sz w:val="24"/>
          <w:szCs w:val="24"/>
          <w:u w:color="000000"/>
          <w:rtl w:val="0"/>
        </w:rPr>
        <w:t>’</w:t>
      </w:r>
      <w:r>
        <w:rPr>
          <w:rFonts w:ascii="Times New Roman" w:hAnsi="Times New Roman"/>
          <w:sz w:val="24"/>
          <w:szCs w:val="24"/>
          <w:u w:color="000000"/>
          <w:rtl w:val="0"/>
          <w:lang w:val="en-US"/>
        </w:rPr>
        <w:t xml:space="preserve">s article also included one item from it </w:t>
      </w:r>
      <w:r>
        <w:rPr>
          <w:rFonts w:ascii="Times New Roman" w:hAnsi="Times New Roman" w:hint="default"/>
          <w:sz w:val="24"/>
          <w:szCs w:val="24"/>
          <w:u w:color="000000"/>
          <w:rtl w:val="0"/>
        </w:rPr>
        <w:t xml:space="preserve">– </w:t>
      </w:r>
      <w:r>
        <w:rPr>
          <w:rStyle w:val="Hyperlink.1"/>
          <w:rFonts w:ascii="Times New Roman" w:cs="Times New Roman" w:hAnsi="Times New Roman" w:eastAsia="Times New Roman"/>
          <w:color w:val="0563c1"/>
          <w:sz w:val="24"/>
          <w:szCs w:val="24"/>
          <w:u w:color="0563c1"/>
          <w:rtl w:val="0"/>
        </w:rPr>
        <w:fldChar w:fldCharType="begin" w:fldLock="0"/>
      </w:r>
      <w:r>
        <w:rPr>
          <w:rStyle w:val="Hyperlink.1"/>
          <w:rFonts w:ascii="Times New Roman" w:cs="Times New Roman" w:hAnsi="Times New Roman" w:eastAsia="Times New Roman"/>
          <w:color w:val="0563c1"/>
          <w:sz w:val="24"/>
          <w:szCs w:val="24"/>
          <w:u w:color="0563c1"/>
          <w:rtl w:val="0"/>
        </w:rPr>
        <w:instrText xml:space="preserve"> HYPERLINK "https://papyri.info/hgv/17867"</w:instrText>
      </w:r>
      <w:r>
        <w:rPr>
          <w:rStyle w:val="Hyperlink.1"/>
          <w:rFonts w:ascii="Times New Roman" w:cs="Times New Roman" w:hAnsi="Times New Roman" w:eastAsia="Times New Roman"/>
          <w:color w:val="0563c1"/>
          <w:sz w:val="24"/>
          <w:szCs w:val="24"/>
          <w:u w:color="0563c1"/>
          <w:rtl w:val="0"/>
        </w:rPr>
        <w:fldChar w:fldCharType="separate" w:fldLock="0"/>
      </w:r>
      <w:r>
        <w:rPr>
          <w:rStyle w:val="Hyperlink.1"/>
          <w:rFonts w:ascii="Times New Roman" w:hAnsi="Times New Roman"/>
          <w:color w:val="0563c1"/>
          <w:sz w:val="24"/>
          <w:szCs w:val="24"/>
          <w:u w:color="0563c1"/>
          <w:rtl w:val="0"/>
        </w:rPr>
        <w:t>SB 6 9193</w:t>
      </w:r>
      <w:r>
        <w:rPr>
          <w:rFonts w:ascii="Times New Roman" w:cs="Times New Roman" w:hAnsi="Times New Roman" w:eastAsia="Times New Roman"/>
          <w:sz w:val="24"/>
          <w:szCs w:val="24"/>
          <w:u w:color="000000"/>
          <w:rtl w:val="0"/>
        </w:rPr>
        <w:fldChar w:fldCharType="end" w:fldLock="0"/>
      </w:r>
      <w:r>
        <w:rPr>
          <w:rFonts w:ascii="Times New Roman" w:hAnsi="Times New Roman" w:hint="default"/>
          <w:sz w:val="24"/>
          <w:szCs w:val="24"/>
          <w:u w:color="000000"/>
          <w:rtl w:val="0"/>
        </w:rPr>
        <w:t xml:space="preserve"> – </w:t>
      </w:r>
      <w:r>
        <w:rPr>
          <w:rFonts w:ascii="Times New Roman" w:hAnsi="Times New Roman"/>
          <w:sz w:val="24"/>
          <w:szCs w:val="24"/>
          <w:u w:color="000000"/>
          <w:rtl w:val="0"/>
          <w:lang w:val="en-US"/>
        </w:rPr>
        <w:t xml:space="preserve">but she could not publish a shelfmark: </w:t>
      </w:r>
      <w:r>
        <w:rPr>
          <w:rFonts w:ascii="Times New Roman" w:hAnsi="Times New Roman" w:hint="default"/>
          <w:sz w:val="24"/>
          <w:szCs w:val="24"/>
          <w:u w:color="000000"/>
          <w:rtl w:val="0"/>
          <w:lang w:val="de-DE"/>
        </w:rPr>
        <w:t>“</w:t>
      </w:r>
      <w:r>
        <w:rPr>
          <w:rFonts w:ascii="Times New Roman" w:hAnsi="Times New Roman"/>
          <w:sz w:val="24"/>
          <w:szCs w:val="24"/>
          <w:u w:color="000000"/>
          <w:rtl w:val="0"/>
        </w:rPr>
        <w:t>Pap. Bodl. Uncatal.</w:t>
      </w:r>
      <w:r>
        <w:rPr>
          <w:rFonts w:ascii="Times New Roman" w:hAnsi="Times New Roman" w:hint="default"/>
          <w:sz w:val="24"/>
          <w:szCs w:val="24"/>
          <w:u w:color="000000"/>
          <w:rtl w:val="0"/>
        </w:rPr>
        <w:t xml:space="preserve">” </w:t>
      </w:r>
      <w:r>
        <w:rPr>
          <w:rFonts w:ascii="Times New Roman" w:hAnsi="Times New Roman"/>
          <w:sz w:val="24"/>
          <w:szCs w:val="24"/>
          <w:u w:color="000000"/>
          <w:rtl w:val="0"/>
          <w:lang w:val="en-US"/>
        </w:rPr>
        <w:t>is her report.</w:t>
      </w:r>
      <w:r>
        <w:rPr>
          <w:rFonts w:ascii="Times New Roman" w:cs="Times New Roman" w:hAnsi="Times New Roman" w:eastAsia="Times New Roman"/>
          <w:sz w:val="24"/>
          <w:szCs w:val="24"/>
          <w:u w:color="000000"/>
          <w:vertAlign w:val="superscript"/>
          <w:rtl w:val="0"/>
        </w:rPr>
        <w:footnoteReference w:id="4"/>
      </w:r>
      <w:r>
        <w:rPr>
          <w:rFonts w:ascii="Times New Roman" w:hAnsi="Times New Roman"/>
          <w:sz w:val="24"/>
          <w:szCs w:val="24"/>
          <w:u w:color="000000"/>
          <w:rtl w:val="0"/>
          <w:lang w:val="en-US"/>
        </w:rPr>
        <w:t xml:space="preserve"> The likeliest explanation for the curiosity </w:t>
      </w:r>
      <w:r>
        <w:rPr>
          <w:rFonts w:ascii="Times New Roman" w:hAnsi="Times New Roman" w:hint="default"/>
          <w:sz w:val="24"/>
          <w:szCs w:val="24"/>
          <w:u w:color="000000"/>
          <w:rtl w:val="0"/>
        </w:rPr>
        <w:t xml:space="preserve">– </w:t>
      </w:r>
      <w:r>
        <w:rPr>
          <w:rFonts w:ascii="Times New Roman" w:hAnsi="Times New Roman"/>
          <w:sz w:val="24"/>
          <w:szCs w:val="24"/>
          <w:u w:color="000000"/>
          <w:rtl w:val="0"/>
          <w:lang w:val="en-US"/>
        </w:rPr>
        <w:t>that Hogarth</w:t>
      </w:r>
      <w:r>
        <w:rPr>
          <w:rFonts w:ascii="Times New Roman" w:hAnsi="Times New Roman" w:hint="default"/>
          <w:sz w:val="24"/>
          <w:szCs w:val="24"/>
          <w:u w:color="000000"/>
          <w:rtl w:val="0"/>
        </w:rPr>
        <w:t>’</w:t>
      </w:r>
      <w:r>
        <w:rPr>
          <w:rFonts w:ascii="Times New Roman" w:hAnsi="Times New Roman"/>
          <w:sz w:val="24"/>
          <w:szCs w:val="24"/>
          <w:u w:color="000000"/>
          <w:rtl w:val="0"/>
          <w:lang w:val="en-US"/>
        </w:rPr>
        <w:t xml:space="preserve">s papyri were catalogued first, despite arriving later </w:t>
      </w:r>
      <w:r>
        <w:rPr>
          <w:rFonts w:ascii="Times New Roman" w:hAnsi="Times New Roman" w:hint="default"/>
          <w:sz w:val="24"/>
          <w:szCs w:val="24"/>
          <w:u w:color="000000"/>
          <w:rtl w:val="0"/>
        </w:rPr>
        <w:t xml:space="preserve">– </w:t>
      </w:r>
      <w:r>
        <w:rPr>
          <w:rFonts w:ascii="Times New Roman" w:hAnsi="Times New Roman"/>
          <w:sz w:val="24"/>
          <w:szCs w:val="24"/>
          <w:u w:color="000000"/>
          <w:rtl w:val="0"/>
          <w:lang w:val="en-US"/>
        </w:rPr>
        <w:t>is the staggering amount of material in the Hunt collection. Support for that inference comes from a reading of the library</w:t>
      </w:r>
      <w:r>
        <w:rPr>
          <w:rFonts w:ascii="Times New Roman" w:hAnsi="Times New Roman" w:hint="default"/>
          <w:sz w:val="24"/>
          <w:szCs w:val="24"/>
          <w:u w:color="000000"/>
          <w:rtl w:val="0"/>
        </w:rPr>
        <w:t>’</w:t>
      </w:r>
      <w:r>
        <w:rPr>
          <w:rFonts w:ascii="Times New Roman" w:hAnsi="Times New Roman"/>
          <w:sz w:val="24"/>
          <w:szCs w:val="24"/>
          <w:u w:color="000000"/>
          <w:rtl w:val="0"/>
          <w:lang w:val="en-US"/>
        </w:rPr>
        <w:t>s records. Edgar Lobel, who was then the Keeper of Western Manuscripts, had assembled a catalogue of the library</w:t>
      </w:r>
      <w:r>
        <w:rPr>
          <w:rFonts w:ascii="Times New Roman" w:hAnsi="Times New Roman" w:hint="default"/>
          <w:sz w:val="24"/>
          <w:szCs w:val="24"/>
          <w:u w:color="000000"/>
          <w:rtl w:val="0"/>
        </w:rPr>
        <w:t>’</w:t>
      </w:r>
      <w:r>
        <w:rPr>
          <w:rFonts w:ascii="Times New Roman" w:hAnsi="Times New Roman"/>
          <w:sz w:val="24"/>
          <w:szCs w:val="24"/>
          <w:u w:color="000000"/>
          <w:rtl w:val="0"/>
          <w:lang w:val="en-US"/>
        </w:rPr>
        <w:t>s papyrological holdings, but its coverage breaks down in and around 1935: it includes none of Hunt</w:t>
      </w:r>
      <w:r>
        <w:rPr>
          <w:rFonts w:ascii="Times New Roman" w:hAnsi="Times New Roman" w:hint="default"/>
          <w:sz w:val="24"/>
          <w:szCs w:val="24"/>
          <w:u w:color="000000"/>
          <w:rtl w:val="0"/>
        </w:rPr>
        <w:t>’</w:t>
      </w:r>
      <w:r>
        <w:rPr>
          <w:rFonts w:ascii="Times New Roman" w:hAnsi="Times New Roman"/>
          <w:sz w:val="24"/>
          <w:szCs w:val="24"/>
          <w:u w:color="000000"/>
          <w:rtl w:val="0"/>
          <w:lang w:val="en-US"/>
        </w:rPr>
        <w:t>s papyri, and only a few of the smaller items in Hogarth</w:t>
      </w:r>
      <w:r>
        <w:rPr>
          <w:rFonts w:ascii="Times New Roman" w:hAnsi="Times New Roman" w:hint="default"/>
          <w:sz w:val="24"/>
          <w:szCs w:val="24"/>
          <w:u w:color="000000"/>
          <w:rtl w:val="0"/>
        </w:rPr>
        <w:t>’</w:t>
      </w:r>
      <w:r>
        <w:rPr>
          <w:rFonts w:ascii="Times New Roman" w:hAnsi="Times New Roman"/>
          <w:sz w:val="24"/>
          <w:szCs w:val="24"/>
          <w:u w:color="000000"/>
          <w:rtl w:val="0"/>
          <w:lang w:val="pt-PT"/>
        </w:rPr>
        <w:t>s.</w:t>
      </w:r>
      <w:r>
        <w:rPr>
          <w:rFonts w:ascii="Times New Roman" w:cs="Times New Roman" w:hAnsi="Times New Roman" w:eastAsia="Times New Roman"/>
          <w:sz w:val="24"/>
          <w:szCs w:val="24"/>
          <w:u w:color="000000"/>
          <w:vertAlign w:val="superscript"/>
          <w:rtl w:val="0"/>
        </w:rPr>
        <w:footnoteReference w:id="5"/>
      </w:r>
      <w:r>
        <w:rPr>
          <w:rFonts w:ascii="Times New Roman" w:hAnsi="Times New Roman"/>
          <w:sz w:val="24"/>
          <w:szCs w:val="24"/>
          <w:u w:color="000000"/>
          <w:rtl w:val="0"/>
          <w:lang w:val="en-US"/>
        </w:rPr>
        <w:t xml:space="preserve"> We may reasonably conclude that Lobel had completed this inventory before the influx of new material in 1935, and was never able to update it fully. </w:t>
      </w:r>
    </w:p>
    <w:p>
      <w:pPr>
        <w:pStyle w:val="Text"/>
        <w:bidi w:val="0"/>
        <w:spacing w:line="480" w:lineRule="auto"/>
        <w:ind w:left="0" w:right="0" w:firstLine="72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It was no dereliction of duty on Lobel</w:t>
      </w:r>
      <w:r>
        <w:rPr>
          <w:rFonts w:ascii="Times New Roman" w:hAnsi="Times New Roman" w:hint="default"/>
          <w:sz w:val="24"/>
          <w:szCs w:val="24"/>
          <w:u w:color="000000"/>
          <w:rtl w:val="0"/>
        </w:rPr>
        <w:t>’</w:t>
      </w:r>
      <w:r>
        <w:rPr>
          <w:rFonts w:ascii="Times New Roman" w:hAnsi="Times New Roman"/>
          <w:sz w:val="24"/>
          <w:szCs w:val="24"/>
          <w:u w:color="000000"/>
          <w:rtl w:val="0"/>
          <w:lang w:val="en-US"/>
        </w:rPr>
        <w:t>s part that his inventory of Bodleian papyri does not account comprehensively for its most recent acquisitions. Hunt</w:t>
      </w:r>
      <w:r>
        <w:rPr>
          <w:rFonts w:ascii="Times New Roman" w:hAnsi="Times New Roman" w:hint="default"/>
          <w:sz w:val="24"/>
          <w:szCs w:val="24"/>
          <w:u w:color="000000"/>
          <w:rtl w:val="0"/>
        </w:rPr>
        <w:t>’</w:t>
      </w:r>
      <w:r>
        <w:rPr>
          <w:rFonts w:ascii="Times New Roman" w:hAnsi="Times New Roman"/>
          <w:sz w:val="24"/>
          <w:szCs w:val="24"/>
          <w:u w:color="000000"/>
          <w:rtl w:val="0"/>
          <w:lang w:val="en-US"/>
        </w:rPr>
        <w:t>s death marked the end of an era for British papyrology, and its impact on the Bodleian, in particular, went far beyond the hundreds of fragments that were subsequently deposited there. The work of editing unpublished Oxyrhynchus papyri, for years the purview of the Oxford Dioscuri, suddenly required a new hand on the tiller, and that job promptly fell to Lobel. From the time of Hunt</w:t>
      </w:r>
      <w:r>
        <w:rPr>
          <w:rFonts w:ascii="Times New Roman" w:hAnsi="Times New Roman" w:hint="default"/>
          <w:sz w:val="24"/>
          <w:szCs w:val="24"/>
          <w:u w:color="000000"/>
          <w:rtl w:val="0"/>
        </w:rPr>
        <w:t>’</w:t>
      </w:r>
      <w:r>
        <w:rPr>
          <w:rFonts w:ascii="Times New Roman" w:hAnsi="Times New Roman"/>
          <w:sz w:val="24"/>
          <w:szCs w:val="24"/>
          <w:u w:color="000000"/>
          <w:rtl w:val="0"/>
          <w:lang w:val="en-US"/>
        </w:rPr>
        <w:t xml:space="preserve">s death in 1934, as Eric Turner has summarized, he </w:t>
      </w:r>
      <w:r>
        <w:rPr>
          <w:rFonts w:ascii="Times New Roman" w:hAnsi="Times New Roman" w:hint="default"/>
          <w:sz w:val="24"/>
          <w:szCs w:val="24"/>
          <w:u w:color="000000"/>
          <w:rtl w:val="0"/>
          <w:lang w:val="de-DE"/>
        </w:rPr>
        <w:t>“</w:t>
      </w:r>
      <w:r>
        <w:rPr>
          <w:rFonts w:ascii="Times New Roman" w:hAnsi="Times New Roman"/>
          <w:sz w:val="24"/>
          <w:szCs w:val="24"/>
          <w:u w:color="000000"/>
          <w:rtl w:val="0"/>
          <w:lang w:val="en-US"/>
        </w:rPr>
        <w:t>gradually came to assume sole charge of the unpublished Oxyrhynchus papyri</w:t>
      </w:r>
      <w:r>
        <w:rPr>
          <w:rFonts w:ascii="Times New Roman" w:hAnsi="Times New Roman" w:hint="default"/>
          <w:sz w:val="24"/>
          <w:szCs w:val="24"/>
          <w:u w:color="000000"/>
          <w:rtl w:val="0"/>
        </w:rPr>
        <w:t>”</w:t>
      </w:r>
      <w:r>
        <w:rPr>
          <w:rFonts w:ascii="Times New Roman" w:hAnsi="Times New Roman"/>
          <w:sz w:val="24"/>
          <w:szCs w:val="24"/>
          <w:u w:color="000000"/>
          <w:rtl w:val="0"/>
        </w:rPr>
        <w:t>.</w:t>
      </w:r>
      <w:r>
        <w:rPr>
          <w:rFonts w:ascii="Times New Roman" w:cs="Times New Roman" w:hAnsi="Times New Roman" w:eastAsia="Times New Roman"/>
          <w:sz w:val="24"/>
          <w:szCs w:val="24"/>
          <w:u w:color="000000"/>
          <w:vertAlign w:val="superscript"/>
          <w:rtl w:val="0"/>
        </w:rPr>
        <w:footnoteReference w:id="6"/>
      </w:r>
      <w:r>
        <w:rPr>
          <w:rFonts w:ascii="Times New Roman" w:hAnsi="Times New Roman"/>
          <w:sz w:val="24"/>
          <w:szCs w:val="24"/>
          <w:u w:color="000000"/>
          <w:rtl w:val="0"/>
          <w:lang w:val="en-US"/>
        </w:rPr>
        <w:t xml:space="preserve"> In September 1935, only six months following the donation of Hunt</w:t>
      </w:r>
      <w:r>
        <w:rPr>
          <w:rFonts w:ascii="Times New Roman" w:hAnsi="Times New Roman" w:hint="default"/>
          <w:sz w:val="24"/>
          <w:szCs w:val="24"/>
          <w:u w:color="000000"/>
          <w:rtl w:val="0"/>
        </w:rPr>
        <w:t>’</w:t>
      </w:r>
      <w:r>
        <w:rPr>
          <w:rFonts w:ascii="Times New Roman" w:hAnsi="Times New Roman"/>
          <w:sz w:val="24"/>
          <w:szCs w:val="24"/>
          <w:u w:color="000000"/>
          <w:rtl w:val="0"/>
          <w:lang w:val="en-US"/>
        </w:rPr>
        <w:t>s collection, he secured permission to study some of the literary material from Oxyrhynchus in the Bodleian. He was then appointed Reader in Papyrology in December, a post which began formally in July 1936. In October 1938 he resigned from the Bodleian to take up a Senior Research Fellowship at Queen</w:t>
      </w:r>
      <w:r>
        <w:rPr>
          <w:rFonts w:ascii="Times New Roman" w:hAnsi="Times New Roman" w:hint="default"/>
          <w:sz w:val="24"/>
          <w:szCs w:val="24"/>
          <w:u w:color="000000"/>
          <w:rtl w:val="0"/>
        </w:rPr>
        <w:t>’</w:t>
      </w:r>
      <w:r>
        <w:rPr>
          <w:rFonts w:ascii="Times New Roman" w:hAnsi="Times New Roman"/>
          <w:sz w:val="24"/>
          <w:szCs w:val="24"/>
          <w:u w:color="000000"/>
          <w:rtl w:val="0"/>
          <w:lang w:val="en-US"/>
        </w:rPr>
        <w:t>s, and the decades of work on Oxyrhynchus papyri that ensued need no accounting here. I summarize the contours of his career not to suggest that Lobel in any way ignored Hunt</w:t>
      </w:r>
      <w:r>
        <w:rPr>
          <w:rFonts w:ascii="Times New Roman" w:hAnsi="Times New Roman" w:hint="default"/>
          <w:sz w:val="24"/>
          <w:szCs w:val="24"/>
          <w:u w:color="000000"/>
          <w:rtl w:val="0"/>
        </w:rPr>
        <w:t>’</w:t>
      </w:r>
      <w:r>
        <w:rPr>
          <w:rFonts w:ascii="Times New Roman" w:hAnsi="Times New Roman"/>
          <w:sz w:val="24"/>
          <w:szCs w:val="24"/>
          <w:u w:color="000000"/>
          <w:rtl w:val="0"/>
        </w:rPr>
        <w:t xml:space="preserve">s papyri </w:t>
      </w:r>
      <w:r>
        <w:rPr>
          <w:rFonts w:ascii="Times New Roman" w:hAnsi="Times New Roman" w:hint="default"/>
          <w:sz w:val="24"/>
          <w:szCs w:val="24"/>
          <w:u w:color="000000"/>
          <w:rtl w:val="0"/>
        </w:rPr>
        <w:t xml:space="preserve">– </w:t>
      </w:r>
      <w:r>
        <w:rPr>
          <w:rFonts w:ascii="Times New Roman" w:hAnsi="Times New Roman"/>
          <w:sz w:val="24"/>
          <w:szCs w:val="24"/>
          <w:u w:color="000000"/>
          <w:rtl w:val="0"/>
          <w:lang w:val="en-US"/>
        </w:rPr>
        <w:t>the opposite is true</w:t>
      </w:r>
      <w:r>
        <w:rPr>
          <w:rFonts w:ascii="Times New Roman" w:cs="Times New Roman" w:hAnsi="Times New Roman" w:eastAsia="Times New Roman"/>
          <w:sz w:val="24"/>
          <w:szCs w:val="24"/>
          <w:u w:color="000000"/>
          <w:vertAlign w:val="superscript"/>
          <w:rtl w:val="0"/>
        </w:rPr>
        <w:footnoteReference w:id="7"/>
      </w:r>
      <w:r>
        <w:rPr>
          <w:rFonts w:ascii="Times New Roman" w:hAnsi="Times New Roman" w:hint="default"/>
          <w:sz w:val="24"/>
          <w:szCs w:val="24"/>
          <w:u w:color="000000"/>
          <w:rtl w:val="0"/>
        </w:rPr>
        <w:t xml:space="preserve"> – </w:t>
      </w:r>
      <w:r>
        <w:rPr>
          <w:rFonts w:ascii="Times New Roman" w:hAnsi="Times New Roman"/>
          <w:sz w:val="24"/>
          <w:szCs w:val="24"/>
          <w:u w:color="000000"/>
          <w:rtl w:val="0"/>
          <w:lang w:val="en-US"/>
        </w:rPr>
        <w:t>but only to indicate that, from 1935 on, he had more papyri than one man could manage. His energies were wholly occupied, increasingly by the larger and more promising collection of papyri in Oxford.</w:t>
      </w:r>
      <w:r>
        <w:rPr>
          <w:rFonts w:ascii="Times New Roman" w:cs="Times New Roman" w:hAnsi="Times New Roman" w:eastAsia="Times New Roman"/>
          <w:sz w:val="24"/>
          <w:szCs w:val="24"/>
          <w:u w:color="000000"/>
          <w:vertAlign w:val="superscript"/>
          <w:rtl w:val="0"/>
        </w:rPr>
        <w:footnoteReference w:id="8"/>
      </w:r>
    </w:p>
    <w:p>
      <w:pPr>
        <w:pStyle w:val="Text"/>
        <w:bidi w:val="0"/>
        <w:spacing w:line="480" w:lineRule="auto"/>
        <w:ind w:left="0" w:right="0" w:firstLine="720"/>
        <w:jc w:val="left"/>
        <w:rPr>
          <w:rtl w:val="0"/>
        </w:rPr>
      </w:pPr>
      <w:r>
        <w:rPr>
          <w:rFonts w:ascii="Times New Roman" w:hAnsi="Times New Roman"/>
          <w:sz w:val="24"/>
          <w:szCs w:val="24"/>
          <w:u w:color="000000"/>
          <w:rtl w:val="0"/>
          <w:lang w:val="en-US"/>
        </w:rPr>
        <w:t>A full accounting of Hunt</w:t>
      </w:r>
      <w:r>
        <w:rPr>
          <w:rFonts w:ascii="Times New Roman" w:hAnsi="Times New Roman" w:hint="default"/>
          <w:sz w:val="24"/>
          <w:szCs w:val="24"/>
          <w:u w:color="000000"/>
          <w:rtl w:val="0"/>
        </w:rPr>
        <w:t>’</w:t>
      </w:r>
      <w:r>
        <w:rPr>
          <w:rFonts w:ascii="Times New Roman" w:hAnsi="Times New Roman"/>
          <w:sz w:val="24"/>
          <w:szCs w:val="24"/>
          <w:u w:color="000000"/>
          <w:rtl w:val="0"/>
          <w:lang w:val="en-US"/>
        </w:rPr>
        <w:t>s papyri in the Bodleian would have to wait until 1976, when Revel Coles undertook to catalogue the collection on index cards. That catalogue remains the primary basis for the Bodleian</w:t>
      </w:r>
      <w:r>
        <w:rPr>
          <w:rFonts w:ascii="Times New Roman" w:hAnsi="Times New Roman" w:hint="default"/>
          <w:sz w:val="24"/>
          <w:szCs w:val="24"/>
          <w:u w:color="000000"/>
          <w:rtl w:val="0"/>
        </w:rPr>
        <w:t>’</w:t>
      </w:r>
      <w:r>
        <w:rPr>
          <w:rFonts w:ascii="Times New Roman" w:hAnsi="Times New Roman"/>
          <w:sz w:val="24"/>
          <w:szCs w:val="24"/>
          <w:u w:color="000000"/>
          <w:rtl w:val="0"/>
          <w:lang w:val="en-US"/>
        </w:rPr>
        <w:t>s records today, now available online and published in large part by Salomons.</w:t>
      </w:r>
      <w:r>
        <w:rPr>
          <w:rFonts w:ascii="Times New Roman" w:cs="Times New Roman" w:hAnsi="Times New Roman" w:eastAsia="Times New Roman"/>
          <w:sz w:val="24"/>
          <w:szCs w:val="24"/>
          <w:u w:color="000000"/>
          <w:vertAlign w:val="superscript"/>
          <w:rtl w:val="0"/>
        </w:rPr>
        <w:footnoteReference w:id="9"/>
      </w:r>
      <w:r>
        <w:rPr>
          <w:rFonts w:ascii="Times New Roman" w:hAnsi="Times New Roman"/>
          <w:sz w:val="24"/>
          <w:szCs w:val="24"/>
          <w:u w:color="000000"/>
          <w:rtl w:val="0"/>
          <w:lang w:val="en-US"/>
        </w:rPr>
        <w:t xml:space="preserve"> But one consequence of the decades-long interval between Lobel and Coles</w:t>
      </w:r>
      <w:r>
        <w:rPr>
          <w:rFonts w:ascii="Times New Roman" w:hAnsi="Times New Roman" w:hint="default"/>
          <w:sz w:val="24"/>
          <w:szCs w:val="24"/>
          <w:u w:color="000000"/>
          <w:rtl w:val="0"/>
        </w:rPr>
        <w:t xml:space="preserve">’ </w:t>
      </w:r>
      <w:r>
        <w:rPr>
          <w:rFonts w:ascii="Times New Roman" w:hAnsi="Times New Roman"/>
          <w:sz w:val="24"/>
          <w:szCs w:val="24"/>
          <w:u w:color="000000"/>
          <w:rtl w:val="0"/>
          <w:lang w:val="en-US"/>
        </w:rPr>
        <w:t>work is that the sorting of papyri by size into alphabetic series breaks down: Hunt</w:t>
      </w:r>
      <w:r>
        <w:rPr>
          <w:rFonts w:ascii="Times New Roman" w:hAnsi="Times New Roman" w:hint="default"/>
          <w:sz w:val="24"/>
          <w:szCs w:val="24"/>
          <w:u w:color="000000"/>
          <w:rtl w:val="0"/>
        </w:rPr>
        <w:t>’</w:t>
      </w:r>
      <w:r>
        <w:rPr>
          <w:rFonts w:ascii="Times New Roman" w:hAnsi="Times New Roman"/>
          <w:sz w:val="24"/>
          <w:szCs w:val="24"/>
          <w:u w:color="000000"/>
          <w:rtl w:val="0"/>
          <w:lang w:val="en-US"/>
        </w:rPr>
        <w:t xml:space="preserve">s papyri belong overwhelmingly to the </w:t>
      </w:r>
      <w:r>
        <w:rPr>
          <w:rFonts w:ascii="Times New Roman" w:hAnsi="Times New Roman"/>
          <w:b w:val="1"/>
          <w:bCs w:val="1"/>
          <w:sz w:val="24"/>
          <w:szCs w:val="24"/>
          <w:u w:color="000000"/>
          <w:rtl w:val="0"/>
        </w:rPr>
        <w:t xml:space="preserve">c </w:t>
      </w:r>
      <w:r>
        <w:rPr>
          <w:rFonts w:ascii="Times New Roman" w:hAnsi="Times New Roman"/>
          <w:sz w:val="24"/>
          <w:szCs w:val="24"/>
          <w:u w:color="000000"/>
          <w:rtl w:val="0"/>
          <w:lang w:val="en-US"/>
        </w:rPr>
        <w:t>series, occupying much of the range MS Gr. class. c 103</w:t>
      </w:r>
      <w:r>
        <w:rPr>
          <w:rFonts w:ascii="Times New Roman" w:hAnsi="Times New Roman" w:hint="default"/>
          <w:sz w:val="24"/>
          <w:szCs w:val="24"/>
          <w:u w:color="000000"/>
          <w:rtl w:val="0"/>
        </w:rPr>
        <w:t>–</w:t>
      </w:r>
      <w:r>
        <w:rPr>
          <w:rFonts w:ascii="Times New Roman" w:hAnsi="Times New Roman"/>
          <w:sz w:val="24"/>
          <w:szCs w:val="24"/>
          <w:u w:color="000000"/>
          <w:rtl w:val="0"/>
        </w:rPr>
        <w:t>538 (P).</w:t>
      </w:r>
      <w:r>
        <w:rPr>
          <w:rFonts w:ascii="Times New Roman" w:cs="Times New Roman" w:hAnsi="Times New Roman" w:eastAsia="Times New Roman"/>
          <w:sz w:val="24"/>
          <w:szCs w:val="24"/>
          <w:u w:color="000000"/>
          <w:vertAlign w:val="superscript"/>
          <w:rtl w:val="0"/>
        </w:rPr>
        <w:footnoteReference w:id="10"/>
      </w:r>
      <w:r>
        <w:rPr>
          <w:rFonts w:ascii="Times New Roman" w:hAnsi="Times New Roman"/>
          <w:sz w:val="24"/>
          <w:szCs w:val="24"/>
          <w:u w:color="000000"/>
          <w:rtl w:val="0"/>
          <w:lang w:val="da-DK"/>
        </w:rPr>
        <w:t xml:space="preserve"> Salomons</w:t>
      </w:r>
      <w:r>
        <w:rPr>
          <w:rFonts w:ascii="Times New Roman" w:hAnsi="Times New Roman" w:hint="default"/>
          <w:sz w:val="24"/>
          <w:szCs w:val="24"/>
          <w:u w:color="000000"/>
          <w:rtl w:val="0"/>
        </w:rPr>
        <w:t xml:space="preserve">’ </w:t>
      </w:r>
      <w:r>
        <w:rPr>
          <w:rFonts w:ascii="Times New Roman" w:hAnsi="Times New Roman"/>
          <w:sz w:val="24"/>
          <w:szCs w:val="24"/>
          <w:u w:color="000000"/>
          <w:rtl w:val="0"/>
          <w:lang w:val="en-US"/>
        </w:rPr>
        <w:t xml:space="preserve">catalogue, which extends only to MS Gr. class. c 300 (P), leaves scores of these unremarked upon (not to mention the non-Hunt items belonging to the </w:t>
      </w:r>
      <w:r>
        <w:rPr>
          <w:rFonts w:ascii="Times New Roman" w:hAnsi="Times New Roman"/>
          <w:b w:val="1"/>
          <w:bCs w:val="1"/>
          <w:sz w:val="24"/>
          <w:szCs w:val="24"/>
          <w:u w:color="000000"/>
          <w:rtl w:val="0"/>
        </w:rPr>
        <w:t>d</w:t>
      </w:r>
      <w:r>
        <w:rPr>
          <w:rFonts w:ascii="Times New Roman" w:hAnsi="Times New Roman"/>
          <w:sz w:val="24"/>
          <w:szCs w:val="24"/>
          <w:u w:color="000000"/>
          <w:rtl w:val="0"/>
        </w:rPr>
        <w:t xml:space="preserve">, </w:t>
      </w:r>
      <w:r>
        <w:rPr>
          <w:rFonts w:ascii="Times New Roman" w:hAnsi="Times New Roman"/>
          <w:b w:val="1"/>
          <w:bCs w:val="1"/>
          <w:sz w:val="24"/>
          <w:szCs w:val="24"/>
          <w:u w:color="000000"/>
          <w:rtl w:val="0"/>
        </w:rPr>
        <w:t>e</w:t>
      </w:r>
      <w:r>
        <w:rPr>
          <w:rFonts w:ascii="Times New Roman" w:hAnsi="Times New Roman"/>
          <w:sz w:val="24"/>
          <w:szCs w:val="24"/>
          <w:u w:color="000000"/>
          <w:rtl w:val="0"/>
        </w:rPr>
        <w:t xml:space="preserve">, </w:t>
      </w:r>
      <w:r>
        <w:rPr>
          <w:rFonts w:ascii="Times New Roman" w:hAnsi="Times New Roman"/>
          <w:b w:val="1"/>
          <w:bCs w:val="1"/>
          <w:sz w:val="24"/>
          <w:szCs w:val="24"/>
          <w:u w:color="000000"/>
          <w:rtl w:val="0"/>
        </w:rPr>
        <w:t>f</w:t>
      </w:r>
      <w:r>
        <w:rPr>
          <w:rFonts w:ascii="Times New Roman" w:hAnsi="Times New Roman"/>
          <w:sz w:val="24"/>
          <w:szCs w:val="24"/>
          <w:u w:color="000000"/>
          <w:rtl w:val="0"/>
          <w:lang w:val="en-US"/>
        </w:rPr>
        <w:t xml:space="preserve">, and </w:t>
      </w:r>
      <w:r>
        <w:rPr>
          <w:rFonts w:ascii="Times New Roman" w:hAnsi="Times New Roman"/>
          <w:b w:val="1"/>
          <w:bCs w:val="1"/>
          <w:sz w:val="24"/>
          <w:szCs w:val="24"/>
          <w:u w:color="000000"/>
          <w:rtl w:val="0"/>
        </w:rPr>
        <w:t>g</w:t>
      </w:r>
      <w:r>
        <w:rPr>
          <w:rFonts w:ascii="Times New Roman" w:hAnsi="Times New Roman"/>
          <w:sz w:val="24"/>
          <w:szCs w:val="24"/>
          <w:u w:color="000000"/>
          <w:rtl w:val="0"/>
          <w:lang w:val="en-US"/>
        </w:rPr>
        <w:t xml:space="preserve"> series). There remains much yet to do in the Bodleian in terms of both conservation and basic papyrological research. MS Gr. class. c 301</w:t>
      </w:r>
      <w:r>
        <w:rPr>
          <w:rFonts w:ascii="Times New Roman" w:hAnsi="Times New Roman" w:hint="default"/>
          <w:sz w:val="24"/>
          <w:szCs w:val="24"/>
          <w:u w:color="000000"/>
          <w:rtl w:val="0"/>
        </w:rPr>
        <w:t>–</w:t>
      </w:r>
      <w:r>
        <w:rPr>
          <w:rFonts w:ascii="Times New Roman" w:hAnsi="Times New Roman"/>
          <w:sz w:val="24"/>
          <w:szCs w:val="24"/>
          <w:u w:color="000000"/>
          <w:rtl w:val="0"/>
          <w:lang w:val="en-US"/>
        </w:rPr>
        <w:t>538 (P), in particular, are for the most part later documents and accounts; Coles</w:t>
      </w:r>
      <w:r>
        <w:rPr>
          <w:rFonts w:ascii="Times New Roman" w:hAnsi="Times New Roman" w:hint="default"/>
          <w:sz w:val="24"/>
          <w:szCs w:val="24"/>
          <w:u w:color="000000"/>
          <w:rtl w:val="0"/>
        </w:rPr>
        <w:t xml:space="preserve">’ </w:t>
      </w:r>
      <w:r>
        <w:rPr>
          <w:rFonts w:ascii="Times New Roman" w:hAnsi="Times New Roman"/>
          <w:sz w:val="24"/>
          <w:szCs w:val="24"/>
          <w:u w:color="000000"/>
          <w:rtl w:val="0"/>
          <w:lang w:val="en-US"/>
        </w:rPr>
        <w:t>inventory frequently notes that these are Byzantine in date, and there is also a good number of Coptic and Arabic pieces. Since they are for the most part stored loosely in folders, these will require special handling and a larger-scale investigation.</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text"/>
      </w:pPr>
      <w:r>
        <w:rPr>
          <w:vertAlign w:val="superscript"/>
        </w:rPr>
        <w:footnoteRef/>
      </w:r>
      <w:r>
        <w:rPr>
          <w:rFonts w:cs="Arial Unicode MS" w:eastAsia="Arial Unicode MS"/>
          <w:rtl w:val="0"/>
        </w:rPr>
        <w:t xml:space="preserve"> </w:t>
      </w:r>
      <w:r>
        <w:rPr>
          <w:rStyle w:val="Hyperlink.1"/>
        </w:rPr>
        <w:fldChar w:fldCharType="begin" w:fldLock="0"/>
      </w:r>
      <w:r>
        <w:rPr>
          <w:rStyle w:val="Hyperlink.1"/>
        </w:rPr>
        <w:instrText xml:space="preserve"> HYPERLINK "https://papyri.info/biblio/14543"</w:instrText>
      </w:r>
      <w:r>
        <w:rPr>
          <w:rStyle w:val="Hyperlink.1"/>
        </w:rPr>
        <w:fldChar w:fldCharType="separate" w:fldLock="0"/>
      </w:r>
      <w:r>
        <w:rPr>
          <w:rStyle w:val="Hyperlink.1"/>
          <w:rFonts w:cs="Arial Unicode MS" w:eastAsia="Arial Unicode MS"/>
          <w:rtl w:val="0"/>
        </w:rPr>
        <w:t>Salomons (1996)</w:t>
      </w:r>
      <w:r>
        <w:rPr/>
        <w:fldChar w:fldCharType="end" w:fldLock="0"/>
      </w:r>
      <w:r>
        <w:rPr>
          <w:rFonts w:cs="Arial Unicode MS" w:eastAsia="Arial Unicode MS"/>
          <w:rtl w:val="0"/>
        </w:rPr>
        <w:t xml:space="preserve"> reports tentatively on these items: </w:t>
      </w:r>
      <w:r>
        <w:rPr>
          <w:rFonts w:cs="Arial Unicode MS" w:eastAsia="Arial Unicode MS" w:hint="default"/>
          <w:rtl w:val="0"/>
        </w:rPr>
        <w:t>“</w:t>
      </w:r>
      <w:r>
        <w:rPr>
          <w:rFonts w:cs="Arial Unicode MS" w:eastAsia="Arial Unicode MS"/>
          <w:rtl w:val="0"/>
        </w:rPr>
        <w:t>Given by Mrs. A. S. Hunt, 1934(?)</w:t>
      </w:r>
      <w:r>
        <w:rPr>
          <w:rFonts w:cs="Arial Unicode MS" w:eastAsia="Arial Unicode MS" w:hint="default"/>
          <w:rtl w:val="0"/>
        </w:rPr>
        <w:t>”</w:t>
      </w:r>
      <w:r>
        <w:rPr>
          <w:rFonts w:cs="Arial Unicode MS" w:eastAsia="Arial Unicode MS"/>
          <w:rtl w:val="0"/>
        </w:rPr>
        <w:t>. But I have confirmed the 13 March 1935 date in the Bodleian</w:t>
      </w:r>
      <w:r>
        <w:rPr>
          <w:rFonts w:cs="Arial Unicode MS" w:eastAsia="Arial Unicode MS" w:hint="default"/>
          <w:rtl w:val="0"/>
        </w:rPr>
        <w:t>’</w:t>
      </w:r>
      <w:r>
        <w:rPr>
          <w:rFonts w:cs="Arial Unicode MS" w:eastAsia="Arial Unicode MS"/>
          <w:rtl w:val="0"/>
        </w:rPr>
        <w:t>s Register of donations, 1932</w:t>
      </w:r>
      <w:r>
        <w:rPr>
          <w:rFonts w:cs="Arial Unicode MS" w:eastAsia="Arial Unicode MS" w:hint="default"/>
          <w:rtl w:val="0"/>
        </w:rPr>
        <w:t>–</w:t>
      </w:r>
      <w:r>
        <w:rPr>
          <w:rFonts w:cs="Arial Unicode MS" w:eastAsia="Arial Unicode MS"/>
          <w:rtl w:val="0"/>
        </w:rPr>
        <w:t>1936 (Oxford, Bodleian Libraries, Library Records b. 220). Further notable late acquisitions in the register include 61 Coptic and 3 Greek ostraca from W. E. Crum (22 May 1939) and 2 Coptic ostraca and 2 boxes of Coptic papyri from W. E. Crum (12 September 1939).</w:t>
      </w:r>
    </w:p>
  </w:footnote>
  <w:footnote w:id="2">
    <w:p>
      <w:pPr>
        <w:pStyle w:val="footnote text"/>
      </w:pPr>
      <w:r>
        <w:rPr>
          <w:vertAlign w:val="superscript"/>
        </w:rPr>
        <w:footnoteRef/>
      </w:r>
      <w:r>
        <w:rPr>
          <w:rFonts w:cs="Arial Unicode MS" w:eastAsia="Arial Unicode MS"/>
          <w:rtl w:val="0"/>
        </w:rPr>
        <w:t xml:space="preserve"> Some of Grenfell and Hunt</w:t>
      </w:r>
      <w:r>
        <w:rPr>
          <w:rFonts w:cs="Arial Unicode MS" w:eastAsia="Arial Unicode MS" w:hint="default"/>
          <w:rtl w:val="0"/>
        </w:rPr>
        <w:t>’</w:t>
      </w:r>
      <w:r>
        <w:rPr>
          <w:rFonts w:cs="Arial Unicode MS" w:eastAsia="Arial Unicode MS"/>
          <w:rtl w:val="0"/>
        </w:rPr>
        <w:t xml:space="preserve">s acquisitions ended up with the collection of the Egypt Exploration Society and are now kept in the Sackler Library, most notably in box 89: see </w:t>
      </w:r>
      <w:r>
        <w:rPr>
          <w:rStyle w:val="Hyperlink.1"/>
        </w:rPr>
        <w:fldChar w:fldCharType="begin" w:fldLock="0"/>
      </w:r>
      <w:r>
        <w:rPr>
          <w:rStyle w:val="Hyperlink.1"/>
        </w:rPr>
        <w:instrText xml:space="preserve"> HYPERLINK "https://papyri.info/biblio/96094"</w:instrText>
      </w:r>
      <w:r>
        <w:rPr>
          <w:rStyle w:val="Hyperlink.1"/>
        </w:rPr>
        <w:fldChar w:fldCharType="separate" w:fldLock="0"/>
      </w:r>
      <w:r>
        <w:rPr>
          <w:rStyle w:val="Hyperlink.1"/>
          <w:rFonts w:cs="Arial Unicode MS" w:eastAsia="Arial Unicode MS"/>
          <w:rtl w:val="0"/>
        </w:rPr>
        <w:t>Bagnall 2017: 2</w:t>
      </w:r>
      <w:r>
        <w:rPr/>
        <w:fldChar w:fldCharType="end" w:fldLock="0"/>
      </w:r>
      <w:r>
        <w:rPr>
          <w:rFonts w:cs="Arial Unicode MS" w:eastAsia="Arial Unicode MS"/>
          <w:rtl w:val="0"/>
        </w:rPr>
        <w:t>.</w:t>
      </w:r>
    </w:p>
  </w:footnote>
  <w:footnote w:id="3">
    <w:p>
      <w:pPr>
        <w:pStyle w:val="footnote text"/>
      </w:pPr>
      <w:r>
        <w:rPr>
          <w:vertAlign w:val="superscript"/>
        </w:rPr>
        <w:footnoteRef/>
      </w:r>
      <w:r>
        <w:rPr>
          <w:rFonts w:cs="Arial Unicode MS" w:eastAsia="Arial Unicode MS"/>
          <w:rtl w:val="0"/>
        </w:rPr>
        <w:t xml:space="preserve"> A Bodleian shelfmark such as </w:t>
      </w:r>
      <w:r>
        <w:rPr>
          <w:rFonts w:cs="Arial Unicode MS" w:eastAsia="Arial Unicode MS"/>
          <w:b w:val="1"/>
          <w:bCs w:val="1"/>
          <w:rtl w:val="0"/>
          <w:lang w:val="en-US"/>
        </w:rPr>
        <w:t>MS. Gr. class. g 75 (P)</w:t>
      </w:r>
      <w:r>
        <w:rPr>
          <w:rFonts w:cs="Arial Unicode MS" w:eastAsia="Arial Unicode MS"/>
          <w:rtl w:val="0"/>
        </w:rPr>
        <w:t xml:space="preserve"> can be parsed as follows: the first designation indicates a manuscript (</w:t>
      </w:r>
      <w:r>
        <w:rPr>
          <w:rFonts w:cs="Arial Unicode MS" w:eastAsia="Arial Unicode MS"/>
          <w:b w:val="1"/>
          <w:bCs w:val="1"/>
          <w:rtl w:val="0"/>
          <w:lang w:val="en-US"/>
        </w:rPr>
        <w:t>MS</w:t>
      </w:r>
      <w:r>
        <w:rPr>
          <w:rFonts w:cs="Arial Unicode MS" w:eastAsia="Arial Unicode MS"/>
          <w:rtl w:val="0"/>
        </w:rPr>
        <w:t>) and the second its language (</w:t>
      </w:r>
      <w:r>
        <w:rPr>
          <w:rFonts w:cs="Arial Unicode MS" w:eastAsia="Arial Unicode MS"/>
          <w:b w:val="1"/>
          <w:bCs w:val="1"/>
          <w:rtl w:val="0"/>
          <w:lang w:val="en-US"/>
        </w:rPr>
        <w:t>Gr.</w:t>
      </w:r>
      <w:r>
        <w:rPr>
          <w:rFonts w:cs="Arial Unicode MS" w:eastAsia="Arial Unicode MS"/>
          <w:rtl w:val="0"/>
        </w:rPr>
        <w:t xml:space="preserve">) before additional subdivisions by content (e.g., </w:t>
      </w:r>
      <w:r>
        <w:rPr>
          <w:rFonts w:cs="Arial Unicode MS" w:eastAsia="Arial Unicode MS"/>
          <w:b w:val="1"/>
          <w:bCs w:val="1"/>
          <w:rtl w:val="0"/>
          <w:lang w:val="en-US"/>
        </w:rPr>
        <w:t>bib.</w:t>
      </w:r>
      <w:r>
        <w:rPr>
          <w:rFonts w:cs="Arial Unicode MS" w:eastAsia="Arial Unicode MS"/>
          <w:rtl w:val="0"/>
        </w:rPr>
        <w:t xml:space="preserve">, </w:t>
      </w:r>
      <w:r>
        <w:rPr>
          <w:rFonts w:cs="Arial Unicode MS" w:eastAsia="Arial Unicode MS"/>
          <w:b w:val="1"/>
          <w:bCs w:val="1"/>
          <w:rtl w:val="0"/>
          <w:lang w:val="en-US"/>
        </w:rPr>
        <w:t>liturg.</w:t>
      </w:r>
      <w:r>
        <w:rPr>
          <w:rFonts w:cs="Arial Unicode MS" w:eastAsia="Arial Unicode MS"/>
          <w:rtl w:val="0"/>
        </w:rPr>
        <w:t xml:space="preserve">, </w:t>
      </w:r>
      <w:r>
        <w:rPr>
          <w:rFonts w:cs="Arial Unicode MS" w:eastAsia="Arial Unicode MS"/>
          <w:b w:val="1"/>
          <w:bCs w:val="1"/>
          <w:rtl w:val="0"/>
          <w:lang w:val="en-US"/>
        </w:rPr>
        <w:t>th.</w:t>
      </w:r>
      <w:r>
        <w:rPr>
          <w:rFonts w:cs="Arial Unicode MS" w:eastAsia="Arial Unicode MS"/>
          <w:rtl w:val="0"/>
        </w:rPr>
        <w:t xml:space="preserve">, </w:t>
      </w:r>
      <w:r>
        <w:rPr>
          <w:rFonts w:cs="Arial Unicode MS" w:eastAsia="Arial Unicode MS"/>
          <w:b w:val="1"/>
          <w:bCs w:val="1"/>
          <w:rtl w:val="0"/>
          <w:lang w:val="en-US"/>
        </w:rPr>
        <w:t>class.</w:t>
      </w:r>
      <w:r>
        <w:rPr>
          <w:rFonts w:cs="Arial Unicode MS" w:eastAsia="Arial Unicode MS"/>
          <w:rtl w:val="0"/>
        </w:rPr>
        <w:t xml:space="preserve">, </w:t>
      </w:r>
      <w:r>
        <w:rPr>
          <w:rFonts w:cs="Arial Unicode MS" w:eastAsia="Arial Unicode MS"/>
          <w:b w:val="1"/>
          <w:bCs w:val="1"/>
          <w:rtl w:val="0"/>
          <w:lang w:val="en-US"/>
        </w:rPr>
        <w:t>misc.</w:t>
      </w:r>
      <w:r>
        <w:rPr>
          <w:rFonts w:cs="Arial Unicode MS" w:eastAsia="Arial Unicode MS"/>
          <w:rtl w:val="0"/>
        </w:rPr>
        <w:t>), size (</w:t>
      </w:r>
      <w:r>
        <w:rPr>
          <w:rFonts w:cs="Arial Unicode MS" w:eastAsia="Arial Unicode MS"/>
          <w:b w:val="1"/>
          <w:bCs w:val="1"/>
          <w:rtl w:val="0"/>
          <w:lang w:val="en-US"/>
        </w:rPr>
        <w:t>a</w:t>
      </w:r>
      <w:r>
        <w:rPr>
          <w:rFonts w:cs="Arial Unicode MS" w:eastAsia="Arial Unicode MS" w:hint="default"/>
          <w:rtl w:val="0"/>
        </w:rPr>
        <w:t>–</w:t>
      </w:r>
      <w:r>
        <w:rPr>
          <w:rFonts w:cs="Arial Unicode MS" w:eastAsia="Arial Unicode MS"/>
          <w:b w:val="1"/>
          <w:bCs w:val="1"/>
          <w:rtl w:val="0"/>
          <w:lang w:val="en-US"/>
        </w:rPr>
        <w:t>g</w:t>
      </w:r>
      <w:r>
        <w:rPr>
          <w:rFonts w:cs="Arial Unicode MS" w:eastAsia="Arial Unicode MS"/>
          <w:rtl w:val="0"/>
        </w:rPr>
        <w:t xml:space="preserve">, where </w:t>
      </w:r>
      <w:r>
        <w:rPr>
          <w:rFonts w:cs="Arial Unicode MS" w:eastAsia="Arial Unicode MS"/>
          <w:b w:val="1"/>
          <w:bCs w:val="1"/>
          <w:rtl w:val="0"/>
          <w:lang w:val="en-US"/>
        </w:rPr>
        <w:t xml:space="preserve">a </w:t>
      </w:r>
      <w:r>
        <w:rPr>
          <w:rFonts w:cs="Arial Unicode MS" w:eastAsia="Arial Unicode MS"/>
          <w:rtl w:val="0"/>
        </w:rPr>
        <w:t>is the largest), serial number (</w:t>
      </w:r>
      <w:r>
        <w:rPr>
          <w:rFonts w:cs="Arial Unicode MS" w:eastAsia="Arial Unicode MS"/>
          <w:b w:val="1"/>
          <w:bCs w:val="1"/>
          <w:rtl w:val="0"/>
          <w:lang w:val="en-US"/>
        </w:rPr>
        <w:t>75</w:t>
      </w:r>
      <w:r>
        <w:rPr>
          <w:rFonts w:cs="Arial Unicode MS" w:eastAsia="Arial Unicode MS"/>
          <w:rtl w:val="0"/>
        </w:rPr>
        <w:t xml:space="preserve">), and material / conservation </w:t>
      </w:r>
      <w:r>
        <w:rPr>
          <w:rFonts w:cs="Arial Unicode MS" w:eastAsia="Arial Unicode MS"/>
          <w:b w:val="1"/>
          <w:bCs w:val="1"/>
          <w:rtl w:val="0"/>
          <w:lang w:val="en-US"/>
        </w:rPr>
        <w:t xml:space="preserve">(P). </w:t>
      </w:r>
      <w:r>
        <w:rPr>
          <w:rFonts w:cs="Arial Unicode MS" w:eastAsia="Arial Unicode MS"/>
          <w:rtl w:val="0"/>
        </w:rPr>
        <w:t xml:space="preserve">The last, in this case, denotes a papyrus or glazed manuscript: see </w:t>
      </w:r>
      <w:r>
        <w:rPr>
          <w:rStyle w:val="Hyperlink.1"/>
        </w:rPr>
        <w:fldChar w:fldCharType="begin" w:fldLock="0"/>
      </w:r>
      <w:r>
        <w:rPr>
          <w:rStyle w:val="Hyperlink.1"/>
        </w:rPr>
        <w:instrText xml:space="preserve"> HYPERLINK "https://papyri.info/biblio/14543"</w:instrText>
      </w:r>
      <w:r>
        <w:rPr>
          <w:rStyle w:val="Hyperlink.1"/>
        </w:rPr>
        <w:fldChar w:fldCharType="separate" w:fldLock="0"/>
      </w:r>
      <w:r>
        <w:rPr>
          <w:rStyle w:val="Hyperlink.1"/>
          <w:rFonts w:cs="Arial Unicode MS" w:eastAsia="Arial Unicode MS"/>
          <w:rtl w:val="0"/>
        </w:rPr>
        <w:t>Salomons (1996: vii)</w:t>
      </w:r>
      <w:r>
        <w:rPr/>
        <w:fldChar w:fldCharType="end" w:fldLock="0"/>
      </w:r>
      <w:r>
        <w:rPr>
          <w:rFonts w:cs="Arial Unicode MS" w:eastAsia="Arial Unicode MS"/>
          <w:rtl w:val="0"/>
        </w:rPr>
        <w:t xml:space="preserve">. </w:t>
      </w:r>
      <w:r>
        <w:rPr>
          <w:rStyle w:val="Hyperlink.1"/>
        </w:rPr>
        <w:fldChar w:fldCharType="begin" w:fldLock="0"/>
      </w:r>
      <w:r>
        <w:rPr>
          <w:rStyle w:val="Hyperlink.1"/>
        </w:rPr>
        <w:instrText xml:space="preserve"> HYPERLINK "https://papyri.info/biblio/36243"</w:instrText>
      </w:r>
      <w:r>
        <w:rPr>
          <w:rStyle w:val="Hyperlink.1"/>
        </w:rPr>
        <w:fldChar w:fldCharType="separate" w:fldLock="0"/>
      </w:r>
      <w:r>
        <w:rPr>
          <w:rStyle w:val="Hyperlink.1"/>
          <w:rFonts w:cs="Arial Unicode MS" w:eastAsia="Arial Unicode MS"/>
          <w:rtl w:val="0"/>
        </w:rPr>
        <w:t>Wegener 1937</w:t>
      </w:r>
      <w:r>
        <w:rPr/>
        <w:fldChar w:fldCharType="end" w:fldLock="0"/>
      </w:r>
      <w:r>
        <w:rPr>
          <w:rFonts w:cs="Arial Unicode MS" w:eastAsia="Arial Unicode MS"/>
          <w:rtl w:val="0"/>
        </w:rPr>
        <w:t xml:space="preserve"> published seven Hogarth papyri, whose shelfmarks belong to the </w:t>
      </w:r>
      <w:r>
        <w:rPr>
          <w:rFonts w:cs="Arial Unicode MS" w:eastAsia="Arial Unicode MS"/>
          <w:b w:val="1"/>
          <w:bCs w:val="1"/>
          <w:rtl w:val="0"/>
          <w:lang w:val="en-US"/>
        </w:rPr>
        <w:t>d</w:t>
      </w:r>
      <w:r>
        <w:rPr>
          <w:rFonts w:cs="Arial Unicode MS" w:eastAsia="Arial Unicode MS"/>
          <w:rtl w:val="0"/>
        </w:rPr>
        <w:t xml:space="preserve">, </w:t>
      </w:r>
      <w:r>
        <w:rPr>
          <w:rFonts w:cs="Arial Unicode MS" w:eastAsia="Arial Unicode MS"/>
          <w:b w:val="1"/>
          <w:bCs w:val="1"/>
          <w:rtl w:val="0"/>
          <w:lang w:val="en-US"/>
        </w:rPr>
        <w:t>e</w:t>
      </w:r>
      <w:r>
        <w:rPr>
          <w:rFonts w:cs="Arial Unicode MS" w:eastAsia="Arial Unicode MS"/>
          <w:rtl w:val="0"/>
        </w:rPr>
        <w:t xml:space="preserve">, </w:t>
      </w:r>
      <w:r>
        <w:rPr>
          <w:rFonts w:cs="Arial Unicode MS" w:eastAsia="Arial Unicode MS"/>
          <w:b w:val="1"/>
          <w:bCs w:val="1"/>
          <w:rtl w:val="0"/>
          <w:lang w:val="en-US"/>
        </w:rPr>
        <w:t>f</w:t>
      </w:r>
      <w:r>
        <w:rPr>
          <w:rFonts w:cs="Arial Unicode MS" w:eastAsia="Arial Unicode MS"/>
          <w:rtl w:val="0"/>
        </w:rPr>
        <w:t xml:space="preserve">, and </w:t>
      </w:r>
      <w:r>
        <w:rPr>
          <w:rFonts w:cs="Arial Unicode MS" w:eastAsia="Arial Unicode MS"/>
          <w:b w:val="1"/>
          <w:bCs w:val="1"/>
          <w:rtl w:val="0"/>
          <w:lang w:val="en-US"/>
        </w:rPr>
        <w:t>g</w:t>
      </w:r>
      <w:r>
        <w:rPr>
          <w:rFonts w:cs="Arial Unicode MS" w:eastAsia="Arial Unicode MS"/>
          <w:rtl w:val="0"/>
        </w:rPr>
        <w:t xml:space="preserve"> series. </w:t>
      </w:r>
    </w:p>
  </w:footnote>
  <w:footnote w:id="4">
    <w:p>
      <w:pPr>
        <w:pStyle w:val="footnote text"/>
      </w:pPr>
      <w:r>
        <w:rPr>
          <w:vertAlign w:val="superscript"/>
        </w:rPr>
        <w:footnoteRef/>
      </w:r>
      <w:r>
        <w:rPr>
          <w:rFonts w:cs="Arial Unicode MS" w:eastAsia="Arial Unicode MS"/>
          <w:rtl w:val="0"/>
        </w:rPr>
        <w:t xml:space="preserve"> </w:t>
      </w:r>
      <w:r>
        <w:rPr>
          <w:rStyle w:val="Hyperlink.1"/>
        </w:rPr>
        <w:fldChar w:fldCharType="begin" w:fldLock="0"/>
      </w:r>
      <w:r>
        <w:rPr>
          <w:rStyle w:val="Hyperlink.1"/>
        </w:rPr>
        <w:instrText xml:space="preserve"> HYPERLINK "https://papyri.info/biblio/36243"</w:instrText>
      </w:r>
      <w:r>
        <w:rPr>
          <w:rStyle w:val="Hyperlink.1"/>
        </w:rPr>
        <w:fldChar w:fldCharType="separate" w:fldLock="0"/>
      </w:r>
      <w:r>
        <w:rPr>
          <w:rStyle w:val="Hyperlink.1"/>
          <w:rFonts w:cs="Arial Unicode MS" w:eastAsia="Arial Unicode MS"/>
          <w:rtl w:val="0"/>
        </w:rPr>
        <w:t>Wegener 1937: 217, no. IV</w:t>
      </w:r>
      <w:r>
        <w:rPr/>
        <w:fldChar w:fldCharType="end" w:fldLock="0"/>
      </w:r>
      <w:r>
        <w:rPr>
          <w:rFonts w:cs="Arial Unicode MS" w:eastAsia="Arial Unicode MS"/>
          <w:rtl w:val="0"/>
        </w:rPr>
        <w:t xml:space="preserve">. </w:t>
      </w:r>
      <w:r>
        <w:rPr>
          <w:rStyle w:val="Hyperlink.1"/>
        </w:rPr>
        <w:fldChar w:fldCharType="begin" w:fldLock="0"/>
      </w:r>
      <w:r>
        <w:rPr>
          <w:rStyle w:val="Hyperlink.1"/>
        </w:rPr>
        <w:instrText xml:space="preserve"> HYPERLINK "https://papyri.info/biblio/14543"</w:instrText>
      </w:r>
      <w:r>
        <w:rPr>
          <w:rStyle w:val="Hyperlink.1"/>
        </w:rPr>
        <w:fldChar w:fldCharType="separate" w:fldLock="0"/>
      </w:r>
      <w:r>
        <w:rPr>
          <w:rStyle w:val="Hyperlink.1"/>
          <w:rFonts w:cs="Arial Unicode MS" w:eastAsia="Arial Unicode MS"/>
          <w:rtl w:val="0"/>
        </w:rPr>
        <w:t>Salomons (1996: 315)</w:t>
      </w:r>
      <w:r>
        <w:rPr/>
        <w:fldChar w:fldCharType="end" w:fldLock="0"/>
      </w:r>
      <w:r>
        <w:rPr>
          <w:rFonts w:cs="Arial Unicode MS" w:eastAsia="Arial Unicode MS"/>
          <w:rtl w:val="0"/>
        </w:rPr>
        <w:t xml:space="preserve"> records that this papyrus now bears the shelfmark MS. Gr. class. a 18 (P).</w:t>
      </w:r>
    </w:p>
  </w:footnote>
  <w:footnote w:id="5">
    <w:p>
      <w:pPr>
        <w:pStyle w:val="footnote text"/>
      </w:pPr>
      <w:r>
        <w:rPr>
          <w:vertAlign w:val="superscript"/>
        </w:rPr>
        <w:footnoteRef/>
      </w:r>
      <w:r>
        <w:rPr>
          <w:rFonts w:cs="Arial Unicode MS" w:eastAsia="Arial Unicode MS"/>
          <w:rtl w:val="0"/>
        </w:rPr>
        <w:t xml:space="preserve"> The final items for each series in Lobel</w:t>
      </w:r>
      <w:r>
        <w:rPr>
          <w:rFonts w:cs="Arial Unicode MS" w:eastAsia="Arial Unicode MS" w:hint="default"/>
          <w:rtl w:val="0"/>
        </w:rPr>
        <w:t>’</w:t>
      </w:r>
      <w:r>
        <w:rPr>
          <w:rFonts w:cs="Arial Unicode MS" w:eastAsia="Arial Unicode MS"/>
          <w:rtl w:val="0"/>
        </w:rPr>
        <w:t>s inventory are #16 (</w:t>
      </w:r>
      <w:r>
        <w:rPr>
          <w:rFonts w:cs="Arial Unicode MS" w:eastAsia="Arial Unicode MS"/>
          <w:b w:val="1"/>
          <w:bCs w:val="1"/>
          <w:rtl w:val="0"/>
          <w:lang w:val="en-US"/>
        </w:rPr>
        <w:t>a</w:t>
      </w:r>
      <w:r>
        <w:rPr>
          <w:rFonts w:cs="Arial Unicode MS" w:eastAsia="Arial Unicode MS"/>
          <w:rtl w:val="0"/>
        </w:rPr>
        <w:t>), #19 (</w:t>
      </w:r>
      <w:r>
        <w:rPr>
          <w:rFonts w:cs="Arial Unicode MS" w:eastAsia="Arial Unicode MS"/>
          <w:b w:val="1"/>
          <w:bCs w:val="1"/>
          <w:rtl w:val="0"/>
          <w:lang w:val="en-US"/>
        </w:rPr>
        <w:t>b</w:t>
      </w:r>
      <w:r>
        <w:rPr>
          <w:rFonts w:cs="Arial Unicode MS" w:eastAsia="Arial Unicode MS"/>
          <w:rtl w:val="0"/>
        </w:rPr>
        <w:t>), #91 (</w:t>
      </w:r>
      <w:r>
        <w:rPr>
          <w:rFonts w:cs="Arial Unicode MS" w:eastAsia="Arial Unicode MS"/>
          <w:b w:val="1"/>
          <w:bCs w:val="1"/>
          <w:rtl w:val="0"/>
          <w:lang w:val="en-US"/>
        </w:rPr>
        <w:t>c</w:t>
      </w:r>
      <w:r>
        <w:rPr>
          <w:rFonts w:cs="Arial Unicode MS" w:eastAsia="Arial Unicode MS"/>
          <w:rtl w:val="0"/>
        </w:rPr>
        <w:t>), #133 (</w:t>
      </w:r>
      <w:r>
        <w:rPr>
          <w:rFonts w:cs="Arial Unicode MS" w:eastAsia="Arial Unicode MS"/>
          <w:b w:val="1"/>
          <w:bCs w:val="1"/>
          <w:rtl w:val="0"/>
          <w:lang w:val="en-US"/>
        </w:rPr>
        <w:t>d</w:t>
      </w:r>
      <w:r>
        <w:rPr>
          <w:rFonts w:cs="Arial Unicode MS" w:eastAsia="Arial Unicode MS"/>
          <w:rtl w:val="0"/>
        </w:rPr>
        <w:t>), #126 (</w:t>
      </w:r>
      <w:r>
        <w:rPr>
          <w:rFonts w:cs="Arial Unicode MS" w:eastAsia="Arial Unicode MS"/>
          <w:b w:val="1"/>
          <w:bCs w:val="1"/>
          <w:rtl w:val="0"/>
          <w:lang w:val="en-US"/>
        </w:rPr>
        <w:t>e</w:t>
      </w:r>
      <w:r>
        <w:rPr>
          <w:rFonts w:cs="Arial Unicode MS" w:eastAsia="Arial Unicode MS"/>
          <w:rtl w:val="0"/>
        </w:rPr>
        <w:t>), #112 (</w:t>
      </w:r>
      <w:r>
        <w:rPr>
          <w:rFonts w:cs="Arial Unicode MS" w:eastAsia="Arial Unicode MS"/>
          <w:b w:val="1"/>
          <w:bCs w:val="1"/>
          <w:rtl w:val="0"/>
          <w:lang w:val="en-US"/>
        </w:rPr>
        <w:t>f</w:t>
      </w:r>
      <w:r>
        <w:rPr>
          <w:rFonts w:cs="Arial Unicode MS" w:eastAsia="Arial Unicode MS"/>
          <w:rtl w:val="0"/>
        </w:rPr>
        <w:t>), and #78 (</w:t>
      </w:r>
      <w:r>
        <w:rPr>
          <w:rFonts w:cs="Arial Unicode MS" w:eastAsia="Arial Unicode MS"/>
          <w:b w:val="1"/>
          <w:bCs w:val="1"/>
          <w:rtl w:val="0"/>
          <w:lang w:val="en-US"/>
        </w:rPr>
        <w:t>g</w:t>
      </w:r>
      <w:r>
        <w:rPr>
          <w:rFonts w:cs="Arial Unicode MS" w:eastAsia="Arial Unicode MS"/>
          <w:rtl w:val="0"/>
        </w:rPr>
        <w:t>). The Hogarth items that it includes are MS. Gr. class. e 126, MS. Gr. class. f 103</w:t>
      </w:r>
      <w:r>
        <w:rPr>
          <w:rFonts w:cs="Arial Unicode MS" w:eastAsia="Arial Unicode MS" w:hint="default"/>
          <w:rtl w:val="0"/>
        </w:rPr>
        <w:t>–</w:t>
      </w:r>
      <w:r>
        <w:rPr>
          <w:rFonts w:cs="Arial Unicode MS" w:eastAsia="Arial Unicode MS"/>
          <w:rtl w:val="0"/>
        </w:rPr>
        <w:t>107, and MS. Gr. class. g. 73</w:t>
      </w:r>
      <w:r>
        <w:rPr>
          <w:rFonts w:cs="Arial Unicode MS" w:eastAsia="Arial Unicode MS" w:hint="default"/>
          <w:rtl w:val="0"/>
        </w:rPr>
        <w:t>–</w:t>
      </w:r>
      <w:r>
        <w:rPr>
          <w:rFonts w:cs="Arial Unicode MS" w:eastAsia="Arial Unicode MS"/>
          <w:rtl w:val="0"/>
        </w:rPr>
        <w:t xml:space="preserve">76, all from the series for smallest items. </w:t>
      </w:r>
    </w:p>
  </w:footnote>
  <w:footnote w:id="6">
    <w:p>
      <w:pPr>
        <w:pStyle w:val="footnote text"/>
      </w:pPr>
      <w:r>
        <w:rPr>
          <w:vertAlign w:val="superscript"/>
        </w:rPr>
        <w:footnoteRef/>
      </w:r>
      <w:r>
        <w:rPr>
          <w:rFonts w:cs="Arial Unicode MS" w:eastAsia="Arial Unicode MS"/>
          <w:rtl w:val="0"/>
        </w:rPr>
        <w:t xml:space="preserve"> </w:t>
      </w:r>
      <w:r>
        <w:rPr>
          <w:rStyle w:val="Hyperlink.1"/>
        </w:rPr>
        <w:fldChar w:fldCharType="begin" w:fldLock="0"/>
      </w:r>
      <w:r>
        <w:rPr>
          <w:rStyle w:val="Hyperlink.1"/>
        </w:rPr>
        <w:instrText xml:space="preserve"> HYPERLINK "https://papyri.info/biblio/56129"</w:instrText>
      </w:r>
      <w:r>
        <w:rPr>
          <w:rStyle w:val="Hyperlink.1"/>
        </w:rPr>
        <w:fldChar w:fldCharType="separate" w:fldLock="0"/>
      </w:r>
      <w:r>
        <w:rPr>
          <w:rStyle w:val="Hyperlink.1"/>
          <w:rFonts w:cs="Arial Unicode MS" w:eastAsia="Arial Unicode MS"/>
          <w:rtl w:val="0"/>
        </w:rPr>
        <w:t>Turner 1983: 277</w:t>
      </w:r>
      <w:r>
        <w:rPr/>
        <w:fldChar w:fldCharType="end" w:fldLock="0"/>
      </w:r>
      <w:r>
        <w:rPr>
          <w:rFonts w:cs="Arial Unicode MS" w:eastAsia="Arial Unicode MS"/>
          <w:rtl w:val="0"/>
        </w:rPr>
        <w:t>.</w:t>
      </w:r>
    </w:p>
  </w:footnote>
  <w:footnote w:id="7">
    <w:p>
      <w:pPr>
        <w:pStyle w:val="footnote text"/>
      </w:pPr>
      <w:r>
        <w:rPr>
          <w:vertAlign w:val="superscript"/>
        </w:rPr>
        <w:footnoteRef/>
      </w:r>
      <w:r>
        <w:rPr>
          <w:rFonts w:cs="Arial Unicode MS" w:eastAsia="Arial Unicode MS"/>
          <w:rtl w:val="0"/>
        </w:rPr>
        <w:t xml:space="preserve"> </w:t>
      </w:r>
      <w:r>
        <w:rPr>
          <w:rStyle w:val="Hyperlink.1"/>
        </w:rPr>
        <w:fldChar w:fldCharType="begin" w:fldLock="0"/>
      </w:r>
      <w:r>
        <w:rPr>
          <w:rStyle w:val="Hyperlink.1"/>
        </w:rPr>
        <w:instrText xml:space="preserve"> HYPERLINK "https://papyri.info/biblio/35712"</w:instrText>
      </w:r>
      <w:r>
        <w:rPr>
          <w:rStyle w:val="Hyperlink.1"/>
        </w:rPr>
        <w:fldChar w:fldCharType="separate" w:fldLock="0"/>
      </w:r>
      <w:r>
        <w:rPr>
          <w:rStyle w:val="Hyperlink.1"/>
          <w:rFonts w:cs="Arial Unicode MS" w:eastAsia="Arial Unicode MS"/>
          <w:rtl w:val="0"/>
        </w:rPr>
        <w:t>Lobel 1936</w:t>
      </w:r>
      <w:r>
        <w:rPr/>
        <w:fldChar w:fldCharType="end" w:fldLock="0"/>
      </w:r>
      <w:r>
        <w:rPr>
          <w:rFonts w:cs="Arial Unicode MS" w:eastAsia="Arial Unicode MS"/>
          <w:rtl w:val="0"/>
        </w:rPr>
        <w:t xml:space="preserve"> is the edition of MS Gr. class. f 113 (P), from the Hunt donation (though it is not therein identified by its shelfmark).</w:t>
      </w:r>
    </w:p>
  </w:footnote>
  <w:footnote w:id="8">
    <w:p>
      <w:pPr>
        <w:pStyle w:val="footnote text"/>
      </w:pPr>
      <w:r>
        <w:rPr>
          <w:vertAlign w:val="superscript"/>
        </w:rPr>
        <w:footnoteRef/>
      </w:r>
      <w:r>
        <w:rPr>
          <w:rFonts w:cs="Arial Unicode MS" w:eastAsia="Arial Unicode MS"/>
          <w:rtl w:val="0"/>
        </w:rPr>
        <w:t xml:space="preserve"> For a richer discussion of Lobel and the Oxyrhynchus papyri, see </w:t>
      </w:r>
      <w:r>
        <w:rPr>
          <w:rStyle w:val="Hyperlink.1"/>
        </w:rPr>
        <w:fldChar w:fldCharType="begin" w:fldLock="0"/>
      </w:r>
      <w:r>
        <w:rPr>
          <w:rStyle w:val="Hyperlink.1"/>
        </w:rPr>
        <w:instrText xml:space="preserve"> HYPERLINK "https://papyri.info/biblio/56129"</w:instrText>
      </w:r>
      <w:r>
        <w:rPr>
          <w:rStyle w:val="Hyperlink.1"/>
        </w:rPr>
        <w:fldChar w:fldCharType="separate" w:fldLock="0"/>
      </w:r>
      <w:r>
        <w:rPr>
          <w:rStyle w:val="Hyperlink.1"/>
          <w:rFonts w:cs="Arial Unicode MS" w:eastAsia="Arial Unicode MS"/>
          <w:rtl w:val="0"/>
        </w:rPr>
        <w:t>Turner 1983: 277</w:t>
      </w:r>
      <w:r>
        <w:rPr>
          <w:rStyle w:val="Hyperlink.1"/>
          <w:rFonts w:cs="Arial Unicode MS" w:eastAsia="Arial Unicode MS" w:hint="default"/>
          <w:rtl w:val="0"/>
        </w:rPr>
        <w:t>–</w:t>
      </w:r>
      <w:r>
        <w:rPr>
          <w:rStyle w:val="Hyperlink.1"/>
          <w:rFonts w:cs="Arial Unicode MS" w:eastAsia="Arial Unicode MS"/>
          <w:rtl w:val="0"/>
        </w:rPr>
        <w:t>278</w:t>
      </w:r>
      <w:r>
        <w:rPr/>
        <w:fldChar w:fldCharType="end" w:fldLock="0"/>
      </w:r>
      <w:r>
        <w:rPr>
          <w:rFonts w:cs="Arial Unicode MS" w:eastAsia="Arial Unicode MS"/>
          <w:rtl w:val="0"/>
        </w:rPr>
        <w:t>.</w:t>
      </w:r>
    </w:p>
  </w:footnote>
  <w:footnote w:id="9">
    <w:p>
      <w:pPr>
        <w:pStyle w:val="footnote text"/>
      </w:pPr>
      <w:r>
        <w:rPr>
          <w:vertAlign w:val="superscript"/>
        </w:rPr>
        <w:footnoteRef/>
      </w:r>
      <w:r>
        <w:rPr>
          <w:rFonts w:cs="Arial Unicode MS" w:eastAsia="Arial Unicode MS"/>
          <w:rtl w:val="0"/>
        </w:rPr>
        <w:t xml:space="preserve"> See </w:t>
      </w:r>
      <w:r>
        <w:rPr>
          <w:rStyle w:val="Hyperlink.1"/>
        </w:rPr>
        <w:fldChar w:fldCharType="begin" w:fldLock="0"/>
      </w:r>
      <w:r>
        <w:rPr>
          <w:rStyle w:val="Hyperlink.1"/>
        </w:rPr>
        <w:instrText xml:space="preserve"> HYPERLINK "https://medieval.bodleian.ox.ac.uk/"</w:instrText>
      </w:r>
      <w:r>
        <w:rPr>
          <w:rStyle w:val="Hyperlink.1"/>
        </w:rPr>
        <w:fldChar w:fldCharType="separate" w:fldLock="0"/>
      </w:r>
      <w:r>
        <w:rPr>
          <w:rStyle w:val="Hyperlink.1"/>
          <w:rFonts w:cs="Arial Unicode MS" w:eastAsia="Arial Unicode MS"/>
          <w:rtl w:val="0"/>
        </w:rPr>
        <w:t>https://medieval.bodleian.ox.ac.uk/</w:t>
      </w:r>
      <w:r>
        <w:rPr/>
        <w:fldChar w:fldCharType="end" w:fldLock="0"/>
      </w:r>
      <w:r>
        <w:rPr>
          <w:rFonts w:cs="Arial Unicode MS" w:eastAsia="Arial Unicode MS"/>
          <w:rtl w:val="0"/>
        </w:rPr>
        <w:t>. Filtering by type (</w:t>
      </w:r>
      <w:r>
        <w:rPr>
          <w:rFonts w:cs="Arial Unicode MS" w:eastAsia="Arial Unicode MS" w:hint="default"/>
          <w:rtl w:val="0"/>
        </w:rPr>
        <w:t>‘</w:t>
      </w:r>
      <w:r>
        <w:rPr>
          <w:rFonts w:cs="Arial Unicode MS" w:eastAsia="Arial Unicode MS"/>
          <w:rtl w:val="0"/>
        </w:rPr>
        <w:t>manuscript</w:t>
      </w:r>
      <w:r>
        <w:rPr>
          <w:rFonts w:cs="Arial Unicode MS" w:eastAsia="Arial Unicode MS" w:hint="default"/>
          <w:rtl w:val="0"/>
        </w:rPr>
        <w:t>’</w:t>
      </w:r>
      <w:r>
        <w:rPr>
          <w:rFonts w:cs="Arial Unicode MS" w:eastAsia="Arial Unicode MS"/>
          <w:rtl w:val="0"/>
        </w:rPr>
        <w:t>), language (</w:t>
      </w:r>
      <w:r>
        <w:rPr>
          <w:rFonts w:cs="Arial Unicode MS" w:eastAsia="Arial Unicode MS" w:hint="default"/>
          <w:rtl w:val="0"/>
        </w:rPr>
        <w:t>‘</w:t>
      </w:r>
      <w:r>
        <w:rPr>
          <w:rFonts w:cs="Arial Unicode MS" w:eastAsia="Arial Unicode MS"/>
          <w:rtl w:val="0"/>
        </w:rPr>
        <w:t>Greek</w:t>
      </w:r>
      <w:r>
        <w:rPr>
          <w:rFonts w:cs="Arial Unicode MS" w:eastAsia="Arial Unicode MS" w:hint="default"/>
          <w:rtl w:val="0"/>
        </w:rPr>
        <w:t>’</w:t>
      </w:r>
      <w:r>
        <w:rPr>
          <w:rFonts w:cs="Arial Unicode MS" w:eastAsia="Arial Unicode MS"/>
          <w:rtl w:val="0"/>
        </w:rPr>
        <w:t>), and material (</w:t>
      </w:r>
      <w:r>
        <w:rPr>
          <w:rFonts w:cs="Arial Unicode MS" w:eastAsia="Arial Unicode MS" w:hint="default"/>
          <w:rtl w:val="0"/>
        </w:rPr>
        <w:t>‘</w:t>
      </w:r>
      <w:r>
        <w:rPr>
          <w:rFonts w:cs="Arial Unicode MS" w:eastAsia="Arial Unicode MS"/>
          <w:rtl w:val="0"/>
        </w:rPr>
        <w:t>papyrus</w:t>
      </w:r>
      <w:r>
        <w:rPr>
          <w:rFonts w:cs="Arial Unicode MS" w:eastAsia="Arial Unicode MS" w:hint="default"/>
          <w:rtl w:val="0"/>
        </w:rPr>
        <w:t>’</w:t>
      </w:r>
      <w:r>
        <w:rPr>
          <w:rFonts w:cs="Arial Unicode MS" w:eastAsia="Arial Unicode MS"/>
          <w:rtl w:val="0"/>
        </w:rPr>
        <w:t>) results in 1,160 records. Last accessed 15 August 2022.</w:t>
      </w:r>
    </w:p>
  </w:footnote>
  <w:footnote w:id="10">
    <w:p>
      <w:pPr>
        <w:pStyle w:val="footnote text"/>
      </w:pPr>
      <w:r>
        <w:rPr>
          <w:vertAlign w:val="superscript"/>
        </w:rPr>
        <w:footnoteRef/>
      </w:r>
      <w:r>
        <w:rPr>
          <w:rFonts w:cs="Arial Unicode MS" w:eastAsia="Arial Unicode MS"/>
          <w:rtl w:val="0"/>
        </w:rPr>
        <w:t xml:space="preserve"> </w:t>
      </w:r>
      <w:r>
        <w:rPr>
          <w:rStyle w:val="Hyperlink.1"/>
        </w:rPr>
        <w:fldChar w:fldCharType="begin" w:fldLock="0"/>
      </w:r>
      <w:r>
        <w:rPr>
          <w:rStyle w:val="Hyperlink.1"/>
        </w:rPr>
        <w:instrText xml:space="preserve"> HYPERLINK "https://papyri.info/biblio/14543"</w:instrText>
      </w:r>
      <w:r>
        <w:rPr>
          <w:rStyle w:val="Hyperlink.1"/>
        </w:rPr>
        <w:fldChar w:fldCharType="separate" w:fldLock="0"/>
      </w:r>
      <w:r>
        <w:rPr>
          <w:rStyle w:val="Hyperlink.1"/>
          <w:rFonts w:cs="Arial Unicode MS" w:eastAsia="Arial Unicode MS"/>
          <w:rtl w:val="0"/>
        </w:rPr>
        <w:t>Salomons (1996: 332)</w:t>
      </w:r>
      <w:r>
        <w:rPr/>
        <w:fldChar w:fldCharType="end" w:fldLock="0"/>
      </w:r>
      <w:r>
        <w:rPr>
          <w:rFonts w:cs="Arial Unicode MS" w:eastAsia="Arial Unicode MS"/>
          <w:rtl w:val="0"/>
        </w:rPr>
        <w:t xml:space="preserve"> reports that, according to a note in Lobel</w:t>
      </w:r>
      <w:r>
        <w:rPr>
          <w:rFonts w:cs="Arial Unicode MS" w:eastAsia="Arial Unicode MS" w:hint="default"/>
          <w:rtl w:val="0"/>
        </w:rPr>
        <w:t>’</w:t>
      </w:r>
      <w:r>
        <w:rPr>
          <w:rFonts w:cs="Arial Unicode MS" w:eastAsia="Arial Unicode MS"/>
          <w:rtl w:val="0"/>
        </w:rPr>
        <w:t>s hand, MS. Gr. class. c 103</w:t>
      </w:r>
      <w:r>
        <w:rPr>
          <w:rFonts w:cs="Arial Unicode MS" w:eastAsia="Arial Unicode MS" w:hint="default"/>
          <w:rtl w:val="0"/>
        </w:rPr>
        <w:t>–</w:t>
      </w:r>
      <w:r>
        <w:rPr>
          <w:rFonts w:cs="Arial Unicode MS" w:eastAsia="Arial Unicode MS"/>
          <w:rtl w:val="0"/>
        </w:rPr>
        <w:t xml:space="preserve">228 were purchased in Cairo by Grenfell. Notes regarding other segments of the </w:t>
      </w:r>
      <w:r>
        <w:rPr>
          <w:rFonts w:cs="Arial Unicode MS" w:eastAsia="Arial Unicode MS"/>
          <w:b w:val="1"/>
          <w:bCs w:val="1"/>
          <w:rtl w:val="0"/>
          <w:lang w:val="en-US"/>
        </w:rPr>
        <w:t>c</w:t>
      </w:r>
      <w:r>
        <w:rPr>
          <w:rFonts w:cs="Arial Unicode MS" w:eastAsia="Arial Unicode MS"/>
          <w:rtl w:val="0"/>
        </w:rPr>
        <w:t xml:space="preserve"> series pepper his catalogue: e.g., that 234</w:t>
      </w:r>
      <w:r>
        <w:rPr>
          <w:rFonts w:cs="Arial Unicode MS" w:eastAsia="Arial Unicode MS" w:hint="default"/>
          <w:rtl w:val="0"/>
        </w:rPr>
        <w:t>–</w:t>
      </w:r>
      <w:r>
        <w:rPr>
          <w:rFonts w:cs="Arial Unicode MS" w:eastAsia="Arial Unicode MS"/>
          <w:rtl w:val="0"/>
        </w:rPr>
        <w:t xml:space="preserve">288 come </w:t>
      </w:r>
      <w:r>
        <w:rPr>
          <w:rFonts w:cs="Arial Unicode MS" w:eastAsia="Arial Unicode MS" w:hint="default"/>
          <w:rtl w:val="0"/>
        </w:rPr>
        <w:t>“</w:t>
      </w:r>
      <w:r>
        <w:rPr>
          <w:rFonts w:cs="Arial Unicode MS" w:eastAsia="Arial Unicode MS"/>
          <w:rtl w:val="0"/>
        </w:rPr>
        <w:t>from Mrs. Hunt and other sources</w:t>
      </w:r>
      <w:r>
        <w:rPr>
          <w:rFonts w:cs="Arial Unicode MS" w:eastAsia="Arial Unicode MS" w:hint="default"/>
          <w:rtl w:val="0"/>
        </w:rPr>
        <w:t>”</w:t>
      </w:r>
      <w:r>
        <w:rPr>
          <w:rFonts w:cs="Arial Unicode MS" w:eastAsia="Arial Unicode MS"/>
          <w:rtl w:val="0"/>
        </w:rPr>
        <w:t>, including Sayce; and that 294</w:t>
      </w:r>
      <w:r>
        <w:rPr>
          <w:rFonts w:cs="Arial Unicode MS" w:eastAsia="Arial Unicode MS" w:hint="default"/>
          <w:rtl w:val="0"/>
        </w:rPr>
        <w:t>–</w:t>
      </w:r>
      <w:r>
        <w:rPr>
          <w:rFonts w:cs="Arial Unicode MS" w:eastAsia="Arial Unicode MS"/>
          <w:rtl w:val="0"/>
        </w:rPr>
        <w:t xml:space="preserve">300 were </w:t>
      </w:r>
      <w:r>
        <w:rPr>
          <w:rFonts w:cs="Arial Unicode MS" w:eastAsia="Arial Unicode MS" w:hint="default"/>
          <w:rtl w:val="0"/>
        </w:rPr>
        <w:t>“</w:t>
      </w:r>
      <w:r>
        <w:rPr>
          <w:rFonts w:cs="Arial Unicode MS" w:eastAsia="Arial Unicode MS"/>
          <w:rtl w:val="0"/>
        </w:rPr>
        <w:t>perhaps acquired from G. J. Chester.</w:t>
      </w:r>
      <w:r>
        <w:rPr>
          <w:rFonts w:cs="Arial Unicode MS" w:eastAsia="Arial Unicode MS" w:hint="default"/>
          <w:rtl w:val="0"/>
        </w:rPr>
        <w:t xml:space="preserve">” </w:t>
      </w:r>
      <w:r>
        <w:rPr>
          <w:rFonts w:cs="Arial Unicode MS" w:eastAsia="Arial Unicode MS"/>
          <w:rtl w:val="0"/>
        </w:rPr>
        <w:t>There were evidently other smaller, unimportant scraps from early acquisitions that were not immediately assigned shelfmarks.</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Deutsch" w:val="‘“(〔[{〈《「『【⦅〘〖«〝︵︷︹︻︽︿﹁﹃﹇﹙﹛﹝｢"/>
  <w:noLineBreaksBefore w:lang="Deutsc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character" w:styleId="Hyperlink.1">
    <w:name w:val="Hyperlink.1"/>
    <w:basedOn w:val="Hyperlink.0"/>
    <w:next w:val="Hyperlink.1"/>
    <w:rPr>
      <w:color w:val="0563c1"/>
      <w:u w:color="0563c1"/>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