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ext"/>
        <w:rPr>
          <w:sz w:val="22"/>
          <w:szCs w:val="22"/>
        </w:rPr>
      </w:pPr>
      <w:r>
        <w:rPr>
          <w:sz w:val="22"/>
          <w:szCs w:val="22"/>
          <w:rtl w:val="0"/>
          <w:lang w:val="en-US"/>
        </w:rPr>
        <w:t>#articleTitle</w:t>
      </w:r>
    </w:p>
    <w:p>
      <w:pPr>
        <w:pStyle w:val="Body"/>
        <w:rPr>
          <w:b w:val="1"/>
          <w:bCs w:val="1"/>
        </w:rPr>
      </w:pPr>
      <w:r>
        <w:rPr>
          <w:rtl w:val="0"/>
          <w:lang w:val="en-US"/>
        </w:rPr>
        <w:t>An Inscription from the Reign of Probus in the Isis Temple at Berenike</w:t>
      </w:r>
    </w:p>
    <w:p>
      <w:pPr>
        <w:pStyle w:val="Text"/>
        <w:rPr>
          <w:sz w:val="22"/>
          <w:szCs w:val="22"/>
        </w:rPr>
      </w:pPr>
    </w:p>
    <w:p>
      <w:pPr>
        <w:pStyle w:val="Text"/>
        <w:rPr>
          <w:sz w:val="22"/>
          <w:szCs w:val="22"/>
        </w:rPr>
      </w:pPr>
      <w:r>
        <w:rPr>
          <w:sz w:val="22"/>
          <w:szCs w:val="22"/>
          <w:rtl w:val="0"/>
          <w:lang w:val="en-US"/>
        </w:rPr>
        <w:t>#author</w:t>
      </w:r>
    </w:p>
    <w:p>
      <w:pPr>
        <w:pStyle w:val="Body"/>
      </w:pPr>
      <w:r>
        <w:rPr>
          <w:rtl w:val="0"/>
          <w:lang w:val="de-DE"/>
        </w:rPr>
        <w:t>Ast</w:t>
      </w:r>
      <w:r>
        <w:rPr>
          <w:rtl w:val="0"/>
          <w:lang w:val="de-DE"/>
        </w:rPr>
        <w:t>, Rodney</w:t>
      </w:r>
    </w:p>
    <w:p>
      <w:pPr>
        <w:pStyle w:val="Text"/>
        <w:rPr>
          <w:sz w:val="22"/>
          <w:szCs w:val="22"/>
          <w:lang w:val="fr-FR"/>
        </w:rPr>
      </w:pPr>
    </w:p>
    <w:p>
      <w:pPr>
        <w:pStyle w:val="Text"/>
        <w:rPr>
          <w:sz w:val="22"/>
          <w:szCs w:val="22"/>
          <w:lang w:val="fr-FR"/>
        </w:rPr>
      </w:pPr>
      <w:r>
        <w:rPr>
          <w:sz w:val="22"/>
          <w:szCs w:val="22"/>
          <w:rtl w:val="0"/>
          <w:lang w:val="fr-FR"/>
        </w:rPr>
        <w:t>#affiliation</w:t>
      </w:r>
    </w:p>
    <w:p>
      <w:pPr>
        <w:pStyle w:val="Text"/>
        <w:rPr>
          <w:rFonts w:ascii="IFAO-Grec Unicode" w:cs="IFAO-Grec Unicode" w:hAnsi="IFAO-Grec Unicode" w:eastAsia="IFAO-Grec Unicode"/>
          <w:sz w:val="22"/>
          <w:szCs w:val="22"/>
        </w:rPr>
      </w:pPr>
      <w:r>
        <w:rPr>
          <w:rFonts w:ascii="Times New Roman" w:hAnsi="Times New Roman"/>
          <w:sz w:val="22"/>
          <w:szCs w:val="22"/>
          <w:rtl w:val="0"/>
          <w:lang w:val="en-US"/>
        </w:rPr>
        <w:t>Heidelberg University</w:t>
      </w:r>
      <w:r>
        <w:rPr>
          <w:rFonts w:ascii="IFAO-Grec Unicode" w:hAnsi="IFAO-Grec Unicode"/>
          <w:sz w:val="22"/>
          <w:szCs w:val="22"/>
          <w:rtl w:val="0"/>
          <w:lang w:val="fr-FR"/>
        </w:rPr>
        <w:t xml:space="preserve"> </w:t>
      </w:r>
    </w:p>
    <w:p>
      <w:pPr>
        <w:pStyle w:val="Text"/>
        <w:rPr>
          <w:sz w:val="22"/>
          <w:szCs w:val="22"/>
        </w:rPr>
      </w:pPr>
    </w:p>
    <w:p>
      <w:pPr>
        <w:pStyle w:val="Text"/>
        <w:rPr>
          <w:sz w:val="22"/>
          <w:szCs w:val="22"/>
        </w:rPr>
      </w:pPr>
      <w:r>
        <w:rPr>
          <w:sz w:val="22"/>
          <w:szCs w:val="22"/>
          <w:rtl w:val="0"/>
          <w:lang w:val="en-US"/>
        </w:rPr>
        <w:t>#email</w:t>
      </w:r>
    </w:p>
    <w:p>
      <w:pPr>
        <w:pStyle w:val="Text"/>
        <w:rPr>
          <w:sz w:val="22"/>
          <w:szCs w:val="22"/>
        </w:rPr>
      </w:pPr>
      <w:r>
        <w:rPr>
          <w:sz w:val="22"/>
          <w:szCs w:val="22"/>
          <w:rtl w:val="0"/>
          <w:lang w:val="de-DE"/>
        </w:rPr>
        <w:t xml:space="preserve">ast@uni-heidelberg.de </w:t>
      </w:r>
    </w:p>
    <w:p>
      <w:pPr>
        <w:pStyle w:val="Standard"/>
        <w:spacing w:after="0" w:line="240" w:lineRule="auto"/>
        <w:rPr>
          <w:sz w:val="22"/>
          <w:szCs w:val="22"/>
        </w:rPr>
      </w:pPr>
    </w:p>
    <w:p>
      <w:pPr>
        <w:pStyle w:val="Standard"/>
        <w:spacing w:after="0" w:line="240" w:lineRule="auto"/>
      </w:pPr>
    </w:p>
    <w:p>
      <w:pPr>
        <w:pStyle w:val="Body"/>
      </w:pPr>
      <w:r>
        <w:rPr>
          <w:rtl w:val="0"/>
          <w:lang w:val="en-US"/>
        </w:rPr>
        <w:t>#acknowledgement</w:t>
      </w:r>
    </w:p>
    <w:p>
      <w:pPr>
        <w:pStyle w:val="Body"/>
      </w:pPr>
      <w:r>
        <w:rPr>
          <w:rtl w:val="0"/>
          <w:lang w:val="en-US"/>
        </w:rPr>
        <w:t>I am grateful to Kamila Brauli</w:t>
      </w:r>
      <w:r>
        <w:rPr>
          <w:rFonts w:ascii="IFAO-Grec Unicode" w:hAnsi="IFAO-Grec Unicode" w:hint="default"/>
          <w:outline w:val="0"/>
          <w:color w:val="000000"/>
          <w:u w:color="000000"/>
          <w:rtl w:val="0"/>
          <w:lang w:val="en-US"/>
          <w14:textFill>
            <w14:solidFill>
              <w14:srgbClr w14:val="000000"/>
            </w14:solidFill>
          </w14:textFill>
        </w:rPr>
        <w:t>ń</w:t>
      </w:r>
      <w:r>
        <w:rPr>
          <w:rtl w:val="0"/>
          <w:lang w:val="en-US"/>
        </w:rPr>
        <w:t>ska for performing Reflectance Transformation Imaging under challenging field conditions on inscriptions recently excavated in Berenike. My thanks are also due to the Egyptian Ministry of Tourism and Atinquities for continued support of the Berenike Project, to colleagues at the Polish Centre for Mediterranean Archaeology, especially Mariusz Gwiazda, for managing the Berenike concession, and to Steven Sidebotham and the rest of the Berenike Project team for everything that makes this such an exciting mission.</w:t>
      </w:r>
    </w:p>
    <w:p>
      <w:pPr>
        <w:pStyle w:val="Body"/>
      </w:pPr>
    </w:p>
    <w:p>
      <w:pPr>
        <w:pStyle w:val="Body"/>
      </w:pPr>
    </w:p>
    <w:p>
      <w:pPr>
        <w:pStyle w:val="Body"/>
      </w:pPr>
      <w:r>
        <w:rPr>
          <w:rtl w:val="0"/>
          <w:lang w:val="fr-FR"/>
        </w:rPr>
        <w:t>#introduction</w:t>
      </w:r>
    </w:p>
    <w:p>
      <w:pPr>
        <w:pStyle w:val="Body"/>
      </w:pPr>
      <w:r>
        <w:rPr>
          <w:rtl w:val="0"/>
          <w:lang w:val="en-US"/>
        </w:rPr>
        <w:t>The stele published here was first exposed in 2015 near the bottom of a pile of large stones in the northwest corner of the Isis temple courtyard at the port of Berenike on Egypt</w:t>
      </w:r>
      <w:r>
        <w:rPr>
          <w:rtl w:val="1"/>
        </w:rPr>
        <w:t>’</w:t>
      </w:r>
      <w:r>
        <w:rPr>
          <w:rtl w:val="0"/>
          <w:lang w:val="en-US"/>
        </w:rPr>
        <w:t>s Red Sea coast (</w:t>
      </w:r>
      <w:r>
        <w:rPr>
          <w:shd w:val="clear" w:color="auto" w:fill="ffff00"/>
          <w:rtl w:val="0"/>
        </w:rPr>
        <w:t>Fig. 1</w:t>
      </w:r>
      <w:r>
        <w:rPr>
          <w:rtl w:val="0"/>
        </w:rPr>
        <w:t>).</w:t>
      </w:r>
      <w:r>
        <w:rPr>
          <w:rFonts w:ascii="Times New Roman" w:cs="Times New Roman" w:hAnsi="Times New Roman" w:eastAsia="Times New Roman"/>
          <w:b w:val="0"/>
          <w:bCs w:val="0"/>
          <w:i w:val="0"/>
          <w:iCs w:val="0"/>
          <w:vertAlign w:val="superscript"/>
        </w:rPr>
        <w:footnoteReference w:id="1"/>
      </w:r>
      <w:r>
        <w:rPr>
          <w:rtl w:val="0"/>
          <w:lang w:val="en-US"/>
        </w:rPr>
        <w:t xml:space="preserve"> The inscribed side was not revealed until January 2022 after a large roof block had been removed. </w:t>
      </w:r>
    </w:p>
    <w:p>
      <w:pPr>
        <w:pStyle w:val="Body"/>
      </w:pPr>
    </w:p>
    <w:p>
      <w:pPr>
        <w:pStyle w:val="Body"/>
      </w:pPr>
      <w:r>
        <w:rPr>
          <w:rtl w:val="0"/>
          <w:lang w:val="en-US"/>
        </w:rPr>
        <w:t xml:space="preserve">The stele measures 83 </w:t>
      </w:r>
      <w:r>
        <w:rPr>
          <w:rtl w:val="0"/>
        </w:rPr>
        <w:t xml:space="preserve">× </w:t>
      </w:r>
      <w:r>
        <w:rPr>
          <w:rtl w:val="0"/>
        </w:rPr>
        <w:t xml:space="preserve">72 </w:t>
      </w:r>
      <w:r>
        <w:rPr>
          <w:rtl w:val="0"/>
        </w:rPr>
        <w:t xml:space="preserve">× </w:t>
      </w:r>
      <w:r>
        <w:rPr>
          <w:rtl w:val="0"/>
        </w:rPr>
        <w:t>9 cm</w:t>
      </w:r>
      <w:r>
        <w:rPr>
          <w:rFonts w:ascii="Times New Roman" w:cs="Times New Roman" w:hAnsi="Times New Roman" w:eastAsia="Times New Roman"/>
          <w:b w:val="0"/>
          <w:bCs w:val="0"/>
          <w:i w:val="0"/>
          <w:iCs w:val="0"/>
          <w:vertAlign w:val="superscript"/>
        </w:rPr>
        <w:footnoteReference w:id="2"/>
      </w:r>
      <w:r>
        <w:rPr>
          <w:rtl w:val="0"/>
          <w:lang w:val="en-US"/>
        </w:rPr>
        <w:t xml:space="preserve"> and is made from the anhydritic gypsum stone commonly used in Berenike for buildings, statues, inscriptions, etc., which was sourced on Ras Banas, the peninsula that stretches north and east of the port across from Foul Bay.</w:t>
      </w:r>
      <w:r>
        <w:rPr>
          <w:rFonts w:ascii="Times New Roman" w:cs="Times New Roman" w:hAnsi="Times New Roman" w:eastAsia="Times New Roman"/>
          <w:b w:val="0"/>
          <w:bCs w:val="0"/>
          <w:i w:val="0"/>
          <w:iCs w:val="0"/>
          <w:vertAlign w:val="superscript"/>
        </w:rPr>
        <w:footnoteReference w:id="3"/>
      </w:r>
      <w:r>
        <w:rPr>
          <w:rtl w:val="0"/>
          <w:lang w:val="en-US"/>
        </w:rPr>
        <w:t xml:space="preserve"> Broken on the top and left sides, the dedication comprises at least five lines. Clearly incised guidelines cut horizontally at intervals of about three centimeters give it an unfinished appearance. While such guidelines are apparent in other inscriptions from the site,</w:t>
      </w:r>
      <w:r>
        <w:rPr>
          <w:rFonts w:ascii="Times New Roman" w:cs="Times New Roman" w:hAnsi="Times New Roman" w:eastAsia="Times New Roman"/>
          <w:b w:val="0"/>
          <w:bCs w:val="0"/>
          <w:i w:val="0"/>
          <w:iCs w:val="0"/>
          <w:vertAlign w:val="superscript"/>
        </w:rPr>
        <w:footnoteReference w:id="4"/>
      </w:r>
      <w:r>
        <w:rPr>
          <w:rtl w:val="0"/>
          <w:lang w:val="en-US"/>
        </w:rPr>
        <w:t xml:space="preserve"> these are much more pronounced. It is possible that the inscription was never completed.</w:t>
      </w:r>
    </w:p>
    <w:p>
      <w:pPr>
        <w:pStyle w:val="Body"/>
      </w:pPr>
    </w:p>
    <w:p>
      <w:pPr>
        <w:pStyle w:val="Body"/>
      </w:pPr>
      <w:r>
        <w:rPr>
          <w:rtl w:val="0"/>
          <w:lang w:val="en-US"/>
        </w:rPr>
        <w:t>The surface of the stone is now very damaged, and decipherment is seriously impeded by flaking, but it has been possible to read most of the extant text with the help of Reflectance Transformation Imaging (RTI).</w:t>
      </w:r>
      <w:r>
        <w:rPr>
          <w:rFonts w:ascii="Times New Roman" w:cs="Times New Roman" w:hAnsi="Times New Roman" w:eastAsia="Times New Roman"/>
          <w:b w:val="0"/>
          <w:bCs w:val="0"/>
          <w:i w:val="0"/>
          <w:iCs w:val="0"/>
          <w:vertAlign w:val="superscript"/>
        </w:rPr>
        <w:footnoteReference w:id="5"/>
      </w:r>
      <w:r>
        <w:rPr>
          <w:rtl w:val="0"/>
          <w:lang w:val="en-US"/>
        </w:rPr>
        <w:t xml:space="preserve"> A novelty of this edition is that it is accompanied by this imaging, which is presented in an RTI Web viewer.</w:t>
      </w:r>
    </w:p>
    <w:p>
      <w:pPr>
        <w:pStyle w:val="Body"/>
      </w:pPr>
    </w:p>
    <w:p>
      <w:pPr>
        <w:pStyle w:val="Body"/>
      </w:pPr>
      <w:r>
        <w:rPr>
          <w:rtl w:val="0"/>
          <w:lang w:val="en-US"/>
        </w:rPr>
        <w:t>The lettering of the inscription is largely bilinear with individual letters measuring 2.6</w:t>
      </w:r>
      <w:r>
        <w:rPr>
          <w:rtl w:val="0"/>
        </w:rPr>
        <w:t>–</w:t>
      </w:r>
      <w:r>
        <w:rPr>
          <w:rtl w:val="0"/>
          <w:lang w:val="en-US"/>
        </w:rPr>
        <w:t xml:space="preserve">3.0 cm in height. Omicron poses an exception: In several places it is incised so small that it resembles an exaggerated medial dot (cf. the second omicron in </w:t>
      </w:r>
      <w:r>
        <w:rPr>
          <w:rFonts w:ascii="IFAO-Grec Unicode" w:hAnsi="IFAO-Grec Unicode" w:hint="default"/>
          <w:rtl w:val="0"/>
          <w:lang w:val="en-US"/>
        </w:rPr>
        <w:t>Πρ</w:t>
      </w:r>
      <w:r>
        <w:rPr>
          <w:rFonts w:ascii="IFAO-Grec Unicode" w:hAnsi="IFAO-Grec Unicode" w:hint="default"/>
          <w:rtl w:val="0"/>
        </w:rPr>
        <w:t xml:space="preserve">όβου </w:t>
      </w:r>
      <w:r>
        <w:rPr>
          <w:rFonts w:ascii="IFAO-Grec Unicode" w:hAnsi="IFAO-Grec Unicode"/>
          <w:rtl w:val="0"/>
          <w:lang w:val="en-US"/>
        </w:rPr>
        <w:t xml:space="preserve">in line 3 and that in </w:t>
      </w:r>
      <w:r>
        <w:rPr>
          <w:rFonts w:ascii="IFAO-Grec Unicode" w:hAnsi="IFAO-Grec Unicode" w:hint="default"/>
          <w:rtl w:val="0"/>
          <w:lang w:val="en-US"/>
        </w:rPr>
        <w:t>κυρ</w:t>
      </w:r>
      <w:r>
        <w:rPr>
          <w:rFonts w:ascii="IFAO-Grec Unicode" w:hAnsi="IFAO-Grec Unicode" w:hint="default"/>
          <w:rtl w:val="0"/>
        </w:rPr>
        <w:t xml:space="preserve">ίου </w:t>
      </w:r>
      <w:r>
        <w:rPr>
          <w:rFonts w:ascii="IFAO-Grec Unicode" w:hAnsi="IFAO-Grec Unicode"/>
          <w:rtl w:val="0"/>
          <w:lang w:val="en-US"/>
        </w:rPr>
        <w:t>in line 4</w:t>
      </w:r>
      <w:r>
        <w:rPr>
          <w:rtl w:val="0"/>
          <w:lang w:val="en-US"/>
        </w:rPr>
        <w:t xml:space="preserve">). Following </w:t>
      </w:r>
      <w:r>
        <w:rPr>
          <w:rFonts w:ascii="IFAO-Grec Unicode" w:hAnsi="IFAO-Grec Unicode" w:hint="default"/>
          <w:rtl w:val="0"/>
          <w:lang w:val="en-US"/>
        </w:rPr>
        <w:t>Σεβαστο</w:t>
      </w:r>
      <w:r>
        <w:rPr>
          <w:rFonts w:ascii="IFAO-Grec Unicode" w:hAnsi="IFAO-Grec Unicode" w:hint="default"/>
          <w:rtl w:val="0"/>
        </w:rPr>
        <w:t>ῦ</w:t>
      </w:r>
      <w:r>
        <w:rPr>
          <w:rtl w:val="0"/>
          <w:lang w:val="en-US"/>
        </w:rPr>
        <w:t xml:space="preserve"> at the end of the regnal formula in line 4 is a punctuation mark shaped like an angle bracket (&gt;). A large ivy leaf (</w:t>
      </w:r>
      <w:r>
        <w:rPr>
          <w:i w:val="1"/>
          <w:iCs w:val="1"/>
          <w:rtl w:val="0"/>
          <w:lang w:val="da-DK"/>
        </w:rPr>
        <w:t>hedera</w:t>
      </w:r>
      <w:r>
        <w:rPr>
          <w:rtl w:val="0"/>
          <w:lang w:val="en-US"/>
        </w:rPr>
        <w:t xml:space="preserve">) is visible after the month and day, </w:t>
      </w:r>
      <w:r>
        <w:rPr>
          <w:rFonts w:ascii="IFAO-Grec Unicode" w:hAnsi="IFAO-Grec Unicode" w:hint="default"/>
          <w:rtl w:val="0"/>
        </w:rPr>
        <w:t>Ἁθὺρ κα</w:t>
      </w:r>
      <w:r>
        <w:rPr>
          <w:rFonts w:ascii="IFAO-Grec Unicode" w:hAnsi="IFAO-Grec Unicode"/>
          <w:rtl w:val="0"/>
          <w:lang w:val="en-US"/>
        </w:rPr>
        <w:t>, in the last line. Whether another leaf was inscribed before the month name is difficult to say (see comm. ad loc.).</w:t>
      </w:r>
    </w:p>
    <w:p>
      <w:pPr>
        <w:pStyle w:val="Body"/>
      </w:pPr>
    </w:p>
    <w:p>
      <w:pPr>
        <w:pStyle w:val="Body"/>
      </w:pPr>
      <w:r>
        <w:rPr>
          <w:rtl w:val="0"/>
          <w:lang w:val="en-US"/>
        </w:rPr>
        <w:t>The physical format of the stele finds parallels in other third-century dedications from Berenike. The stones are in the shape of thin slabs, not the large dedication bases that supported monumental statues typical of the first and early second centuries, although the latter type is also found albeit in smaller formats.</w:t>
      </w:r>
      <w:r>
        <w:rPr>
          <w:rFonts w:ascii="Times New Roman" w:cs="Times New Roman" w:hAnsi="Times New Roman" w:eastAsia="Times New Roman"/>
          <w:b w:val="0"/>
          <w:bCs w:val="0"/>
          <w:i w:val="0"/>
          <w:iCs w:val="0"/>
          <w:vertAlign w:val="superscript"/>
        </w:rPr>
        <w:footnoteReference w:id="6"/>
      </w:r>
      <w:r>
        <w:rPr>
          <w:rtl w:val="0"/>
          <w:lang w:val="en-US"/>
        </w:rPr>
        <w:t xml:space="preserve"> The slabs are too slender to have been self-standing. They must have leaned against a wall or some other firm vertical surface. Other examples of the format are found in two Greek dedicatory stelai, one from the joint reign of Gallus and Volusianus (April 17, 253), 58 </w:t>
      </w:r>
      <w:r>
        <w:rPr>
          <w:rtl w:val="0"/>
        </w:rPr>
        <w:t xml:space="preserve">× </w:t>
      </w:r>
      <w:r>
        <w:rPr>
          <w:rtl w:val="0"/>
          <w:lang w:val="ru-RU"/>
        </w:rPr>
        <w:t xml:space="preserve">74 </w:t>
      </w:r>
      <w:r>
        <w:rPr>
          <w:rtl w:val="0"/>
        </w:rPr>
        <w:t xml:space="preserve">× </w:t>
      </w:r>
      <w:r>
        <w:rPr>
          <w:rtl w:val="0"/>
          <w:lang w:val="en-US"/>
        </w:rPr>
        <w:t xml:space="preserve">20 cm, another from the reign of Septimius Severus (September 7, 210), 70 </w:t>
      </w:r>
      <w:r>
        <w:rPr>
          <w:rtl w:val="0"/>
        </w:rPr>
        <w:t xml:space="preserve">× </w:t>
      </w:r>
      <w:r>
        <w:rPr>
          <w:rtl w:val="0"/>
        </w:rPr>
        <w:t xml:space="preserve">73 </w:t>
      </w:r>
      <w:r>
        <w:rPr>
          <w:rtl w:val="0"/>
        </w:rPr>
        <w:t xml:space="preserve">× </w:t>
      </w:r>
      <w:r>
        <w:rPr>
          <w:rtl w:val="0"/>
        </w:rPr>
        <w:t>13 cm,</w:t>
      </w:r>
      <w:r>
        <w:rPr>
          <w:rFonts w:ascii="Times New Roman" w:cs="Times New Roman" w:hAnsi="Times New Roman" w:eastAsia="Times New Roman"/>
          <w:b w:val="0"/>
          <w:bCs w:val="0"/>
          <w:i w:val="0"/>
          <w:iCs w:val="0"/>
          <w:vertAlign w:val="superscript"/>
        </w:rPr>
        <w:footnoteReference w:id="7"/>
      </w:r>
      <w:r>
        <w:rPr>
          <w:rtl w:val="0"/>
          <w:lang w:val="en-US"/>
        </w:rPr>
        <w:t xml:space="preserve"> and in a Brahmi Sanskrit-Greek stele from the sixth year of Philip the Arab (September 9, 248), 55 </w:t>
      </w:r>
      <w:r>
        <w:rPr>
          <w:rtl w:val="0"/>
        </w:rPr>
        <w:t xml:space="preserve">× </w:t>
      </w:r>
      <w:r>
        <w:rPr>
          <w:rtl w:val="0"/>
        </w:rPr>
        <w:t xml:space="preserve">83 </w:t>
      </w:r>
      <w:r>
        <w:rPr>
          <w:rtl w:val="0"/>
        </w:rPr>
        <w:t xml:space="preserve">× </w:t>
      </w:r>
      <w:r>
        <w:rPr>
          <w:rtl w:val="0"/>
        </w:rPr>
        <w:t>17.5 cm.</w:t>
      </w:r>
      <w:r>
        <w:rPr>
          <w:rFonts w:ascii="Times New Roman" w:cs="Times New Roman" w:hAnsi="Times New Roman" w:eastAsia="Times New Roman"/>
          <w:b w:val="0"/>
          <w:bCs w:val="0"/>
          <w:i w:val="0"/>
          <w:iCs w:val="0"/>
          <w:vertAlign w:val="superscript"/>
        </w:rPr>
        <w:footnoteReference w:id="8"/>
      </w:r>
      <w:r>
        <w:rPr>
          <w:rtl w:val="0"/>
          <w:lang w:val="en-US"/>
        </w:rPr>
        <w:t xml:space="preserve"> Like the inscription edited here, the Sanskrit stele features a large blank space at the bottom that might have served as a backdrop to a votive offering or have been decorated in paint or some other medium that has since faded from view. </w:t>
      </w:r>
    </w:p>
    <w:p>
      <w:pPr>
        <w:pStyle w:val="Body"/>
      </w:pPr>
    </w:p>
    <w:p>
      <w:pPr>
        <w:pStyle w:val="Body"/>
      </w:pPr>
      <w:r>
        <w:rPr>
          <w:rtl w:val="0"/>
          <w:lang w:val="en-US"/>
        </w:rPr>
        <w:t>The present inscription is a private dedication of an individual whose name is no longer preserved. All that remains of the part identifying the person are the letters -</w:t>
      </w:r>
      <w:r>
        <w:rPr>
          <w:rtl w:val="0"/>
        </w:rPr>
        <w:t xml:space="preserve">ων </w:t>
      </w:r>
      <w:r>
        <w:rPr>
          <w:rtl w:val="0"/>
          <w:lang w:val="en-US"/>
        </w:rPr>
        <w:t>at the beginning of line 2. The dedicatee</w:t>
      </w:r>
      <w:r>
        <w:rPr>
          <w:rtl w:val="1"/>
        </w:rPr>
        <w:t>’</w:t>
      </w:r>
      <w:r>
        <w:rPr>
          <w:rtl w:val="0"/>
          <w:lang w:val="en-US"/>
        </w:rPr>
        <w:t>s name is also no longer extant, but it was likely either Isis or Sarapis, the two most common beneficiaries of dedications in the temple. The dedicant made the offering as an expression of piety (</w:t>
      </w:r>
      <w:r>
        <w:rPr>
          <w:rFonts w:ascii="IFAO-Grec Unicode" w:hAnsi="IFAO-Grec Unicode" w:hint="default"/>
          <w:rtl w:val="0"/>
          <w:lang w:val="en-US"/>
        </w:rPr>
        <w:t>ε</w:t>
      </w:r>
      <w:r>
        <w:rPr>
          <w:rFonts w:ascii="IFAO-Grec Unicode" w:hAnsi="IFAO-Grec Unicode" w:hint="default"/>
          <w:rtl w:val="0"/>
        </w:rPr>
        <w:t>ὐσεβείας χάριν</w:t>
      </w:r>
      <w:r>
        <w:rPr>
          <w:rFonts w:ascii="IFAO-Grec Unicode" w:hAnsi="IFAO-Grec Unicode"/>
          <w:rtl w:val="0"/>
          <w:lang w:val="es-ES_tradnl"/>
        </w:rPr>
        <w:t>, ll. 2</w:t>
      </w:r>
      <w:r>
        <w:rPr>
          <w:rFonts w:ascii="IFAO-Grec Unicode" w:hAnsi="IFAO-Grec Unicode" w:hint="default"/>
          <w:rtl w:val="0"/>
          <w:lang w:val="en-US"/>
        </w:rPr>
        <w:t>–</w:t>
      </w:r>
      <w:r>
        <w:rPr>
          <w:rFonts w:ascii="IFAO-Grec Unicode" w:hAnsi="IFAO-Grec Unicode"/>
          <w:rtl w:val="0"/>
        </w:rPr>
        <w:t>3)</w:t>
      </w:r>
      <w:r>
        <w:rPr>
          <w:rtl w:val="0"/>
          <w:lang w:val="en-US"/>
        </w:rPr>
        <w:t>, the same motivation recorded in</w:t>
      </w:r>
      <w:r>
        <w:rPr>
          <w:rFonts w:ascii="IFAO-Grec Unicode" w:hAnsi="IFAO-Grec Unicode"/>
          <w:rtl w:val="0"/>
          <w:lang w:val="en-US"/>
        </w:rPr>
        <w:t xml:space="preserve"> two other dedications from Berenike, one for Isis and one for Sarapis</w:t>
      </w:r>
      <w:r>
        <w:rPr>
          <w:rtl w:val="0"/>
        </w:rPr>
        <w:t>.</w:t>
      </w:r>
      <w:r>
        <w:rPr>
          <w:rFonts w:ascii="Times New Roman" w:cs="Times New Roman" w:hAnsi="Times New Roman" w:eastAsia="Times New Roman"/>
          <w:b w:val="0"/>
          <w:bCs w:val="0"/>
          <w:i w:val="0"/>
          <w:iCs w:val="0"/>
          <w:vertAlign w:val="superscript"/>
        </w:rPr>
        <w:footnoteReference w:id="9"/>
      </w:r>
      <w:r>
        <w:rPr>
          <w:rtl w:val="0"/>
        </w:rPr>
        <w:t xml:space="preserve"> </w:t>
      </w:r>
    </w:p>
    <w:p>
      <w:pPr>
        <w:pStyle w:val="Body"/>
      </w:pPr>
    </w:p>
    <w:p>
      <w:pPr>
        <w:pStyle w:val="Body"/>
        <w:rPr>
          <w:rFonts w:ascii="IFAO-Grec Unicode" w:cs="IFAO-Grec Unicode" w:hAnsi="IFAO-Grec Unicode" w:eastAsia="IFAO-Grec Unicode"/>
        </w:rPr>
      </w:pPr>
      <w:r>
        <w:rPr>
          <w:rFonts w:ascii="IFAO-Grec Unicode" w:hAnsi="IFAO-Grec Unicode"/>
          <w:rtl w:val="0"/>
          <w:lang w:val="en-US"/>
        </w:rPr>
        <w:t xml:space="preserve">All that can clearly be associated with a date, besides the month and day in line 5, is the expression </w:t>
      </w:r>
      <w:r>
        <w:rPr>
          <w:rFonts w:ascii="IFAO-Grec Unicode" w:hAnsi="IFAO-Grec Unicode" w:hint="default"/>
          <w:rtl w:val="0"/>
          <w:lang w:val="en-US"/>
        </w:rPr>
        <w:t>Πρ</w:t>
      </w:r>
      <w:r>
        <w:rPr>
          <w:rFonts w:ascii="IFAO-Grec Unicode" w:hAnsi="IFAO-Grec Unicode" w:hint="default"/>
          <w:rtl w:val="0"/>
        </w:rPr>
        <w:t xml:space="preserve">όβου τοῦ κυρίου ἡμῶν Σεβαστοῦ </w:t>
      </w:r>
      <w:r>
        <w:rPr>
          <w:rFonts w:ascii="IFAO-Grec Unicode" w:hAnsi="IFAO-Grec Unicode"/>
          <w:rtl w:val="0"/>
          <w:lang w:val="en-US"/>
        </w:rPr>
        <w:t>in line 3</w:t>
      </w:r>
      <w:r>
        <w:rPr>
          <w:rFonts w:ascii="IFAO-Grec Unicode" w:hAnsi="IFAO-Grec Unicode" w:hint="default"/>
          <w:rtl w:val="0"/>
          <w:lang w:val="en-US"/>
        </w:rPr>
        <w:t>–</w:t>
      </w:r>
      <w:r>
        <w:rPr>
          <w:rFonts w:ascii="IFAO-Grec Unicode" w:hAnsi="IFAO-Grec Unicode"/>
          <w:rtl w:val="0"/>
        </w:rPr>
        <w:t>4</w:t>
      </w:r>
      <w:r>
        <w:rPr>
          <w:rtl w:val="0"/>
          <w:lang w:val="en-US"/>
        </w:rPr>
        <w:t xml:space="preserve">. As a regnal clause, this formulation is unprecedented in papyri and inscriptions. The closest formula found is the common </w:t>
      </w:r>
      <w:r>
        <w:rPr>
          <w:rFonts w:ascii="IFAO-Grec Unicode" w:hAnsi="IFAO-Grec Unicode" w:hint="default"/>
          <w:rtl w:val="0"/>
        </w:rPr>
        <w:t xml:space="preserve">ὁ κύριος ἡμῶν </w:t>
      </w:r>
      <w:r>
        <w:rPr>
          <w:rFonts w:ascii="IFAO-Grec Unicode" w:hAnsi="IFAO-Grec Unicode" w:hint="default"/>
          <w:rtl w:val="0"/>
          <w:lang w:val="en-US"/>
        </w:rPr>
        <w:t>Πρ</w:t>
      </w:r>
      <w:r>
        <w:rPr>
          <w:rFonts w:ascii="IFAO-Grec Unicode" w:hAnsi="IFAO-Grec Unicode" w:hint="default"/>
          <w:rtl w:val="0"/>
        </w:rPr>
        <w:t>όβος Σεβαστός</w:t>
      </w:r>
      <w:r>
        <w:rPr>
          <w:rFonts w:ascii="IFAO-Grec Unicode" w:hAnsi="IFAO-Grec Unicode"/>
          <w:rtl w:val="0"/>
        </w:rPr>
        <w:t>.</w:t>
      </w:r>
      <w:r>
        <w:rPr>
          <w:rFonts w:ascii="IFAO-Grec Unicode" w:cs="IFAO-Grec Unicode" w:hAnsi="IFAO-Grec Unicode" w:eastAsia="IFAO-Grec Unicode"/>
          <w:vertAlign w:val="superscript"/>
        </w:rPr>
        <w:footnoteReference w:id="10"/>
      </w:r>
      <w:r>
        <w:rPr>
          <w:rFonts w:ascii="IFAO-Grec Unicode" w:hAnsi="IFAO-Grec Unicode"/>
          <w:rtl w:val="0"/>
          <w:lang w:val="en-US"/>
        </w:rPr>
        <w:t xml:space="preserve"> The only other inscription from Egypt dated in the reign of Probus has </w:t>
      </w:r>
      <w:r>
        <w:rPr>
          <w:rFonts w:ascii="IFAO-Grec Unicode" w:hAnsi="IFAO-Grec Unicode" w:hint="default"/>
          <w:rtl w:val="0"/>
        </w:rPr>
        <w:t xml:space="preserve">ὁ κύριος Πρόβος </w:t>
      </w:r>
      <w:r>
        <w:rPr>
          <w:rFonts w:ascii="IFAO-Grec Unicode" w:hAnsi="IFAO-Grec Unicode"/>
          <w:rtl w:val="0"/>
        </w:rPr>
        <w:t>(</w:t>
      </w:r>
      <w:r>
        <w:rPr>
          <w:rStyle w:val="Hyperlink.1"/>
        </w:rPr>
        <w:fldChar w:fldCharType="begin" w:fldLock="0"/>
      </w:r>
      <w:r>
        <w:rPr>
          <w:rStyle w:val="Hyperlink.1"/>
        </w:rPr>
        <w:instrText xml:space="preserve"> HYPERLINK "https://papyri.info/biblio/13310"</w:instrText>
      </w:r>
      <w:r>
        <w:rPr>
          <w:rStyle w:val="Hyperlink.1"/>
        </w:rPr>
        <w:fldChar w:fldCharType="separate" w:fldLock="0"/>
      </w:r>
      <w:r>
        <w:rPr>
          <w:rStyle w:val="Hyperlink.1"/>
          <w:rtl w:val="0"/>
          <w:lang w:val="de-DE"/>
        </w:rPr>
        <w:t>SEG 40</w:t>
      </w:r>
      <w:r>
        <w:rPr/>
        <w:fldChar w:fldCharType="end" w:fldLock="0"/>
      </w:r>
      <w:r>
        <w:rPr>
          <w:rFonts w:ascii="IFAO-Grec Unicode" w:hAnsi="IFAO-Grec Unicode"/>
          <w:rtl w:val="0"/>
        </w:rPr>
        <w:t xml:space="preserve"> 1565; Kharga Oasis). </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Fonts w:ascii="IFAO-Grec Unicode" w:hAnsi="IFAO-Grec Unicode"/>
          <w:rtl w:val="0"/>
          <w:lang w:val="en-US"/>
        </w:rPr>
        <w:t xml:space="preserve">It is unclear what, if anything, directly preceded </w:t>
      </w:r>
      <w:r>
        <w:rPr>
          <w:rFonts w:ascii="IFAO-Grec Unicode" w:hAnsi="IFAO-Grec Unicode" w:hint="default"/>
          <w:rtl w:val="0"/>
          <w:lang w:val="en-US"/>
        </w:rPr>
        <w:t>Πρ</w:t>
      </w:r>
      <w:r>
        <w:rPr>
          <w:rFonts w:ascii="IFAO-Grec Unicode" w:hAnsi="IFAO-Grec Unicode" w:hint="default"/>
          <w:rtl w:val="0"/>
        </w:rPr>
        <w:t>όβου</w:t>
      </w:r>
      <w:r>
        <w:rPr>
          <w:rFonts w:ascii="IFAO-Grec Unicode" w:hAnsi="IFAO-Grec Unicode"/>
          <w:rtl w:val="0"/>
          <w:lang w:val="en-US"/>
        </w:rPr>
        <w:t xml:space="preserve">. After </w:t>
      </w:r>
      <w:r>
        <w:rPr>
          <w:rFonts w:ascii="IFAO-Grec Unicode" w:hAnsi="IFAO-Grec Unicode" w:hint="default"/>
          <w:rtl w:val="0"/>
          <w:lang w:val="en-US"/>
        </w:rPr>
        <w:t>ἀγαθ</w:t>
      </w:r>
      <w:r>
        <w:rPr>
          <w:rFonts w:ascii="IFAO-Grec Unicode" w:hAnsi="IFAO-Grec Unicode"/>
          <w:rtl w:val="0"/>
        </w:rPr>
        <w:t>o</w:t>
      </w:r>
      <w:r>
        <w:rPr>
          <w:rFonts w:ascii="IFAO-Grec Unicode" w:hAnsi="IFAO-Grec Unicode" w:hint="default"/>
          <w:rtl w:val="0"/>
        </w:rPr>
        <w:t>ῖ</w:t>
      </w:r>
      <w:r>
        <w:rPr>
          <w:rFonts w:ascii="IFAO-Grec Unicode" w:hAnsi="IFAO-Grec Unicode" w:hint="default"/>
          <w:rtl w:val="0"/>
          <w:lang w:val="en-US"/>
        </w:rPr>
        <w:t>ς</w:t>
      </w:r>
      <w:r>
        <w:rPr>
          <w:rFonts w:ascii="IFAO-Grec Unicode" w:hAnsi="IFAO-Grec Unicode"/>
          <w:rtl w:val="0"/>
          <w:lang w:val="en-US"/>
        </w:rPr>
        <w:t xml:space="preserve"> there is space large enough for three to four letters. Within this space, the upper and lower guidelines are very clear, each consisting of doubled lines, as seen in other places on the stone. If </w:t>
      </w:r>
      <w:r>
        <w:rPr>
          <w:rFonts w:ascii="IFAO-Grec Unicode" w:hAnsi="IFAO-Grec Unicode" w:hint="default"/>
          <w:rtl w:val="0"/>
          <w:lang w:val="en-US"/>
        </w:rPr>
        <w:t>Πρ</w:t>
      </w:r>
      <w:r>
        <w:rPr>
          <w:rFonts w:ascii="IFAO-Grec Unicode" w:hAnsi="IFAO-Grec Unicode" w:hint="default"/>
          <w:rtl w:val="0"/>
        </w:rPr>
        <w:t xml:space="preserve">όβου </w:t>
      </w:r>
      <w:r>
        <w:rPr>
          <w:rFonts w:ascii="IFAO-Grec Unicode" w:hAnsi="IFAO-Grec Unicode"/>
          <w:rtl w:val="0"/>
          <w:lang w:val="en-US"/>
        </w:rPr>
        <w:t xml:space="preserve">marks the beginning of the regnal formula, then we would expect the year to have been carved in this space. There are a couple of apparent vertical incisions, either of which might have belonged to the symbol for </w:t>
      </w:r>
      <w:r>
        <w:rPr>
          <w:rFonts w:ascii="IFAO-Grec Unicode" w:hAnsi="IFAO-Grec Unicode" w:hint="default"/>
          <w:rtl w:val="0"/>
        </w:rPr>
        <w:t>ἔτους</w:t>
      </w:r>
      <w:r>
        <w:rPr>
          <w:rFonts w:ascii="IFAO-Grec Unicode" w:hAnsi="IFAO-Grec Unicode"/>
          <w:rtl w:val="0"/>
          <w:lang w:val="en-US"/>
        </w:rPr>
        <w:t xml:space="preserve">; one could perhaps even make out remnants of a numeral. I have highlighted in </w:t>
      </w:r>
      <w:r>
        <w:rPr>
          <w:rFonts w:ascii="IFAO-Grec Unicode" w:hAnsi="IFAO-Grec Unicode"/>
          <w:shd w:val="clear" w:color="auto" w:fill="ffff00"/>
          <w:rtl w:val="0"/>
          <w:lang w:val="it-IT"/>
        </w:rPr>
        <w:t>Figure 2</w:t>
      </w:r>
      <w:r>
        <w:rPr>
          <w:rFonts w:ascii="IFAO-Grec Unicode" w:hAnsi="IFAO-Grec Unicode"/>
          <w:rtl w:val="0"/>
          <w:lang w:val="en-US"/>
        </w:rPr>
        <w:t xml:space="preserve"> the area in which the traces are suggestive. Alternatively, the space on the stone might be where the year was supposed be carved but never was, perhaps because the inscription was never finished (see above). A final possibility is that </w:t>
      </w:r>
      <w:r>
        <w:rPr>
          <w:rFonts w:ascii="IFAO-Grec Unicode" w:hAnsi="IFAO-Grec Unicode" w:hint="default"/>
          <w:rtl w:val="0"/>
          <w:lang w:val="en-US"/>
        </w:rPr>
        <w:t>Πρ</w:t>
      </w:r>
      <w:r>
        <w:rPr>
          <w:rFonts w:ascii="IFAO-Grec Unicode" w:hAnsi="IFAO-Grec Unicode" w:hint="default"/>
          <w:rtl w:val="0"/>
        </w:rPr>
        <w:t xml:space="preserve">όβου </w:t>
      </w:r>
      <w:r>
        <w:rPr>
          <w:rFonts w:ascii="IFAO-Grec Unicode" w:hAnsi="IFAO-Grec Unicode"/>
          <w:rtl w:val="0"/>
          <w:lang w:val="en-US"/>
        </w:rPr>
        <w:t>is not the beginning of the regnal formula, but rather depends on a word, such as the preposition</w:t>
      </w:r>
      <w:r>
        <w:rPr>
          <w:rFonts w:ascii="IFAO-Grec Unicode" w:hAnsi="IFAO-Grec Unicode"/>
          <w:rtl w:val="0"/>
          <w:lang w:val="fr-FR"/>
        </w:rPr>
        <w:t xml:space="preserve"> </w:t>
      </w:r>
      <w:r>
        <w:rPr>
          <w:rFonts w:ascii="IFAO-Grec Unicode" w:hAnsi="IFAO-Grec Unicode" w:hint="default"/>
          <w:rtl w:val="0"/>
        </w:rPr>
        <w:t>ὑπέρ</w:t>
      </w:r>
      <w:r>
        <w:rPr>
          <w:rFonts w:ascii="IFAO-Grec Unicode" w:hAnsi="IFAO-Grec Unicode"/>
          <w:rtl w:val="0"/>
          <w:lang w:val="en-US"/>
        </w:rPr>
        <w:t>, which is no longer legible in the space preceding it. Following this scenario, we might look to the beginning of line 5 for reference to the year.</w:t>
      </w:r>
      <w:r>
        <w:rPr>
          <w:rFonts w:ascii="IFAO-Grec Unicode" w:cs="IFAO-Grec Unicode" w:hAnsi="IFAO-Grec Unicode" w:eastAsia="IFAO-Grec Unicode"/>
          <w:vertAlign w:val="superscript"/>
        </w:rPr>
        <w:footnoteReference w:id="11"/>
      </w:r>
      <w:r>
        <w:rPr>
          <w:rFonts w:ascii="IFAO-Grec Unicode" w:hAnsi="IFAO-Grec Unicode"/>
          <w:rtl w:val="0"/>
        </w:rPr>
        <w:t xml:space="preserve"> </w:t>
      </w:r>
    </w:p>
    <w:p>
      <w:pPr>
        <w:pStyle w:val="Body"/>
        <w:rPr>
          <w:rFonts w:ascii="IFAO-Grec Unicode" w:cs="IFAO-Grec Unicode" w:hAnsi="IFAO-Grec Unicode" w:eastAsia="IFAO-Grec Unicode"/>
        </w:rPr>
      </w:pPr>
    </w:p>
    <w:p>
      <w:pPr>
        <w:pStyle w:val="Body"/>
      </w:pPr>
      <w:r>
        <w:rPr>
          <w:rtl w:val="0"/>
          <w:lang w:val="en-US"/>
        </w:rPr>
        <w:t>The dedication dates to a period in the history of Berenike and the wider Eastern Desert that, until recently, had not been well represented. In fact, prior to excavations in the Isis temple, third-century finds from the port were relatively few, with only one inscription bearing a third-century date.</w:t>
      </w:r>
      <w:r>
        <w:rPr>
          <w:rFonts w:ascii="Times New Roman" w:cs="Times New Roman" w:hAnsi="Times New Roman" w:eastAsia="Times New Roman"/>
          <w:b w:val="0"/>
          <w:bCs w:val="0"/>
          <w:i w:val="0"/>
          <w:iCs w:val="0"/>
          <w:vertAlign w:val="superscript"/>
        </w:rPr>
        <w:footnoteReference w:id="12"/>
      </w:r>
      <w:r>
        <w:rPr>
          <w:rtl w:val="0"/>
          <w:lang w:val="en-US"/>
        </w:rPr>
        <w:t xml:space="preserve"> Excavations in the temple have substantially changed this picture. As a result of them, the third century is now the second best-attested century in precisely dated inscriptions. In total, eight third-century dedications have been registered: Four of them are from the first decade of the century (years 209 and 210) and one is from 215;</w:t>
      </w:r>
      <w:r>
        <w:rPr>
          <w:rFonts w:ascii="Times New Roman" w:cs="Times New Roman" w:hAnsi="Times New Roman" w:eastAsia="Times New Roman"/>
          <w:b w:val="0"/>
          <w:bCs w:val="0"/>
          <w:i w:val="0"/>
          <w:iCs w:val="0"/>
          <w:vertAlign w:val="superscript"/>
        </w:rPr>
        <w:footnoteReference w:id="13"/>
      </w:r>
      <w:r>
        <w:rPr>
          <w:rtl w:val="0"/>
          <w:lang w:val="en-US"/>
        </w:rPr>
        <w:t xml:space="preserve"> the Sanskrit-Greek stele mentioned above dates to 248, and there is a dedication from the reign of Gallus and Volusianus (253);</w:t>
      </w:r>
      <w:r>
        <w:rPr>
          <w:rFonts w:ascii="Times New Roman" w:cs="Times New Roman" w:hAnsi="Times New Roman" w:eastAsia="Times New Roman"/>
          <w:b w:val="0"/>
          <w:bCs w:val="0"/>
          <w:i w:val="0"/>
          <w:iCs w:val="0"/>
          <w:vertAlign w:val="superscript"/>
        </w:rPr>
        <w:footnoteReference w:id="14"/>
      </w:r>
      <w:r>
        <w:rPr>
          <w:rtl w:val="0"/>
          <w:lang w:val="en-US"/>
        </w:rPr>
        <w:t xml:space="preserve"> the inscription published here is from the period 276</w:t>
      </w:r>
      <w:r>
        <w:rPr>
          <w:rFonts w:ascii="IFAO-Grec Unicode" w:hAnsi="IFAO-Grec Unicode" w:hint="default"/>
          <w:rtl w:val="0"/>
          <w:lang w:val="en-US"/>
        </w:rPr>
        <w:t>–</w:t>
      </w:r>
      <w:r>
        <w:rPr>
          <w:rFonts w:ascii="IFAO-Grec Unicode" w:hAnsi="IFAO-Grec Unicode"/>
          <w:rtl w:val="0"/>
        </w:rPr>
        <w:t xml:space="preserve">281. </w:t>
      </w:r>
      <w:r>
        <w:rPr>
          <w:rtl w:val="0"/>
          <w:lang w:val="en-US"/>
        </w:rPr>
        <w:t>The very latest temple inscription dates to the Tetrarchy (305).</w:t>
      </w:r>
      <w:r>
        <w:rPr>
          <w:rFonts w:ascii="Times New Roman" w:cs="Times New Roman" w:hAnsi="Times New Roman" w:eastAsia="Times New Roman"/>
          <w:b w:val="0"/>
          <w:bCs w:val="0"/>
          <w:i w:val="0"/>
          <w:iCs w:val="0"/>
          <w:vertAlign w:val="superscript"/>
        </w:rPr>
        <w:footnoteReference w:id="15"/>
      </w:r>
      <w:r>
        <w:rPr>
          <w:rtl w:val="0"/>
          <w:lang w:val="en-US"/>
        </w:rPr>
        <w:t xml:space="preserve"> This evidence naturally changes our perspective on the period, and there can be no doubt that the port was operating throughout the third century, even if intermittently and on a smaller scale than in the first and early second centuries. </w:t>
      </w:r>
    </w:p>
    <w:p>
      <w:pPr>
        <w:pStyle w:val="Body"/>
      </w:pPr>
    </w:p>
    <w:p>
      <w:pPr>
        <w:pStyle w:val="Body"/>
      </w:pPr>
      <w:r>
        <w:rPr>
          <w:rtl w:val="0"/>
          <w:lang w:val="en-US"/>
        </w:rPr>
        <w:t>The principal reason for believing that the third century was a stagnant time in Berenike has been the absence not only of dated texts, but also of coins and ceramics.</w:t>
      </w:r>
      <w:r>
        <w:rPr>
          <w:rFonts w:ascii="Times New Roman" w:cs="Times New Roman" w:hAnsi="Times New Roman" w:eastAsia="Times New Roman"/>
          <w:b w:val="0"/>
          <w:bCs w:val="0"/>
          <w:i w:val="0"/>
          <w:iCs w:val="0"/>
          <w:vertAlign w:val="superscript"/>
        </w:rPr>
        <w:footnoteReference w:id="16"/>
      </w:r>
      <w:r>
        <w:rPr>
          <w:rtl w:val="0"/>
          <w:lang w:val="en-US"/>
        </w:rPr>
        <w:t xml:space="preserve"> As far as coins are concerned, what H. Cuvigny and K. Lach-Urgacz say about the </w:t>
      </w:r>
      <w:r>
        <w:rPr>
          <w:i w:val="1"/>
          <w:iCs w:val="1"/>
          <w:rtl w:val="0"/>
          <w:lang w:val="it-IT"/>
        </w:rPr>
        <w:t xml:space="preserve">praesidia </w:t>
      </w:r>
      <w:r>
        <w:rPr>
          <w:rtl w:val="0"/>
          <w:lang w:val="en-US"/>
        </w:rPr>
        <w:t xml:space="preserve">of the Eastern Desert could equally apply to Berenike: </w:t>
      </w:r>
      <w:r>
        <w:rPr>
          <w:rtl w:val="1"/>
          <w:lang w:val="ar-SA" w:bidi="ar-SA"/>
        </w:rPr>
        <w:t>“</w:t>
      </w:r>
      <w:r>
        <w:rPr>
          <w:rtl w:val="0"/>
          <w:lang w:val="en-US"/>
        </w:rPr>
        <w:t>the absence of 3</w:t>
      </w:r>
      <w:r>
        <w:rPr>
          <w:vertAlign w:val="superscript"/>
          <w:rtl w:val="0"/>
        </w:rPr>
        <w:t>rd</w:t>
      </w:r>
      <w:r>
        <w:rPr>
          <w:rtl w:val="0"/>
          <w:lang w:val="en-US"/>
        </w:rPr>
        <w:t xml:space="preserve"> c. coins is easily explained by the fact that in this period almost only billon tetradrachms were minted, a denomination which people were careful not to lose, while the State relied on old bronze coins of previous reigns to serve in daily exchanges.</w:t>
      </w:r>
      <w:r>
        <w:rPr>
          <w:rtl w:val="0"/>
        </w:rPr>
        <w:t>”</w:t>
      </w:r>
      <w:r>
        <w:rPr>
          <w:rFonts w:ascii="Times New Roman" w:cs="Times New Roman" w:hAnsi="Times New Roman" w:eastAsia="Times New Roman"/>
          <w:b w:val="0"/>
          <w:bCs w:val="0"/>
          <w:i w:val="0"/>
          <w:iCs w:val="0"/>
          <w:vertAlign w:val="superscript"/>
        </w:rPr>
        <w:footnoteReference w:id="17"/>
      </w:r>
      <w:r>
        <w:rPr>
          <w:rtl w:val="0"/>
          <w:lang w:val="en-US"/>
        </w:rPr>
        <w:t xml:space="preserve"> In the case of ceramics, very few third-century </w:t>
      </w:r>
      <w:r>
        <w:rPr>
          <w:i w:val="1"/>
          <w:iCs w:val="1"/>
          <w:rtl w:val="0"/>
          <w:lang w:val="it-IT"/>
        </w:rPr>
        <w:t>loci</w:t>
      </w:r>
      <w:r>
        <w:rPr>
          <w:rtl w:val="0"/>
          <w:lang w:val="en-US"/>
        </w:rPr>
        <w:t xml:space="preserve"> have been identified, but third century ostraca and dipinti have been documented among residual small finds. For example, in the area just outside the northern entrance to the Isis temple courtyard, a costrel from the second half of the second or the third century was found alongside a third-century ostracon that appears to mention Palmyrene archers.</w:t>
      </w:r>
      <w:r>
        <w:rPr>
          <w:rFonts w:ascii="Times New Roman" w:cs="Times New Roman" w:hAnsi="Times New Roman" w:eastAsia="Times New Roman"/>
          <w:b w:val="0"/>
          <w:bCs w:val="0"/>
          <w:i w:val="0"/>
          <w:iCs w:val="0"/>
          <w:vertAlign w:val="superscript"/>
        </w:rPr>
        <w:footnoteReference w:id="18"/>
      </w:r>
      <w:r>
        <w:rPr>
          <w:rtl w:val="0"/>
          <w:lang w:val="en-US"/>
        </w:rPr>
        <w:t xml:space="preserve"> Thus, given the irrefutable presence of third century material, it is tempting to suppose that either the third-century contexts (</w:t>
      </w:r>
      <w:r>
        <w:rPr>
          <w:i w:val="1"/>
          <w:iCs w:val="1"/>
          <w:rtl w:val="0"/>
          <w:lang w:val="it-IT"/>
        </w:rPr>
        <w:t>loci</w:t>
      </w:r>
      <w:r>
        <w:rPr>
          <w:rtl w:val="0"/>
          <w:lang w:val="en-US"/>
        </w:rPr>
        <w:t>) simply await excavation still or they have not been properly identified in previous seasons, or both.</w:t>
      </w:r>
      <w:r>
        <w:rPr>
          <w:rFonts w:ascii="Times New Roman" w:cs="Times New Roman" w:hAnsi="Times New Roman" w:eastAsia="Times New Roman"/>
          <w:b w:val="0"/>
          <w:bCs w:val="0"/>
          <w:i w:val="0"/>
          <w:iCs w:val="0"/>
          <w:vertAlign w:val="superscript"/>
        </w:rPr>
        <w:footnoteReference w:id="19"/>
      </w:r>
      <w:r>
        <w:rPr>
          <w:rtl w:val="0"/>
        </w:rPr>
        <w:t xml:space="preserve"> </w:t>
      </w:r>
    </w:p>
    <w:p>
      <w:pPr>
        <w:pStyle w:val="Body"/>
      </w:pPr>
    </w:p>
    <w:p>
      <w:pPr>
        <w:pStyle w:val="Body"/>
      </w:pPr>
      <w:r>
        <w:rPr>
          <w:rtl w:val="0"/>
          <w:lang w:val="en-US"/>
        </w:rPr>
        <w:t>A significant body of third century material including dated texts has been excavated in the forts along the road that connected Berenike to the city of Coptos, which was the principal emporium in the Nile valley for goods passing through Berenike from the East on their way to Alexandria. This evidence includes ostraca found in the last occupation layers of the fort of Xeron Pelagos, which are dated to 264 and overlap with the latest ostraca from Didymoi. J.-P. Brun has concluded from this material that the forts were abandoned sometime around 270. In his view, this coincided with the removal of the Palmyrene archers from the area following Zenobia</w:t>
      </w:r>
      <w:r>
        <w:rPr>
          <w:rtl w:val="1"/>
        </w:rPr>
        <w:t>’</w:t>
      </w:r>
      <w:r>
        <w:rPr>
          <w:rtl w:val="0"/>
          <w:lang w:val="en-US"/>
        </w:rPr>
        <w:t>s capture of Egypt in 270.</w:t>
      </w:r>
      <w:r>
        <w:rPr>
          <w:rFonts w:ascii="Times New Roman" w:cs="Times New Roman" w:hAnsi="Times New Roman" w:eastAsia="Times New Roman"/>
          <w:b w:val="0"/>
          <w:bCs w:val="0"/>
          <w:i w:val="0"/>
          <w:iCs w:val="0"/>
          <w:vertAlign w:val="superscript"/>
        </w:rPr>
        <w:footnoteReference w:id="20"/>
      </w:r>
      <w:r>
        <w:rPr>
          <w:rtl w:val="0"/>
          <w:lang w:val="en-US"/>
        </w:rPr>
        <w:t xml:space="preserve"> The Probus inscription and the dedication from the reign of the Tetrarchy prove that there was activity at Berenike during and after this time, which, in my view, forces us to consider pushing the date of the abandonment of the forts somewhat later. The shipments arriving in Berenike were likely still being transported to Coptos so that there must have been at least some infrastructure in place to serve the caravans along the Coptos</w:t>
      </w:r>
      <w:r>
        <w:rPr>
          <w:rtl w:val="0"/>
        </w:rPr>
        <w:t>–</w:t>
      </w:r>
      <w:r>
        <w:rPr>
          <w:rtl w:val="0"/>
        </w:rPr>
        <w:t>Berenike road.</w:t>
      </w:r>
      <w:r>
        <w:rPr>
          <w:rFonts w:ascii="Times New Roman" w:cs="Times New Roman" w:hAnsi="Times New Roman" w:eastAsia="Times New Roman"/>
          <w:b w:val="0"/>
          <w:bCs w:val="0"/>
          <w:i w:val="0"/>
          <w:iCs w:val="0"/>
          <w:vertAlign w:val="superscript"/>
        </w:rPr>
        <w:footnoteReference w:id="21"/>
      </w:r>
    </w:p>
    <w:p>
      <w:pPr>
        <w:pStyle w:val="Body"/>
      </w:pPr>
    </w:p>
    <w:p>
      <w:pPr>
        <w:pStyle w:val="Body"/>
      </w:pPr>
      <w:r>
        <w:rPr>
          <w:rtl w:val="0"/>
          <w:lang w:val="en-US"/>
        </w:rPr>
        <w:t>It is unclear who was residing in Berenike in the late third century. It was a politically tumultuous time in Upper Egypt, with Coptos being a flash point for hostilities. Probus (ca. 280), Galerius (293/94) and Diocletian (297/98) all took measures to deal with unrest fomented by rebels, especially by the semi-nomadic tribe of Blemmyes.</w:t>
      </w:r>
      <w:r>
        <w:rPr>
          <w:rFonts w:ascii="Times New Roman" w:cs="Times New Roman" w:hAnsi="Times New Roman" w:eastAsia="Times New Roman"/>
          <w:b w:val="0"/>
          <w:bCs w:val="0"/>
          <w:i w:val="0"/>
          <w:iCs w:val="0"/>
          <w:vertAlign w:val="superscript"/>
        </w:rPr>
        <w:footnoteReference w:id="22"/>
      </w:r>
      <w:r>
        <w:rPr>
          <w:rtl w:val="0"/>
          <w:lang w:val="es-ES_tradnl"/>
        </w:rPr>
        <w:t xml:space="preserve"> Coptos</w:t>
      </w:r>
      <w:r>
        <w:rPr>
          <w:rtl w:val="1"/>
        </w:rPr>
        <w:t>’</w:t>
      </w:r>
      <w:r>
        <w:rPr>
          <w:rtl w:val="0"/>
          <w:lang w:val="en-US"/>
        </w:rPr>
        <w:t>s status as an essential node in the trade network that joined the Mediterranean with the East was surely an important reason for imperial intervention, and this status depended too on smooth operations in Berenike. Unfortunately, the inscription edited here does not shed direct light on the situation in Coptos. One might assume from the use of the regnal formula for Probus that, at the time of its carving at least, imperial structures were still functioning at the port or that there was at least some degree of civic-mindedness, even if administrative controls like those offered by the office of the prefect of the desert no longer existed.</w:t>
      </w:r>
      <w:r>
        <w:rPr>
          <w:rFonts w:ascii="Times New Roman" w:cs="Times New Roman" w:hAnsi="Times New Roman" w:eastAsia="Times New Roman"/>
          <w:b w:val="0"/>
          <w:bCs w:val="0"/>
          <w:i w:val="0"/>
          <w:iCs w:val="0"/>
          <w:vertAlign w:val="superscript"/>
        </w:rPr>
        <w:footnoteReference w:id="23"/>
      </w:r>
      <w:r>
        <w:rPr>
          <w:rtl w:val="0"/>
          <w:lang w:val="en-US"/>
        </w:rPr>
        <w:t xml:space="preserve"> But even supposing a very different scenario, for example, that by the last quarter of the third century the Blemmyes had taken over both Coptos and Berenike, we cannot assume that did not employ Roman imperial regnal formulas to date dedications.</w:t>
      </w:r>
      <w:r>
        <w:rPr>
          <w:rFonts w:ascii="Times New Roman" w:cs="Times New Roman" w:hAnsi="Times New Roman" w:eastAsia="Times New Roman"/>
          <w:b w:val="0"/>
          <w:bCs w:val="0"/>
          <w:i w:val="0"/>
          <w:iCs w:val="0"/>
          <w:vertAlign w:val="superscript"/>
        </w:rPr>
        <w:footnoteReference w:id="24"/>
      </w:r>
      <w:r>
        <w:rPr>
          <w:rtl w:val="0"/>
          <w:lang w:val="en-US"/>
        </w:rPr>
        <w:t xml:space="preserve"> On the other hand, the inscription edited here could postdate Probus</w:t>
      </w:r>
      <w:r>
        <w:rPr>
          <w:rtl w:val="1"/>
        </w:rPr>
        <w:t>’</w:t>
      </w:r>
      <w:r>
        <w:rPr>
          <w:rtl w:val="0"/>
          <w:lang w:val="en-US"/>
        </w:rPr>
        <w:t>s intervention and thus reflect a situation in which the imperial administration had reasserted itself. A further possibility is that our sources have exaggerated the discord in Coptos,</w:t>
      </w:r>
      <w:r>
        <w:rPr>
          <w:rFonts w:ascii="Times New Roman" w:cs="Times New Roman" w:hAnsi="Times New Roman" w:eastAsia="Times New Roman"/>
          <w:b w:val="0"/>
          <w:bCs w:val="0"/>
          <w:i w:val="0"/>
          <w:iCs w:val="0"/>
          <w:vertAlign w:val="superscript"/>
        </w:rPr>
        <w:footnoteReference w:id="25"/>
      </w:r>
      <w:r>
        <w:rPr>
          <w:rtl w:val="0"/>
          <w:lang w:val="en-US"/>
        </w:rPr>
        <w:t xml:space="preserve"> and trade channels had not been disrupted in any meaningful way. Without additional evidence, we are unable to say who was organizing trade in Berenike in the time of Probus or how regional politics were affecting the port.</w:t>
      </w:r>
    </w:p>
    <w:p>
      <w:pPr>
        <w:pStyle w:val="Body"/>
      </w:pPr>
    </w:p>
    <w:p>
      <w:pPr>
        <w:pStyle w:val="Body"/>
      </w:pPr>
    </w:p>
    <w:p>
      <w:pPr>
        <w:pStyle w:val="Body"/>
        <w:suppressAutoHyphens w:val="1"/>
      </w:pPr>
      <w:r>
        <w:rPr>
          <w:rtl w:val="0"/>
          <w:lang w:val="en-US"/>
        </w:rPr>
        <w:t>#editionDDB</w:t>
      </w:r>
    </w:p>
    <w:p>
      <w:pPr>
        <w:pStyle w:val="Body"/>
        <w:suppressAutoHyphens w:val="1"/>
      </w:pPr>
      <w:r>
        <w:rPr>
          <w:rtl w:val="0"/>
          <w:lang w:val="pt-PT"/>
        </w:rPr>
        <w:t>#metadata</w:t>
      </w:r>
    </w:p>
    <w:p>
      <w:pPr>
        <w:pStyle w:val="Body"/>
        <w:suppressAutoHyphens w:val="1"/>
      </w:pP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8"/>
        <w:gridCol w:w="4508"/>
      </w:tblGrid>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Find no.</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2"/>
                <w:szCs w:val="22"/>
                <w:shd w:val="nil" w:color="auto" w:fill="auto"/>
                <w:rtl w:val="0"/>
                <w:lang w:val="en-US"/>
              </w:rPr>
              <w:t xml:space="preserve">BE-15/18/22 111.999.001 </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Inventory no.</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inv. 111016</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Dimensions: height</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72 cm</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Dimensions: width</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83 cm</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Dimensions: thickness</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9 cm</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Material</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anhydritic gypsum</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Inventory Number</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CBL 142.2</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Date</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276</w:t>
            </w:r>
            <w:r>
              <w:rPr>
                <w:sz w:val="22"/>
                <w:szCs w:val="22"/>
                <w:shd w:val="nil" w:color="auto" w:fill="auto"/>
                <w:rtl w:val="0"/>
                <w:lang w:val="en-US"/>
              </w:rPr>
              <w:t>–</w:t>
            </w:r>
            <w:r>
              <w:rPr>
                <w:sz w:val="22"/>
                <w:szCs w:val="22"/>
                <w:shd w:val="nil" w:color="auto" w:fill="auto"/>
                <w:rtl w:val="0"/>
                <w:lang w:val="en-US"/>
              </w:rPr>
              <w:t>281 CE, November 17/18</w:t>
            </w:r>
          </w:p>
        </w:tc>
      </w:tr>
      <w:tr>
        <w:tblPrEx>
          <w:shd w:val="clear" w:color="auto" w:fill="cdd4e9"/>
        </w:tblPrEx>
        <w:trPr>
          <w:trHeight w:val="241"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Inscription identified</w:t>
            </w:r>
          </w:p>
        </w:tc>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z w:val="22"/>
                <w:szCs w:val="22"/>
                <w:shd w:val="nil" w:color="auto" w:fill="auto"/>
                <w:rtl w:val="0"/>
                <w:lang w:val="en-US"/>
              </w:rPr>
              <w:t>26.01.2022</w:t>
            </w:r>
          </w:p>
        </w:tc>
      </w:tr>
    </w:tbl>
    <w:p>
      <w:pPr>
        <w:pStyle w:val="Body"/>
        <w:widowControl w:val="0"/>
        <w:suppressAutoHyphens w:val="1"/>
      </w:pPr>
    </w:p>
    <w:p>
      <w:pPr>
        <w:pStyle w:val="Body"/>
      </w:pPr>
    </w:p>
    <w:p>
      <w:pPr>
        <w:pStyle w:val="Body"/>
        <w:tabs>
          <w:tab w:val="left" w:pos="1405"/>
        </w:tabs>
      </w:pPr>
    </w:p>
    <w:p>
      <w:pPr>
        <w:pStyle w:val="Body"/>
        <w:tabs>
          <w:tab w:val="left" w:pos="1405"/>
        </w:tabs>
      </w:pPr>
    </w:p>
    <w:p>
      <w:pPr>
        <w:pStyle w:val="Body"/>
        <w:tabs>
          <w:tab w:val="left" w:pos="1405"/>
        </w:tabs>
      </w:pPr>
    </w:p>
    <w:tbl>
      <w:tblPr>
        <w:tblW w:w="91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507"/>
        <w:gridCol w:w="3270"/>
        <w:gridCol w:w="3333"/>
      </w:tblGrid>
      <w:tr>
        <w:tblPrEx>
          <w:shd w:val="clear" w:color="auto" w:fill="cdd4e9"/>
        </w:tblPrEx>
        <w:trPr>
          <w:trHeight w:val="900" w:hRule="atLeast"/>
        </w:trPr>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0" w:after="0"/>
            </w:pPr>
            <w:r>
              <w:rPr>
                <w:shd w:val="nil" w:color="auto" w:fill="auto"/>
                <w:rtl w:val="0"/>
                <w:lang w:val="en-US"/>
              </w:rPr>
              <w:t>BE-15/18/22 111.999.001; inv. 111016</w:t>
            </w:r>
          </w:p>
        </w:tc>
        <w:tc>
          <w:tcPr>
            <w:tcW w:type="dxa" w:w="3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0" w:after="0"/>
              <w:jc w:val="center"/>
            </w:pPr>
            <w:r>
              <w:rPr>
                <w:shd w:val="nil" w:color="auto" w:fill="auto"/>
                <w:rtl w:val="0"/>
                <w:lang w:val="en-US"/>
              </w:rPr>
              <w:t xml:space="preserve">83 </w:t>
            </w:r>
            <w:r>
              <w:rPr>
                <w:shd w:val="nil" w:color="auto" w:fill="auto"/>
                <w:rtl w:val="0"/>
                <w:lang w:val="en-US"/>
              </w:rPr>
              <w:t xml:space="preserve">× </w:t>
            </w:r>
            <w:r>
              <w:rPr>
                <w:shd w:val="nil" w:color="auto" w:fill="auto"/>
                <w:rtl w:val="0"/>
                <w:lang w:val="en-US"/>
              </w:rPr>
              <w:t xml:space="preserve">72 </w:t>
            </w:r>
            <w:r>
              <w:rPr>
                <w:shd w:val="nil" w:color="auto" w:fill="auto"/>
                <w:rtl w:val="0"/>
                <w:lang w:val="en-US"/>
              </w:rPr>
              <w:t xml:space="preserve">× </w:t>
            </w:r>
            <w:r>
              <w:rPr>
                <w:shd w:val="nil" w:color="auto" w:fill="auto"/>
                <w:rtl w:val="0"/>
                <w:lang w:val="en-US"/>
              </w:rPr>
              <w:t>9</w:t>
            </w:r>
          </w:p>
        </w:tc>
        <w:tc>
          <w:tcPr>
            <w:tcW w:type="dxa" w:w="3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0" w:after="0"/>
              <w:jc w:val="right"/>
            </w:pPr>
            <w:r>
              <w:rPr>
                <w:rFonts w:ascii="IFAO-Grec Unicode" w:hAnsi="IFAO-Grec Unicode"/>
                <w:shd w:val="nil" w:color="auto" w:fill="auto"/>
                <w:rtl w:val="0"/>
                <w:lang w:val="en-US"/>
              </w:rPr>
              <w:t>Berenike</w:t>
            </w:r>
          </w:p>
        </w:tc>
      </w:tr>
      <w:tr>
        <w:tblPrEx>
          <w:shd w:val="clear" w:color="auto" w:fill="cdd4e9"/>
        </w:tblPrEx>
        <w:trPr>
          <w:trHeight w:val="526" w:hRule="atLeast"/>
        </w:trPr>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0" w:after="0"/>
            </w:pPr>
            <w:r>
              <w:rPr>
                <w:shd w:val="nil" w:color="auto" w:fill="auto"/>
                <w:rtl w:val="0"/>
                <w:lang w:val="en-US"/>
              </w:rPr>
              <w:t xml:space="preserve">TM </w:t>
            </w:r>
            <w:r>
              <w:rPr>
                <w:outline w:val="0"/>
                <w:color w:val="002939"/>
                <w:u w:color="002939"/>
                <w:shd w:val="nil" w:color="auto" w:fill="auto"/>
                <w:rtl w:val="0"/>
                <w:lang w:val="en-US"/>
                <w14:textFill>
                  <w14:solidFill>
                    <w14:srgbClr w14:val="002939"/>
                  </w14:solidFill>
                </w14:textFill>
              </w:rPr>
              <w:t>998119</w:t>
            </w:r>
          </w:p>
        </w:tc>
        <w:tc>
          <w:tcPr>
            <w:tcW w:type="dxa" w:w="3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3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pacing w:before="0" w:after="0"/>
              <w:jc w:val="right"/>
            </w:pPr>
            <w:r>
              <w:rPr>
                <w:shd w:val="nil" w:color="auto" w:fill="auto"/>
                <w:rtl w:val="0"/>
                <w:lang w:val="en-US"/>
              </w:rPr>
              <w:t>276</w:t>
            </w:r>
            <w:r>
              <w:rPr>
                <w:shd w:val="nil" w:color="auto" w:fill="auto"/>
                <w:rtl w:val="0"/>
                <w:lang w:val="en-US"/>
              </w:rPr>
              <w:t>–</w:t>
            </w:r>
            <w:r>
              <w:rPr>
                <w:shd w:val="nil" w:color="auto" w:fill="auto"/>
                <w:rtl w:val="0"/>
                <w:lang w:val="en-US"/>
              </w:rPr>
              <w:t>281 CE, November 17/18</w:t>
            </w:r>
          </w:p>
        </w:tc>
      </w:tr>
    </w:tbl>
    <w:p>
      <w:pPr>
        <w:pStyle w:val="Body"/>
        <w:widowControl w:val="0"/>
        <w:tabs>
          <w:tab w:val="left" w:pos="1405"/>
        </w:tabs>
      </w:pPr>
    </w:p>
    <w:p>
      <w:pPr>
        <w:pStyle w:val="Body"/>
      </w:pPr>
    </w:p>
    <w:p>
      <w:pPr>
        <w:pStyle w:val="Body"/>
        <w:tabs>
          <w:tab w:val="left" w:pos="1405"/>
        </w:tabs>
      </w:pPr>
    </w:p>
    <w:p>
      <w:pPr>
        <w:pStyle w:val="Body"/>
        <w:tabs>
          <w:tab w:val="left" w:pos="1405"/>
        </w:tabs>
      </w:pPr>
    </w:p>
    <w:p>
      <w:pPr>
        <w:pStyle w:val="Body"/>
        <w:tabs>
          <w:tab w:val="left" w:pos="1405"/>
        </w:tabs>
      </w:pPr>
      <w:r>
        <w:rPr>
          <w:rtl w:val="0"/>
        </w:rPr>
        <w:t>#text</w:t>
      </w:r>
    </w:p>
    <w:p>
      <w:pPr>
        <w:pStyle w:val="Body"/>
        <w:rPr>
          <w:rFonts w:ascii="IFAO-Grec Unicode" w:cs="IFAO-Grec Unicode" w:hAnsi="IFAO-Grec Unicode" w:eastAsia="IFAO-Grec Unicode"/>
        </w:rPr>
      </w:pPr>
      <w:r>
        <w:rPr>
          <w:rFonts w:ascii="IFAO-Grec Unicode" w:hAnsi="IFAO-Grec Unicode"/>
          <w:rtl w:val="0"/>
        </w:rPr>
        <w:t>&lt;S=.grc</w:t>
      </w:r>
    </w:p>
    <w:p>
      <w:pPr>
        <w:pStyle w:val="Body"/>
        <w:rPr>
          <w:rFonts w:ascii="IFAO-Grec Unicode" w:cs="IFAO-Grec Unicode" w:hAnsi="IFAO-Grec Unicode" w:eastAsia="IFAO-Grec Unicode"/>
        </w:rPr>
      </w:pPr>
      <w:r>
        <w:rPr>
          <w:rFonts w:ascii="IFAO-Grec Unicode" w:hAnsi="IFAO-Grec Unicode"/>
          <w:rtl w:val="0"/>
        </w:rPr>
        <w:t>&lt;=</w:t>
      </w:r>
    </w:p>
    <w:p>
      <w:pPr>
        <w:pStyle w:val="Body"/>
        <w:rPr>
          <w:rFonts w:ascii="IFAO-Grec Unicode" w:cs="IFAO-Grec Unicode" w:hAnsi="IFAO-Grec Unicode" w:eastAsia="IFAO-Grec Unicode"/>
        </w:rPr>
      </w:pPr>
      <w:r>
        <w:rPr>
          <w:rFonts w:ascii="IFAO-Grec Unicode" w:hAnsi="IFAO-Grec Unicode"/>
          <w:rtl w:val="0"/>
          <w:lang w:val="en-US"/>
        </w:rPr>
        <w:t>1. lost.?lin</w:t>
      </w:r>
    </w:p>
    <w:p>
      <w:pPr>
        <w:pStyle w:val="Body"/>
        <w:rPr>
          <w:rFonts w:ascii="IFAO-Grec Unicode" w:cs="IFAO-Grec Unicode" w:hAnsi="IFAO-Grec Unicode" w:eastAsia="IFAO-Grec Unicode"/>
        </w:rPr>
      </w:pPr>
      <w:r>
        <w:rPr>
          <w:rFonts w:ascii="IFAO-Grec Unicode" w:hAnsi="IFAO-Grec Unicode"/>
          <w:rtl w:val="0"/>
          <w:lang w:val="zh-TW" w:eastAsia="zh-TW"/>
        </w:rPr>
        <w:t xml:space="preserve">1. [.?].4[.?] </w:t>
      </w:r>
    </w:p>
    <w:p>
      <w:pPr>
        <w:pStyle w:val="Body"/>
        <w:rPr>
          <w:rFonts w:ascii="IFAO-Grec Unicode" w:cs="IFAO-Grec Unicode" w:hAnsi="IFAO-Grec Unicode" w:eastAsia="IFAO-Grec Unicode"/>
        </w:rPr>
      </w:pPr>
      <w:r>
        <w:rPr>
          <w:rFonts w:ascii="IFAO-Grec Unicode" w:hAnsi="IFAO-Grec Unicode"/>
          <w:rtl w:val="0"/>
          <w:lang w:val="pt-PT"/>
        </w:rPr>
        <w:t>2. [ca.3].2</w:t>
      </w:r>
      <w:r>
        <w:rPr>
          <w:rFonts w:ascii="IFAO-Grec Unicode" w:hAnsi="IFAO-Grec Unicode" w:hint="default"/>
          <w:rtl w:val="0"/>
          <w:lang w:val="en-US"/>
        </w:rPr>
        <w:t>ων̣ ἀνέθηκεν</w:t>
      </w:r>
      <w:r>
        <w:rPr>
          <w:rFonts w:ascii="IFAO-Grec Unicode" w:hAnsi="IFAO-Grec Unicode"/>
          <w:rtl w:val="0"/>
        </w:rPr>
        <w:t xml:space="preserve"> </w:t>
      </w:r>
      <w:r>
        <w:rPr>
          <w:rFonts w:ascii="IFAO-Grec Unicode" w:hAnsi="IFAO-Grec Unicode" w:hint="default"/>
          <w:rtl w:val="0"/>
          <w:lang w:val="en-US"/>
        </w:rPr>
        <w:t>εὐσ̣</w:t>
      </w:r>
      <w:r>
        <w:rPr>
          <w:rFonts w:ascii="IFAO-Grec Unicode" w:hAnsi="IFAO-Grec Unicode"/>
          <w:rtl w:val="0"/>
          <w:lang w:val="pt-PT"/>
        </w:rPr>
        <w:t>[</w:t>
      </w:r>
      <w:r>
        <w:rPr>
          <w:rFonts w:ascii="IFAO-Grec Unicode" w:hAnsi="IFAO-Grec Unicode" w:hint="default"/>
          <w:rtl w:val="0"/>
          <w:lang w:val="en-US"/>
        </w:rPr>
        <w:t>εβ</w:t>
      </w:r>
      <w:r>
        <w:rPr>
          <w:rFonts w:ascii="IFAO-Grec Unicode" w:hAnsi="IFAO-Grec Unicode"/>
          <w:rtl w:val="0"/>
          <w:lang w:val="pt-PT"/>
        </w:rPr>
        <w:t>]</w:t>
      </w:r>
      <w:r>
        <w:rPr>
          <w:rFonts w:ascii="IFAO-Grec Unicode" w:hAnsi="IFAO-Grec Unicode" w:hint="default"/>
          <w:rtl w:val="0"/>
          <w:lang w:val="en-US"/>
        </w:rPr>
        <w:t>ε̣ία</w:t>
      </w:r>
      <w:r>
        <w:rPr>
          <w:rFonts w:ascii="IFAO-Grec Unicode" w:hAnsi="IFAO-Grec Unicode"/>
          <w:rtl w:val="0"/>
          <w:lang w:val="pt-PT"/>
        </w:rPr>
        <w:t>[</w:t>
      </w:r>
      <w:r>
        <w:rPr>
          <w:rFonts w:ascii="IFAO-Grec Unicode" w:hAnsi="IFAO-Grec Unicode" w:hint="default"/>
          <w:rtl w:val="0"/>
          <w:lang w:val="en-US"/>
        </w:rPr>
        <w:t>ς</w:t>
      </w:r>
      <w:r>
        <w:rPr>
          <w:rFonts w:ascii="IFAO-Grec Unicode" w:hAnsi="IFAO-Grec Unicode"/>
          <w:rtl w:val="0"/>
          <w:lang w:val="pt-PT"/>
        </w:rPr>
        <w:t>]</w:t>
      </w:r>
    </w:p>
    <w:p>
      <w:pPr>
        <w:pStyle w:val="Body"/>
        <w:rPr>
          <w:rFonts w:ascii="IFAO-Grec Unicode" w:cs="IFAO-Grec Unicode" w:hAnsi="IFAO-Grec Unicode" w:eastAsia="IFAO-Grec Unicode"/>
        </w:rPr>
      </w:pPr>
      <w:r>
        <w:rPr>
          <w:rFonts w:ascii="IFAO-Grec Unicode" w:hAnsi="IFAO-Grec Unicode"/>
          <w:rtl w:val="0"/>
          <w:lang w:val="pt-PT"/>
        </w:rPr>
        <w:t>3. [</w:t>
      </w:r>
      <w:r>
        <w:rPr>
          <w:rFonts w:ascii="IFAO-Grec Unicode" w:hAnsi="IFAO-Grec Unicode" w:hint="default"/>
          <w:rtl w:val="0"/>
          <w:lang w:val="en-US"/>
        </w:rPr>
        <w:t>χ</w:t>
      </w:r>
      <w:r>
        <w:rPr>
          <w:rFonts w:ascii="IFAO-Grec Unicode" w:hAnsi="IFAO-Grec Unicode"/>
          <w:rtl w:val="0"/>
          <w:lang w:val="pt-PT"/>
        </w:rPr>
        <w:t>]</w:t>
      </w:r>
      <w:r>
        <w:rPr>
          <w:rFonts w:ascii="IFAO-Grec Unicode" w:hAnsi="IFAO-Grec Unicode" w:hint="default"/>
          <w:rtl w:val="0"/>
          <w:lang w:val="en-US"/>
        </w:rPr>
        <w:t>ά̣ριν̣ ἐπ᾿ ἀγαθ</w:t>
      </w:r>
      <w:r>
        <w:rPr>
          <w:rFonts w:ascii="IFAO-Grec Unicode" w:hAnsi="IFAO-Grec Unicode"/>
          <w:rtl w:val="0"/>
        </w:rPr>
        <w:t>o</w:t>
      </w:r>
      <w:r>
        <w:rPr>
          <w:rFonts w:ascii="IFAO-Grec Unicode" w:hAnsi="IFAO-Grec Unicode" w:hint="default"/>
          <w:rtl w:val="0"/>
          <w:lang w:val="en-US"/>
        </w:rPr>
        <w:t>̣</w:t>
      </w:r>
      <w:r>
        <w:rPr>
          <w:rFonts w:ascii="IFAO-Grec Unicode" w:hAnsi="IFAO-Grec Unicode" w:hint="default"/>
          <w:rtl w:val="0"/>
        </w:rPr>
        <w:t>ῖ̣</w:t>
      </w:r>
      <w:r>
        <w:rPr>
          <w:rFonts w:ascii="IFAO-Grec Unicode" w:hAnsi="IFAO-Grec Unicode" w:hint="default"/>
          <w:rtl w:val="0"/>
          <w:lang w:val="en-US"/>
        </w:rPr>
        <w:t xml:space="preserve">ς̣ </w:t>
      </w:r>
      <w:r>
        <w:rPr>
          <w:rFonts w:ascii="IFAO-Grec Unicode" w:hAnsi="IFAO-Grec Unicode"/>
          <w:rtl w:val="0"/>
          <w:lang w:val="pt-PT"/>
        </w:rPr>
        <w:t xml:space="preserve">[ca.4] </w:t>
      </w:r>
      <w:r>
        <w:rPr>
          <w:rFonts w:ascii="IFAO-Grec Unicode" w:hAnsi="IFAO-Grec Unicode" w:hint="default"/>
          <w:rtl w:val="0"/>
          <w:lang w:val="en-US"/>
        </w:rPr>
        <w:t>Πρόβο̣</w:t>
      </w:r>
      <w:r>
        <w:rPr>
          <w:rFonts w:ascii="IFAO-Grec Unicode" w:hAnsi="IFAO-Grec Unicode"/>
          <w:rtl w:val="0"/>
          <w:lang w:val="pt-PT"/>
        </w:rPr>
        <w:t>[</w:t>
      </w:r>
      <w:r>
        <w:rPr>
          <w:rFonts w:ascii="IFAO-Grec Unicode" w:hAnsi="IFAO-Grec Unicode" w:hint="default"/>
          <w:rtl w:val="0"/>
          <w:lang w:val="en-US"/>
        </w:rPr>
        <w:t>υ</w:t>
      </w:r>
      <w:r>
        <w:rPr>
          <w:rFonts w:ascii="IFAO-Grec Unicode" w:hAnsi="IFAO-Grec Unicode"/>
          <w:rtl w:val="0"/>
          <w:lang w:val="pt-PT"/>
        </w:rPr>
        <w:t>]</w:t>
      </w:r>
    </w:p>
    <w:p>
      <w:pPr>
        <w:pStyle w:val="Body"/>
        <w:rPr>
          <w:rFonts w:ascii="IFAO-Grec Unicode" w:cs="IFAO-Grec Unicode" w:hAnsi="IFAO-Grec Unicode" w:eastAsia="IFAO-Grec Unicode"/>
        </w:rPr>
      </w:pPr>
      <w:r>
        <w:rPr>
          <w:rFonts w:ascii="IFAO-Grec Unicode" w:hAnsi="IFAO-Grec Unicode"/>
          <w:rtl w:val="0"/>
        </w:rPr>
        <w:t xml:space="preserve">4. </w:t>
      </w:r>
      <w:r>
        <w:rPr>
          <w:rFonts w:ascii="IFAO-Grec Unicode" w:hAnsi="IFAO-Grec Unicode" w:hint="default"/>
          <w:rtl w:val="0"/>
          <w:lang w:val="en-US"/>
        </w:rPr>
        <w:t>τ̣οῦ κ̣υρίου</w:t>
      </w:r>
      <w:r>
        <w:rPr>
          <w:rFonts w:ascii="IFAO-Grec Unicode" w:hAnsi="IFAO-Grec Unicode"/>
          <w:rtl w:val="0"/>
        </w:rPr>
        <w:t xml:space="preserve"> </w:t>
      </w:r>
      <w:r>
        <w:rPr>
          <w:rFonts w:ascii="IFAO-Grec Unicode" w:hAnsi="IFAO-Grec Unicode" w:hint="default"/>
          <w:rtl w:val="0"/>
          <w:lang w:val="en-US"/>
        </w:rPr>
        <w:t>ἡμῶν</w:t>
      </w:r>
      <w:r>
        <w:rPr>
          <w:rFonts w:ascii="IFAO-Grec Unicode" w:hAnsi="IFAO-Grec Unicode"/>
          <w:rtl w:val="0"/>
        </w:rPr>
        <w:t xml:space="preserve"> </w:t>
      </w:r>
      <w:r>
        <w:rPr>
          <w:rFonts w:ascii="IFAO-Grec Unicode" w:hAnsi="IFAO-Grec Unicode" w:hint="default"/>
          <w:rtl w:val="0"/>
          <w:lang w:val="en-US"/>
        </w:rPr>
        <w:t>Σεβαστοῦ</w:t>
      </w:r>
      <w:r>
        <w:rPr>
          <w:rtl w:val="0"/>
        </w:rPr>
        <w:t xml:space="preserve"> </w:t>
      </w:r>
      <w:r>
        <w:rPr>
          <w:rFonts w:ascii="IFAO-Grec Unicode" w:hAnsi="IFAO-Grec Unicode"/>
          <w:rtl w:val="0"/>
          <w:lang w:val="fr-FR"/>
        </w:rPr>
        <w:t>*filler(extension)*</w:t>
      </w:r>
    </w:p>
    <w:p>
      <w:pPr>
        <w:pStyle w:val="Body"/>
        <w:rPr>
          <w:rFonts w:ascii="IFAO-Grec Unicode" w:cs="IFAO-Grec Unicode" w:hAnsi="IFAO-Grec Unicode" w:eastAsia="IFAO-Grec Unicode"/>
        </w:rPr>
      </w:pPr>
      <w:r>
        <w:rPr>
          <w:rFonts w:ascii="IFAO-Grec Unicode" w:hAnsi="IFAO-Grec Unicode"/>
          <w:rtl w:val="0"/>
          <w:lang w:val="zh-TW" w:eastAsia="zh-TW"/>
        </w:rPr>
        <w:t xml:space="preserve">5. [.?].3/*?*/ </w:t>
      </w:r>
      <w:r>
        <w:rPr>
          <w:rFonts w:ascii="IFAO-Grec Unicode" w:hAnsi="IFAO-Grec Unicode" w:hint="default"/>
          <w:rtl w:val="0"/>
          <w:lang w:val="en-US"/>
        </w:rPr>
        <w:t>Ἁθὺρ κα  </w:t>
      </w:r>
      <w:r>
        <w:rPr>
          <w:rFonts w:ascii="IFAO-Grec Unicode" w:hAnsi="IFAO-Grec Unicode"/>
          <w:rtl w:val="0"/>
        </w:rPr>
        <w:t>*hedera*</w:t>
      </w:r>
    </w:p>
    <w:p>
      <w:pPr>
        <w:pStyle w:val="Body"/>
      </w:pPr>
      <w:r>
        <w:rPr>
          <w:rFonts w:ascii="IFAO-Grec Unicode" w:hAnsi="IFAO-Grec Unicode"/>
          <w:rtl w:val="0"/>
          <w:lang w:val="en-US"/>
        </w:rPr>
        <w:t>=&gt;</w:t>
      </w:r>
    </w:p>
    <w:p>
      <w:pPr>
        <w:pStyle w:val="Body"/>
      </w:pPr>
    </w:p>
    <w:p>
      <w:pPr>
        <w:pStyle w:val="Body"/>
      </w:pPr>
    </w:p>
    <w:p>
      <w:pPr>
        <w:pStyle w:val="Standard"/>
        <w:spacing w:after="0" w:line="240" w:lineRule="auto"/>
        <w:rPr>
          <w:rFonts w:ascii="Times New Roman" w:cs="Times New Roman" w:hAnsi="Times New Roman" w:eastAsia="Times New Roman"/>
        </w:rPr>
      </w:pPr>
      <w:r>
        <w:rPr>
          <w:rtl w:val="0"/>
          <w:lang w:val="en-US"/>
        </w:rPr>
        <w:t>#translation</w:t>
      </w:r>
    </w:p>
    <w:p>
      <w:pPr>
        <w:pStyle w:val="Body"/>
      </w:pPr>
      <w:r>
        <w:rPr>
          <w:rtl w:val="0"/>
        </w:rPr>
        <w:t>&lt;T=.en&lt;=</w:t>
      </w:r>
    </w:p>
    <w:p>
      <w:pPr>
        <w:pStyle w:val="Body"/>
      </w:pPr>
      <w:r>
        <w:rPr>
          <w:rtl w:val="0"/>
        </w:rPr>
        <w:t xml:space="preserve">“… </w:t>
      </w:r>
      <w:r>
        <w:rPr>
          <w:rtl w:val="0"/>
          <w:lang w:val="en-US"/>
        </w:rPr>
        <w:t xml:space="preserve">set this up as an expression of piety for the benefits </w:t>
      </w:r>
      <w:r>
        <w:rPr>
          <w:rtl w:val="0"/>
        </w:rPr>
        <w:t xml:space="preserve">… </w:t>
      </w:r>
      <w:r>
        <w:rPr>
          <w:rtl w:val="0"/>
          <w:lang w:val="en-US"/>
        </w:rPr>
        <w:t>of Probus our lord Augustus</w:t>
      </w:r>
      <w:r>
        <w:rPr>
          <w:rtl w:val="0"/>
        </w:rPr>
        <w:t>…</w:t>
      </w:r>
      <w:r>
        <w:rPr>
          <w:rtl w:val="0"/>
          <w:lang w:val="da-DK"/>
        </w:rPr>
        <w:t>Hathyr 21 (hedera).</w:t>
      </w:r>
      <w:r>
        <w:rPr>
          <w:rtl w:val="0"/>
        </w:rPr>
        <w:t>”</w:t>
      </w:r>
    </w:p>
    <w:p>
      <w:pPr>
        <w:pStyle w:val="Body"/>
      </w:pPr>
      <w:r>
        <w:rPr>
          <w:rtl w:val="0"/>
          <w:lang w:val="en-US"/>
        </w:rPr>
        <w:t>=&gt;=T&gt;</w:t>
      </w:r>
    </w:p>
    <w:p>
      <w:pPr>
        <w:pStyle w:val="Body"/>
      </w:pPr>
    </w:p>
    <w:p>
      <w:pPr>
        <w:pStyle w:val="Standard"/>
        <w:spacing w:after="0" w:line="240" w:lineRule="auto"/>
      </w:pPr>
      <w:r>
        <w:rPr>
          <w:rtl w:val="0"/>
          <w:lang w:val="en-US"/>
        </w:rPr>
        <w:t>#commentary</w:t>
      </w:r>
    </w:p>
    <w:p>
      <w:pPr>
        <w:pStyle w:val="Body"/>
        <w:rPr>
          <w:rFonts w:ascii="IFAO-Grec Unicode" w:cs="IFAO-Grec Unicode" w:hAnsi="IFAO-Grec Unicode" w:eastAsia="IFAO-Grec Unicode"/>
        </w:rPr>
      </w:pPr>
      <w:r>
        <w:rPr>
          <w:rtl w:val="0"/>
          <w:lang w:val="en-US"/>
        </w:rPr>
        <w:t xml:space="preserve">2 On autopsy, the reading </w:t>
      </w:r>
      <w:r>
        <w:rPr>
          <w:rFonts w:ascii="IFAO-Grec Unicode" w:hAnsi="IFAO-Grec Unicode"/>
          <w:rtl w:val="0"/>
          <w:lang w:val="pt-PT"/>
        </w:rPr>
        <w:t>[ ca. 3 ]</w:t>
      </w:r>
      <w:r>
        <w:rPr>
          <w:rFonts w:ascii="IFAO-Grec Unicode" w:hAnsi="IFAO-Grec Unicode" w:hint="default"/>
          <w:rtl w:val="0"/>
          <w:lang w:val="en-US"/>
        </w:rPr>
        <w:t>α̣ρ̣ων̣</w:t>
      </w:r>
      <w:r>
        <w:rPr>
          <w:rFonts w:ascii="IFAO-Grec Unicode" w:hAnsi="IFAO-Grec Unicode"/>
          <w:rtl w:val="0"/>
          <w:lang w:val="en-US"/>
        </w:rPr>
        <w:t xml:space="preserve"> seemed plausible, but not firm enough to be printed in the text.</w:t>
      </w:r>
    </w:p>
    <w:p>
      <w:pPr>
        <w:pStyle w:val="Body"/>
      </w:pPr>
      <w:r>
        <w:rPr>
          <w:rFonts w:ascii="IFAO-Grec Unicode" w:cs="IFAO-Grec Unicode" w:hAnsi="IFAO-Grec Unicode" w:eastAsia="IFAO-Grec Unicode"/>
          <w:rtl w:val="0"/>
        </w:rPr>
        <w:tab/>
        <w:t xml:space="preserve">The letters EY of the last word are easily read. Upsilon is followed by a vertical stroke connected to a horizontal hasta on top that sticks out to the right; this could be the top of either </w:t>
      </w:r>
      <w:r>
        <w:rPr>
          <w:rFonts w:ascii="IFAO-Grec Unicode" w:hAnsi="IFAO-Grec Unicode" w:hint="default"/>
          <w:rtl w:val="0"/>
          <w:lang w:val="en-US"/>
        </w:rPr>
        <w:t xml:space="preserve">Σ </w:t>
      </w:r>
      <w:r>
        <w:rPr>
          <w:rFonts w:ascii="IFAO-Grec Unicode" w:hAnsi="IFAO-Grec Unicode"/>
          <w:rtl w:val="0"/>
        </w:rPr>
        <w:t xml:space="preserve">or </w:t>
      </w:r>
      <w:r>
        <w:rPr>
          <w:rFonts w:ascii="IFAO-Grec Unicode" w:hAnsi="IFAO-Grec Unicode" w:hint="default"/>
          <w:rtl w:val="0"/>
          <w:lang w:val="en-US"/>
        </w:rPr>
        <w:t>Π</w:t>
      </w:r>
      <w:r>
        <w:rPr>
          <w:rFonts w:ascii="IFAO-Grec Unicode" w:hAnsi="IFAO-Grec Unicode"/>
          <w:rtl w:val="0"/>
          <w:lang w:val="en-US"/>
        </w:rPr>
        <w:t xml:space="preserve">. At the end of the line is </w:t>
      </w:r>
      <w:r>
        <w:rPr>
          <w:rFonts w:ascii="IFAO-Grec Unicode" w:hAnsi="IFAO-Grec Unicode" w:hint="default"/>
          <w:rtl w:val="0"/>
          <w:lang w:val="en-US"/>
        </w:rPr>
        <w:t xml:space="preserve">Ι </w:t>
      </w:r>
      <w:r>
        <w:rPr>
          <w:rFonts w:ascii="IFAO-Grec Unicode" w:hAnsi="IFAO-Grec Unicode"/>
          <w:rtl w:val="0"/>
          <w:lang w:val="en-US"/>
        </w:rPr>
        <w:t xml:space="preserve">and part of </w:t>
      </w:r>
      <w:r>
        <w:rPr>
          <w:rFonts w:ascii="IFAO-Grec Unicode" w:hAnsi="IFAO-Grec Unicode" w:hint="default"/>
          <w:rtl w:val="0"/>
          <w:lang w:val="en-US"/>
        </w:rPr>
        <w:t>Α</w:t>
      </w:r>
      <w:r>
        <w:rPr>
          <w:rFonts w:ascii="IFAO-Grec Unicode" w:hAnsi="IFAO-Grec Unicode"/>
          <w:rtl w:val="0"/>
          <w:lang w:val="en-US"/>
        </w:rPr>
        <w:t xml:space="preserve">. While </w:t>
      </w:r>
      <w:r>
        <w:rPr>
          <w:rFonts w:ascii="IFAO-Grec Unicode" w:hAnsi="IFAO-Grec Unicode" w:hint="default"/>
          <w:rtl w:val="0"/>
          <w:lang w:val="en-US"/>
        </w:rPr>
        <w:t>ε</w:t>
      </w:r>
      <w:r>
        <w:rPr>
          <w:rFonts w:ascii="IFAO-Grec Unicode" w:hAnsi="IFAO-Grec Unicode" w:hint="default"/>
          <w:rtl w:val="0"/>
        </w:rPr>
        <w:t xml:space="preserve">ὐπλοίας </w:t>
      </w:r>
      <w:r>
        <w:rPr>
          <w:rFonts w:ascii="IFAO-Grec Unicode" w:hAnsi="IFAO-Grec Unicode"/>
          <w:rtl w:val="0"/>
          <w:lang w:val="en-US"/>
        </w:rPr>
        <w:t xml:space="preserve">could fit these traces, it would require much less space than is present on the stone. Moreover, part of </w:t>
      </w:r>
      <w:r>
        <w:rPr>
          <w:rFonts w:ascii="IFAO-Grec Unicode" w:hAnsi="IFAO-Grec Unicode" w:hint="default"/>
          <w:rtl w:val="0"/>
          <w:lang w:val="en-US"/>
        </w:rPr>
        <w:t>Ε</w:t>
      </w:r>
      <w:r>
        <w:rPr>
          <w:rFonts w:ascii="IFAO-Grec Unicode" w:hAnsi="IFAO-Grec Unicode"/>
          <w:rtl w:val="0"/>
          <w:lang w:val="en-US"/>
        </w:rPr>
        <w:t xml:space="preserve"> can probably be discerned before </w:t>
      </w:r>
      <w:r>
        <w:rPr>
          <w:rFonts w:ascii="IFAO-Grec Unicode" w:hAnsi="IFAO-Grec Unicode" w:hint="default"/>
          <w:rtl w:val="0"/>
          <w:lang w:val="en-US"/>
        </w:rPr>
        <w:t>Ι</w:t>
      </w:r>
      <w:r>
        <w:rPr>
          <w:rFonts w:ascii="IFAO-Grec Unicode" w:hAnsi="IFAO-Grec Unicode"/>
          <w:rtl w:val="0"/>
          <w:lang w:val="en-US"/>
        </w:rPr>
        <w:t xml:space="preserve">. Thus, the reading </w:t>
      </w:r>
      <w:r>
        <w:rPr>
          <w:rFonts w:ascii="IFAO-Grec Unicode" w:hAnsi="IFAO-Grec Unicode" w:hint="default"/>
          <w:rtl w:val="0"/>
          <w:lang w:val="en-US"/>
        </w:rPr>
        <w:t>ε</w:t>
      </w:r>
      <w:r>
        <w:rPr>
          <w:rFonts w:ascii="IFAO-Grec Unicode" w:hAnsi="IFAO-Grec Unicode" w:hint="default"/>
          <w:rtl w:val="0"/>
        </w:rPr>
        <w:t xml:space="preserve">ὐσεβείας </w:t>
      </w:r>
      <w:r>
        <w:rPr>
          <w:rFonts w:ascii="IFAO-Grec Unicode" w:hAnsi="IFAO-Grec Unicode"/>
          <w:rtl w:val="0"/>
          <w:lang w:val="en-US"/>
        </w:rPr>
        <w:t>is preferable.</w:t>
      </w:r>
    </w:p>
    <w:p>
      <w:pPr>
        <w:pStyle w:val="Body"/>
      </w:pPr>
    </w:p>
    <w:p>
      <w:pPr>
        <w:pStyle w:val="Body"/>
        <w:rPr>
          <w:rFonts w:ascii="IFAO-Grec Unicode" w:cs="IFAO-Grec Unicode" w:hAnsi="IFAO-Grec Unicode" w:eastAsia="IFAO-Grec Unicode"/>
        </w:rPr>
      </w:pPr>
      <w:r>
        <w:rPr>
          <w:rtl w:val="0"/>
          <w:lang w:val="en-US"/>
        </w:rPr>
        <w:t xml:space="preserve">3 There is empty space large enough for a single character between </w:t>
      </w:r>
      <w:r>
        <w:rPr>
          <w:rFonts w:ascii="IFAO-Grec Unicode" w:hAnsi="IFAO-Grec Unicode"/>
          <w:rtl w:val="0"/>
          <w:lang w:val="pt-PT"/>
        </w:rPr>
        <w:t>[</w:t>
      </w:r>
      <w:r>
        <w:rPr>
          <w:rFonts w:ascii="IFAO-Grec Unicode" w:hAnsi="IFAO-Grec Unicode" w:hint="default"/>
          <w:rtl w:val="0"/>
          <w:lang w:val="en-US"/>
        </w:rPr>
        <w:t>χ</w:t>
      </w:r>
      <w:r>
        <w:rPr>
          <w:rFonts w:ascii="IFAO-Grec Unicode" w:hAnsi="IFAO-Grec Unicode"/>
          <w:rtl w:val="0"/>
          <w:lang w:val="pt-PT"/>
        </w:rPr>
        <w:t>]</w:t>
      </w:r>
      <w:r>
        <w:rPr>
          <w:rFonts w:ascii="IFAO-Grec Unicode" w:hAnsi="IFAO-Grec Unicode" w:hint="default"/>
          <w:rtl w:val="0"/>
        </w:rPr>
        <w:t>ά̣</w:t>
      </w:r>
      <w:r>
        <w:rPr>
          <w:rFonts w:ascii="IFAO-Grec Unicode" w:hAnsi="IFAO-Grec Unicode" w:hint="default"/>
          <w:rtl w:val="0"/>
          <w:lang w:val="en-US"/>
        </w:rPr>
        <w:t>ριν̣</w:t>
      </w:r>
      <w:r>
        <w:rPr>
          <w:rFonts w:ascii="IFAO-Grec Unicode" w:hAnsi="IFAO-Grec Unicode"/>
          <w:rtl w:val="0"/>
          <w:lang w:val="en-US"/>
        </w:rPr>
        <w:t xml:space="preserve"> and </w:t>
      </w:r>
      <w:r>
        <w:rPr>
          <w:rFonts w:ascii="IFAO-Grec Unicode" w:hAnsi="IFAO-Grec Unicode" w:hint="default"/>
          <w:rtl w:val="0"/>
        </w:rPr>
        <w:t>ἐπ᾿</w:t>
      </w:r>
      <w:r>
        <w:rPr>
          <w:rFonts w:ascii="IFAO-Grec Unicode" w:hAnsi="IFAO-Grec Unicode"/>
          <w:rtl w:val="0"/>
          <w:lang w:val="en-US"/>
        </w:rPr>
        <w:t xml:space="preserve">. While blank space may have marked a </w:t>
      </w:r>
      <w:r>
        <w:rPr>
          <w:rFonts w:ascii="IFAO-Grec Unicode" w:hAnsi="IFAO-Grec Unicode"/>
          <w:rtl w:val="0"/>
          <w:lang w:val="en-US"/>
        </w:rPr>
        <w:t>vacat</w:t>
      </w:r>
      <w:r>
        <w:rPr>
          <w:rFonts w:ascii="IFAO-Grec Unicode" w:hAnsi="IFAO-Grec Unicode"/>
          <w:rtl w:val="0"/>
          <w:lang w:val="en-US"/>
        </w:rPr>
        <w:t>, it is also possible that a punctation mark stood there.</w:t>
      </w:r>
    </w:p>
    <w:p>
      <w:pPr>
        <w:pStyle w:val="Body"/>
        <w:rPr>
          <w:rFonts w:ascii="IFAO-Grec Unicode" w:cs="IFAO-Grec Unicode" w:hAnsi="IFAO-Grec Unicode" w:eastAsia="IFAO-Grec Unicode"/>
        </w:rPr>
      </w:pPr>
      <w:r>
        <w:rPr>
          <w:rFonts w:ascii="IFAO-Grec Unicode" w:cs="IFAO-Grec Unicode" w:hAnsi="IFAO-Grec Unicode" w:eastAsia="IFAO-Grec Unicode"/>
          <w:rtl w:val="0"/>
        </w:rPr>
        <w:tab/>
        <w:t xml:space="preserve">For discussion of the space between </w:t>
      </w:r>
      <w:r>
        <w:rPr>
          <w:rFonts w:ascii="IFAO-Grec Unicode" w:hAnsi="IFAO-Grec Unicode" w:hint="default"/>
          <w:rtl w:val="0"/>
        </w:rPr>
        <w:t xml:space="preserve">ἀγαθοῖς </w:t>
      </w:r>
      <w:r>
        <w:rPr>
          <w:rFonts w:ascii="IFAO-Grec Unicode" w:hAnsi="IFAO-Grec Unicode"/>
          <w:rtl w:val="0"/>
          <w:lang w:val="en-US"/>
        </w:rPr>
        <w:t xml:space="preserve">and </w:t>
      </w:r>
      <w:r>
        <w:rPr>
          <w:rFonts w:ascii="IFAO-Grec Unicode" w:hAnsi="IFAO-Grec Unicode" w:hint="default"/>
          <w:rtl w:val="0"/>
          <w:lang w:val="en-US"/>
        </w:rPr>
        <w:t>Πρ</w:t>
      </w:r>
      <w:r>
        <w:rPr>
          <w:rFonts w:ascii="IFAO-Grec Unicode" w:hAnsi="IFAO-Grec Unicode" w:hint="default"/>
          <w:rtl w:val="0"/>
        </w:rPr>
        <w:t>όβ</w:t>
      </w:r>
      <w:r>
        <w:rPr>
          <w:rFonts w:ascii="IFAO-Grec Unicode" w:hAnsi="IFAO-Grec Unicode" w:hint="default"/>
          <w:rtl w:val="0"/>
          <w:lang w:val="en-US"/>
        </w:rPr>
        <w:t>ου</w:t>
      </w:r>
      <w:r>
        <w:rPr>
          <w:rFonts w:ascii="IFAO-Grec Unicode" w:hAnsi="IFAO-Grec Unicode"/>
          <w:rtl w:val="0"/>
          <w:lang w:val="en-US"/>
        </w:rPr>
        <w:t xml:space="preserve">, see the introduction above. </w:t>
      </w:r>
      <w:r>
        <w:rPr>
          <w:rFonts w:ascii="IFAO-Grec Unicode" w:hAnsi="IFAO-Grec Unicode" w:hint="default"/>
          <w:rtl w:val="0"/>
        </w:rPr>
        <w:t xml:space="preserve">ἐπ᾿ ἀγαθοῖς </w:t>
      </w:r>
      <w:r>
        <w:rPr>
          <w:rFonts w:ascii="IFAO-Grec Unicode" w:hAnsi="IFAO-Grec Unicode"/>
          <w:rtl w:val="0"/>
          <w:lang w:val="en-US"/>
        </w:rPr>
        <w:t xml:space="preserve">is an uncommon expression in dedications from Egypt. Much more common is the singular </w:t>
      </w:r>
      <w:r>
        <w:rPr>
          <w:rFonts w:ascii="IFAO-Grec Unicode" w:hAnsi="IFAO-Grec Unicode" w:hint="default"/>
          <w:rtl w:val="0"/>
        </w:rPr>
        <w:t>ἐπ᾿ ἀγαθῷ</w:t>
      </w:r>
      <w:r>
        <w:rPr>
          <w:rFonts w:ascii="IFAO-Grec Unicode" w:hAnsi="IFAO-Grec Unicode"/>
          <w:rtl w:val="0"/>
          <w:lang w:val="en-US"/>
        </w:rPr>
        <w:t xml:space="preserve">, which is attested in numerous dedications from Berenike. Interestingly, the plural </w:t>
      </w:r>
      <w:r>
        <w:rPr>
          <w:rFonts w:ascii="IFAO-Grec Unicode" w:hAnsi="IFAO-Grec Unicode" w:hint="default"/>
          <w:rtl w:val="0"/>
        </w:rPr>
        <w:t xml:space="preserve">ἐπ᾿ ἀγαθοῖς </w:t>
      </w:r>
      <w:r>
        <w:rPr>
          <w:rFonts w:ascii="IFAO-Grec Unicode" w:hAnsi="IFAO-Grec Unicode"/>
          <w:rtl w:val="0"/>
          <w:lang w:val="en-US"/>
        </w:rPr>
        <w:t>occurs in papyri of the late second and the third century CE, many of them connected to journeys of the Egyptian prefect; see BGU 13 2211.4n.</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Fonts w:ascii="IFAO-Grec Unicode" w:hAnsi="IFAO-Grec Unicode"/>
          <w:rtl w:val="0"/>
          <w:lang w:val="en-US"/>
        </w:rPr>
        <w:t>5 There are apparent incisions before the month name. Since Probus</w:t>
      </w:r>
      <w:r>
        <w:rPr>
          <w:rFonts w:ascii="IFAO-Grec Unicode" w:hAnsi="IFAO-Grec Unicode" w:hint="default"/>
          <w:rtl w:val="0"/>
          <w:lang w:val="en-US"/>
        </w:rPr>
        <w:t>’</w:t>
      </w:r>
      <w:r>
        <w:rPr>
          <w:rFonts w:ascii="IFAO-Grec Unicode" w:hAnsi="IFAO-Grec Unicode"/>
          <w:rtl w:val="0"/>
          <w:lang w:val="en-US"/>
        </w:rPr>
        <w:t xml:space="preserve">s title certainly ended in the previous line, they cannot belong to that. One possibility is that </w:t>
      </w:r>
      <w:r>
        <w:rPr>
          <w:rFonts w:ascii="IFAO-Grec Unicode" w:hAnsi="IFAO-Grec Unicode" w:hint="default"/>
          <w:rtl w:val="0"/>
        </w:rPr>
        <w:t xml:space="preserve">ἐπ᾿ ἀγαθῷ </w:t>
      </w:r>
      <w:r>
        <w:rPr>
          <w:rFonts w:ascii="IFAO-Grec Unicode" w:hAnsi="IFAO-Grec Unicode"/>
          <w:rtl w:val="0"/>
          <w:lang w:val="en-US"/>
        </w:rPr>
        <w:t xml:space="preserve">was carved at the beginning of the line, but there are two problems with that interpretation: 1) it does not account for what looks like tips of two diagonal lines (//) visible just to the right of the large lacuna; 2) it is hard to fit </w:t>
      </w:r>
      <w:r>
        <w:rPr>
          <w:rFonts w:ascii="IFAO-Grec Unicode" w:hAnsi="IFAO-Grec Unicode" w:hint="default"/>
          <w:rtl w:val="0"/>
        </w:rPr>
        <w:t xml:space="preserve">ω </w:t>
      </w:r>
      <w:r>
        <w:rPr>
          <w:rFonts w:ascii="IFAO-Grec Unicode" w:hAnsi="IFAO-Grec Unicode"/>
          <w:rtl w:val="0"/>
          <w:lang w:val="en-US"/>
        </w:rPr>
        <w:t xml:space="preserve">between what </w:t>
      </w:r>
      <w:r>
        <w:rPr>
          <w:rFonts w:ascii="IFAO-Grec Unicode" w:hAnsi="IFAO-Grec Unicode"/>
          <w:rtl w:val="0"/>
          <w:lang w:val="en-US"/>
        </w:rPr>
        <w:t xml:space="preserve">could </w:t>
      </w:r>
      <w:r>
        <w:rPr>
          <w:rFonts w:ascii="IFAO-Grec Unicode" w:hAnsi="IFAO-Grec Unicode"/>
          <w:rtl w:val="0"/>
          <w:lang w:val="en-US"/>
        </w:rPr>
        <w:t xml:space="preserve"> be </w:t>
      </w:r>
      <w:r>
        <w:rPr>
          <w:rFonts w:ascii="IFAO-Grec Unicode" w:hAnsi="IFAO-Grec Unicode" w:hint="default"/>
          <w:rtl w:val="0"/>
          <w:lang w:val="en-US"/>
        </w:rPr>
        <w:t>Θ</w:t>
      </w:r>
      <w:r>
        <w:rPr>
          <w:rFonts w:ascii="IFAO-Grec Unicode" w:hAnsi="IFAO-Grec Unicode"/>
          <w:rtl w:val="0"/>
          <w:lang w:val="en-US"/>
        </w:rPr>
        <w:t xml:space="preserve"> and the round sign before alpha in </w:t>
      </w:r>
      <w:r>
        <w:rPr>
          <w:rFonts w:ascii="IFAO-Grec Unicode" w:hAnsi="IFAO-Grec Unicode" w:hint="default"/>
          <w:rtl w:val="0"/>
        </w:rPr>
        <w:t>Ἁθύρ</w:t>
      </w:r>
      <w:r>
        <w:rPr>
          <w:rFonts w:ascii="IFAO-Grec Unicode" w:hAnsi="IFAO-Grec Unicode"/>
          <w:rtl w:val="0"/>
          <w:lang w:val="en-US"/>
        </w:rPr>
        <w:t xml:space="preserve">. Another possibility is that the visible lines are from two slanting strokes that followed an L-shaped </w:t>
      </w:r>
      <w:r>
        <w:rPr>
          <w:rFonts w:ascii="IFAO-Grec Unicode" w:hAnsi="IFAO-Grec Unicode" w:hint="default"/>
          <w:rtl w:val="0"/>
        </w:rPr>
        <w:t xml:space="preserve">ἔτους </w:t>
      </w:r>
      <w:r>
        <w:rPr>
          <w:rFonts w:ascii="IFAO-Grec Unicode" w:hAnsi="IFAO-Grec Unicode"/>
          <w:rtl w:val="0"/>
          <w:lang w:val="en-US"/>
        </w:rPr>
        <w:t xml:space="preserve">symbol (L//) and a </w:t>
      </w:r>
      <w:r>
        <w:rPr>
          <w:rFonts w:ascii="IFAO-Grec Unicode" w:hAnsi="IFAO-Grec Unicode" w:hint="default"/>
          <w:rtl w:val="0"/>
        </w:rPr>
        <w:t xml:space="preserve">Δ </w:t>
      </w:r>
      <w:r>
        <w:rPr>
          <w:rFonts w:ascii="IFAO-Grec Unicode" w:hAnsi="IFAO-Grec Unicode"/>
          <w:rtl w:val="0"/>
          <w:lang w:val="en-US"/>
        </w:rPr>
        <w:t xml:space="preserve">(not a </w:t>
      </w:r>
      <w:r>
        <w:rPr>
          <w:rFonts w:ascii="IFAO-Grec Unicode" w:hAnsi="IFAO-Grec Unicode" w:hint="default"/>
          <w:rtl w:val="0"/>
          <w:lang w:val="en-US"/>
        </w:rPr>
        <w:t>Θ</w:t>
      </w:r>
      <w:r>
        <w:rPr>
          <w:rFonts w:ascii="IFAO-Grec Unicode" w:hAnsi="IFAO-Grec Unicode"/>
          <w:rtl w:val="0"/>
          <w:lang w:val="en-US"/>
        </w:rPr>
        <w:t xml:space="preserve">). On this interpretation, the round sign before the alpha would then be part of another </w:t>
      </w:r>
      <w:r>
        <w:rPr>
          <w:rFonts w:ascii="IFAO-Grec Unicode" w:hAnsi="IFAO-Grec Unicode"/>
          <w:rtl w:val="0"/>
          <w:lang w:val="da-DK"/>
        </w:rPr>
        <w:t>hedera</w:t>
      </w:r>
      <w:r>
        <w:rPr>
          <w:rFonts w:ascii="IFAO-Grec Unicode" w:hAnsi="IFAO-Grec Unicode"/>
          <w:rtl w:val="0"/>
          <w:lang w:val="en-US"/>
        </w:rPr>
        <w:t xml:space="preserve">. If this is correct, then the date of the inscription will have been 17 November 278. </w:t>
      </w:r>
    </w:p>
    <w:p>
      <w:pPr>
        <w:pStyle w:val="Body"/>
        <w:rPr>
          <w:rFonts w:ascii="IFAO-Grec Unicode" w:cs="IFAO-Grec Unicode" w:hAnsi="IFAO-Grec Unicode" w:eastAsia="IFAO-Grec Unicode"/>
        </w:rPr>
      </w:pPr>
    </w:p>
    <w:p>
      <w:pPr>
        <w:pStyle w:val="Body"/>
      </w:pPr>
    </w:p>
    <w:p>
      <w:pPr>
        <w:pStyle w:val="Codex"/>
      </w:pPr>
      <w:r>
        <w:rPr>
          <w:sz w:val="22"/>
          <w:szCs w:val="22"/>
          <w:rtl w:val="0"/>
          <w:lang w:val="en-US"/>
        </w:rPr>
        <w:t>#bibliography</w:t>
      </w:r>
    </w:p>
    <w:p>
      <w:pPr>
        <w:pStyle w:val="Body"/>
      </w:pPr>
      <w:r>
        <w:rPr>
          <w:rStyle w:val="Hyperlink.0"/>
        </w:rPr>
        <w:fldChar w:fldCharType="begin" w:fldLock="0"/>
      </w:r>
      <w:r>
        <w:rPr>
          <w:rStyle w:val="Hyperlink.0"/>
        </w:rPr>
        <w:instrText xml:space="preserve"> HYPERLINK "https://papyri.info/biblio/95932"</w:instrText>
      </w:r>
      <w:r>
        <w:rPr>
          <w:rStyle w:val="Hyperlink.0"/>
        </w:rPr>
        <w:fldChar w:fldCharType="separate" w:fldLock="0"/>
      </w:r>
      <w:r>
        <w:rPr>
          <w:rStyle w:val="Hyperlink.0"/>
          <w:rtl w:val="0"/>
        </w:rPr>
        <w:t>Ast, R. (2020)</w:t>
      </w:r>
      <w:r>
        <w:rPr/>
        <w:fldChar w:fldCharType="end" w:fldLock="0"/>
      </w:r>
      <w:r>
        <w:rPr>
          <w:rtl w:val="1"/>
          <w:lang w:val="ar-SA" w:bidi="ar-SA"/>
        </w:rPr>
        <w:t xml:space="preserve"> “</w:t>
      </w:r>
      <w:r>
        <w:rPr>
          <w:rtl w:val="0"/>
          <w:lang w:val="en-US"/>
        </w:rPr>
        <w:t>I.Pan 70, a Dedication from the Year 133 BC,</w:t>
      </w:r>
      <w:r>
        <w:rPr>
          <w:rtl w:val="0"/>
        </w:rPr>
        <w:t xml:space="preserve">” </w:t>
      </w:r>
      <w:r>
        <w:rPr>
          <w:rtl w:val="0"/>
        </w:rPr>
        <w:t>ZPE 213: 108</w:t>
      </w:r>
      <w:r>
        <w:rPr>
          <w:rtl w:val="0"/>
        </w:rPr>
        <w:t>–</w:t>
      </w:r>
      <w:r>
        <w:rPr>
          <w:rtl w:val="0"/>
        </w:rPr>
        <w:t>110.</w:t>
      </w:r>
    </w:p>
    <w:p>
      <w:pPr>
        <w:pStyle w:val="Body"/>
      </w:pPr>
      <w:r>
        <w:rPr>
          <w:rStyle w:val="Hyperlink.0"/>
        </w:rPr>
        <w:fldChar w:fldCharType="begin" w:fldLock="0"/>
      </w:r>
      <w:r>
        <w:rPr>
          <w:rStyle w:val="Hyperlink.0"/>
        </w:rPr>
        <w:instrText xml:space="preserve"> HYPERLINK "https://papyri.info/biblio/96762"</w:instrText>
      </w:r>
      <w:r>
        <w:rPr>
          <w:rStyle w:val="Hyperlink.0"/>
        </w:rPr>
        <w:fldChar w:fldCharType="separate" w:fldLock="0"/>
      </w:r>
      <w:r>
        <w:rPr>
          <w:rStyle w:val="Hyperlink.0"/>
          <w:rtl w:val="0"/>
        </w:rPr>
        <w:t>Ast, R. (2021)</w:t>
      </w:r>
      <w:r>
        <w:rPr/>
        <w:fldChar w:fldCharType="end" w:fldLock="0"/>
      </w:r>
      <w:r>
        <w:rPr>
          <w:rtl w:val="1"/>
          <w:lang w:val="ar-SA" w:bidi="ar-SA"/>
        </w:rPr>
        <w:t xml:space="preserve"> “</w:t>
      </w:r>
      <w:r>
        <w:rPr>
          <w:rtl w:val="0"/>
          <w:lang w:val="en-US"/>
        </w:rPr>
        <w:t>Marcus Laelius Cosmus. Italian merchants and Roman trade at Berenike under the Julio-Claudian Emperors</w:t>
      </w:r>
      <w:r>
        <w:rPr>
          <w:rtl w:val="0"/>
        </w:rPr>
        <w:t xml:space="preserve">” </w:t>
      </w:r>
      <w:r>
        <w:rPr>
          <w:rFonts w:ascii="IFAO-Grec Unicode" w:hAnsi="IFAO-Grec Unicode"/>
          <w:rtl w:val="0"/>
          <w:lang w:val="en-US"/>
        </w:rPr>
        <w:t xml:space="preserve">L. Rahmstorf, G. Barjamovic, and N. Ialongo (eds), Merchants, Measures and Money Understanding Technologies of Early Trade in a </w:t>
      </w:r>
      <w:r>
        <w:rPr>
          <w:rtl w:val="0"/>
          <w:lang w:val="en-US"/>
        </w:rPr>
        <w:t>Comparative Perspective. Weight and Value 2 (Kiel-Hamburg 2021): 142</w:t>
      </w:r>
      <w:r>
        <w:rPr>
          <w:rtl w:val="0"/>
        </w:rPr>
        <w:t>–</w:t>
      </w:r>
      <w:r>
        <w:rPr>
          <w:rtl w:val="0"/>
        </w:rPr>
        <w:t>157.</w:t>
      </w:r>
    </w:p>
    <w:p>
      <w:pPr>
        <w:pStyle w:val="Body"/>
      </w:pPr>
      <w:r>
        <w:rPr>
          <w:rStyle w:val="Hyperlink.0"/>
        </w:rPr>
        <w:fldChar w:fldCharType="begin" w:fldLock="0"/>
      </w:r>
      <w:r>
        <w:rPr>
          <w:rStyle w:val="Hyperlink.0"/>
        </w:rPr>
        <w:instrText xml:space="preserve"> HYPERLINK "https://papyri.info/biblio/89162"</w:instrText>
      </w:r>
      <w:r>
        <w:rPr>
          <w:rStyle w:val="Hyperlink.0"/>
        </w:rPr>
        <w:fldChar w:fldCharType="separate" w:fldLock="0"/>
      </w:r>
      <w:r>
        <w:rPr>
          <w:rStyle w:val="Hyperlink.0"/>
          <w:rtl w:val="0"/>
        </w:rPr>
        <w:t>Ast, R. and Bagnall, R.S. (2015)</w:t>
      </w:r>
      <w:r>
        <w:rPr/>
        <w:fldChar w:fldCharType="end" w:fldLock="0"/>
      </w:r>
      <w:r>
        <w:rPr>
          <w:rtl w:val="1"/>
          <w:lang w:val="ar-SA" w:bidi="ar-SA"/>
        </w:rPr>
        <w:t xml:space="preserve"> “</w:t>
      </w:r>
      <w:r>
        <w:rPr>
          <w:rtl w:val="0"/>
          <w:lang w:val="en-US"/>
        </w:rPr>
        <w:t>The Receivers of Berenike,</w:t>
      </w:r>
      <w:r>
        <w:rPr>
          <w:rtl w:val="0"/>
        </w:rPr>
        <w:t xml:space="preserve">” </w:t>
      </w:r>
      <w:r>
        <w:rPr>
          <w:rtl w:val="0"/>
          <w:lang w:val="fr-FR"/>
        </w:rPr>
        <w:t>Chiron</w:t>
      </w:r>
      <w:r>
        <w:rPr>
          <w:rtl w:val="0"/>
        </w:rPr>
        <w:t xml:space="preserve"> 45: 171</w:t>
      </w:r>
      <w:r>
        <w:rPr>
          <w:rtl w:val="0"/>
        </w:rPr>
        <w:t>–</w:t>
      </w:r>
      <w:r>
        <w:rPr>
          <w:rtl w:val="0"/>
        </w:rPr>
        <w:t>185.</w:t>
      </w:r>
    </w:p>
    <w:p>
      <w:pPr>
        <w:pStyle w:val="Body"/>
      </w:pPr>
      <w:r>
        <w:rPr>
          <w:rStyle w:val="Hyperlink.0"/>
        </w:rPr>
        <w:fldChar w:fldCharType="begin" w:fldLock="0"/>
      </w:r>
      <w:r>
        <w:rPr>
          <w:rStyle w:val="Hyperlink.0"/>
        </w:rPr>
        <w:instrText xml:space="preserve"> HYPERLINK "https://papyri.info/biblio/95924"</w:instrText>
      </w:r>
      <w:r>
        <w:rPr>
          <w:rStyle w:val="Hyperlink.0"/>
        </w:rPr>
        <w:fldChar w:fldCharType="separate" w:fldLock="0"/>
      </w:r>
      <w:r>
        <w:rPr>
          <w:rStyle w:val="Hyperlink.0"/>
          <w:rtl w:val="0"/>
        </w:rPr>
        <w:t>Ast, R. and R</w:t>
      </w:r>
      <w:r>
        <w:rPr>
          <w:rStyle w:val="Hyperlink.0"/>
          <w:rtl w:val="0"/>
        </w:rPr>
        <w:t>ą</w:t>
      </w:r>
      <w:r>
        <w:rPr>
          <w:rStyle w:val="Hyperlink.0"/>
          <w:rtl w:val="0"/>
        </w:rPr>
        <w:t>dkowska, J. (2020)</w:t>
      </w:r>
      <w:r>
        <w:rPr/>
        <w:fldChar w:fldCharType="end" w:fldLock="0"/>
      </w:r>
      <w:r>
        <w:rPr>
          <w:rtl w:val="1"/>
          <w:lang w:val="ar-SA" w:bidi="ar-SA"/>
        </w:rPr>
        <w:t xml:space="preserve"> “</w:t>
      </w:r>
      <w:r>
        <w:rPr>
          <w:rtl w:val="0"/>
          <w:lang w:val="en-US"/>
        </w:rPr>
        <w:t>Dedication of the Blemmyan Interpreter Mochosak on Behalf of King Isemne,</w:t>
      </w:r>
      <w:r>
        <w:rPr>
          <w:rtl w:val="0"/>
        </w:rPr>
        <w:t xml:space="preserve">” </w:t>
      </w:r>
      <w:r>
        <w:rPr>
          <w:rtl w:val="0"/>
        </w:rPr>
        <w:t>ZPE 215: 147</w:t>
      </w:r>
      <w:r>
        <w:rPr>
          <w:rtl w:val="0"/>
        </w:rPr>
        <w:t>–</w:t>
      </w:r>
      <w:r>
        <w:rPr>
          <w:rtl w:val="0"/>
        </w:rPr>
        <w:t>158.</w:t>
      </w:r>
    </w:p>
    <w:p>
      <w:pPr>
        <w:pStyle w:val="Body"/>
      </w:pPr>
      <w:r>
        <w:rPr>
          <w:rStyle w:val="Hyperlink.0"/>
        </w:rPr>
        <w:fldChar w:fldCharType="begin" w:fldLock="0"/>
      </w:r>
      <w:r>
        <w:rPr>
          <w:rStyle w:val="Hyperlink.0"/>
        </w:rPr>
        <w:instrText xml:space="preserve"> HYPERLINK "https://papyri.info/biblio/51199"</w:instrText>
      </w:r>
      <w:r>
        <w:rPr>
          <w:rStyle w:val="Hyperlink.0"/>
        </w:rPr>
        <w:fldChar w:fldCharType="separate" w:fldLock="0"/>
      </w:r>
      <w:r>
        <w:rPr>
          <w:rStyle w:val="Hyperlink.0"/>
          <w:rtl w:val="0"/>
        </w:rPr>
        <w:t>Barnes, T.D. (1976)</w:t>
      </w:r>
      <w:r>
        <w:rPr/>
        <w:fldChar w:fldCharType="end" w:fldLock="0"/>
      </w:r>
      <w:r>
        <w:rPr>
          <w:rtl w:val="1"/>
          <w:lang w:val="ar-SA" w:bidi="ar-SA"/>
        </w:rPr>
        <w:t xml:space="preserve"> “</w:t>
      </w:r>
      <w:r>
        <w:rPr>
          <w:rtl w:val="0"/>
          <w:lang w:val="en-US"/>
        </w:rPr>
        <w:t>Imperial Campaigns, A.D. 285</w:t>
      </w:r>
      <w:r>
        <w:rPr>
          <w:rtl w:val="0"/>
        </w:rPr>
        <w:t>–</w:t>
      </w:r>
      <w:r>
        <w:rPr>
          <w:rtl w:val="0"/>
        </w:rPr>
        <w:t>311,</w:t>
      </w:r>
      <w:r>
        <w:rPr>
          <w:rtl w:val="0"/>
        </w:rPr>
        <w:t xml:space="preserve">” </w:t>
      </w:r>
      <w:r>
        <w:rPr>
          <w:rtl w:val="0"/>
          <w:lang w:val="nl-NL"/>
        </w:rPr>
        <w:t>Phoenix 30: 174</w:t>
      </w:r>
      <w:r>
        <w:rPr>
          <w:rtl w:val="0"/>
        </w:rPr>
        <w:t>–</w:t>
      </w:r>
      <w:r>
        <w:rPr>
          <w:rtl w:val="0"/>
        </w:rPr>
        <w:t>193.</w:t>
      </w:r>
    </w:p>
    <w:p>
      <w:pPr>
        <w:pStyle w:val="Body"/>
      </w:pPr>
      <w:r>
        <w:rPr>
          <w:rStyle w:val="Hyperlink.0"/>
        </w:rPr>
        <w:fldChar w:fldCharType="begin" w:fldLock="0"/>
      </w:r>
      <w:r>
        <w:rPr>
          <w:rStyle w:val="Hyperlink.0"/>
        </w:rPr>
        <w:instrText xml:space="preserve"> HYPERLINK "https://papyri.info/biblio/52377"</w:instrText>
      </w:r>
      <w:r>
        <w:rPr>
          <w:rStyle w:val="Hyperlink.0"/>
        </w:rPr>
        <w:fldChar w:fldCharType="separate" w:fldLock="0"/>
      </w:r>
      <w:r>
        <w:rPr>
          <w:rStyle w:val="Hyperlink.0"/>
          <w:rtl w:val="0"/>
        </w:rPr>
        <w:t>Bowman, A.K. (1978)</w:t>
      </w:r>
      <w:r>
        <w:rPr/>
        <w:fldChar w:fldCharType="end" w:fldLock="0"/>
      </w:r>
      <w:r>
        <w:rPr>
          <w:rtl w:val="1"/>
          <w:lang w:val="ar-SA" w:bidi="ar-SA"/>
        </w:rPr>
        <w:t xml:space="preserve"> “</w:t>
      </w:r>
      <w:r>
        <w:rPr>
          <w:rtl w:val="0"/>
          <w:lang w:val="en-US"/>
        </w:rPr>
        <w:t>The Military Occupation of Upper Egypt in the Reign of Diocletian,</w:t>
      </w:r>
      <w:r>
        <w:rPr>
          <w:rtl w:val="0"/>
        </w:rPr>
        <w:t xml:space="preserve">” </w:t>
      </w:r>
      <w:r>
        <w:rPr>
          <w:rtl w:val="0"/>
        </w:rPr>
        <w:t>BASP 15: 25</w:t>
      </w:r>
      <w:r>
        <w:rPr>
          <w:rtl w:val="0"/>
        </w:rPr>
        <w:t>–</w:t>
      </w:r>
      <w:r>
        <w:rPr>
          <w:rtl w:val="0"/>
        </w:rPr>
        <w:t>38.</w:t>
      </w:r>
    </w:p>
    <w:p>
      <w:pPr>
        <w:pStyle w:val="Body"/>
      </w:pPr>
      <w:r>
        <w:rPr>
          <w:rStyle w:val="Hyperlink.0"/>
        </w:rPr>
        <w:fldChar w:fldCharType="begin" w:fldLock="0"/>
      </w:r>
      <w:r>
        <w:rPr>
          <w:rStyle w:val="Hyperlink.0"/>
        </w:rPr>
        <w:instrText xml:space="preserve"> HYPERLINK "https://doi.org/10.4000/books.cdf.5239"</w:instrText>
      </w:r>
      <w:r>
        <w:rPr>
          <w:rStyle w:val="Hyperlink.0"/>
        </w:rPr>
        <w:fldChar w:fldCharType="separate" w:fldLock="0"/>
      </w:r>
      <w:r>
        <w:rPr>
          <w:rStyle w:val="Hyperlink.0"/>
          <w:rtl w:val="0"/>
        </w:rPr>
        <w:t>Brun, J.-P. (2018)</w:t>
      </w:r>
      <w:r>
        <w:rPr/>
        <w:fldChar w:fldCharType="end" w:fldLock="0"/>
      </w:r>
      <w:r>
        <w:rPr>
          <w:rtl w:val="1"/>
          <w:lang w:val="ar-SA" w:bidi="ar-SA"/>
        </w:rPr>
        <w:t xml:space="preserve"> “</w:t>
      </w:r>
      <w:r>
        <w:rPr>
          <w:rtl w:val="0"/>
          <w:lang w:val="en-US"/>
        </w:rPr>
        <w:t>Chronology of the Forts of the Routes to Myos Hormos and Berenike during the Graeco-Roman Period,</w:t>
      </w:r>
      <w:r>
        <w:rPr>
          <w:rtl w:val="0"/>
        </w:rPr>
        <w:t xml:space="preserve">” </w:t>
      </w:r>
      <w:r>
        <w:rPr>
          <w:rtl w:val="0"/>
          <w:lang w:val="en-US"/>
        </w:rPr>
        <w:t>in J.-P. Brun, T. Faucher, B. Redon, S. Sidebotham (eds), The Eastern Desert of Egypt during the Greco-Roman Period: Archaeological Reports. Paris.</w:t>
      </w:r>
    </w:p>
    <w:p>
      <w:pPr>
        <w:pStyle w:val="Body"/>
      </w:pPr>
      <w:r>
        <w:rPr>
          <w:rStyle w:val="Hyperlink.1"/>
        </w:rPr>
        <w:fldChar w:fldCharType="begin" w:fldLock="0"/>
      </w:r>
      <w:r>
        <w:rPr>
          <w:rStyle w:val="Hyperlink.1"/>
        </w:rPr>
        <w:instrText xml:space="preserve"> HYPERLINK "https://papyri.info/biblio/6514"</w:instrText>
      </w:r>
      <w:r>
        <w:rPr>
          <w:rStyle w:val="Hyperlink.1"/>
        </w:rPr>
        <w:fldChar w:fldCharType="separate" w:fldLock="0"/>
      </w:r>
      <w:r>
        <w:rPr>
          <w:rStyle w:val="Hyperlink.1"/>
          <w:rtl w:val="0"/>
        </w:rPr>
        <w:t>Bureth, P. (1964)</w:t>
      </w:r>
      <w:r>
        <w:rPr/>
        <w:fldChar w:fldCharType="end" w:fldLock="0"/>
      </w:r>
      <w:r>
        <w:rPr>
          <w:rFonts w:ascii="IFAO-Grec Unicode" w:hAnsi="IFAO-Grec Unicode"/>
          <w:rtl w:val="0"/>
        </w:rPr>
        <w:t xml:space="preserve"> </w:t>
      </w:r>
      <w:r>
        <w:rPr>
          <w:rtl w:val="0"/>
          <w:lang w:val="fr-FR"/>
        </w:rPr>
        <w:t>Les Titulatures imp</w:t>
      </w:r>
      <w:r>
        <w:rPr>
          <w:rtl w:val="0"/>
          <w:lang w:val="fr-FR"/>
        </w:rPr>
        <w:t>é</w:t>
      </w:r>
      <w:r>
        <w:rPr>
          <w:rtl w:val="0"/>
          <w:lang w:val="fr-FR"/>
        </w:rPr>
        <w:t>riales dans les papyrus, les ostraca et les inscriptions</w:t>
      </w:r>
      <w:r>
        <w:rPr>
          <w:rtl w:val="0"/>
          <w:lang w:val="de-DE"/>
        </w:rPr>
        <w:t xml:space="preserve"> </w:t>
      </w:r>
      <w:r>
        <w:rPr>
          <w:rtl w:val="0"/>
          <w:lang w:val="fr-FR"/>
        </w:rPr>
        <w:t>d'</w:t>
      </w:r>
      <w:r>
        <w:rPr>
          <w:rtl w:val="0"/>
          <w:lang w:val="fr-FR"/>
        </w:rPr>
        <w:t>É</w:t>
      </w:r>
      <w:r>
        <w:rPr>
          <w:rtl w:val="0"/>
        </w:rPr>
        <w:t xml:space="preserve">gypte (30 a.C. - 284 p.C.). Brussels. </w:t>
      </w:r>
    </w:p>
    <w:p>
      <w:pPr>
        <w:pStyle w:val="Body"/>
      </w:pPr>
      <w:r>
        <w:rPr>
          <w:rStyle w:val="Hyperlink.0"/>
        </w:rPr>
        <w:fldChar w:fldCharType="begin" w:fldLock="0"/>
      </w:r>
      <w:r>
        <w:rPr>
          <w:rStyle w:val="Hyperlink.0"/>
        </w:rPr>
        <w:instrText xml:space="preserve"> HYPERLINK "https://papyri.info/biblio/96763"</w:instrText>
      </w:r>
      <w:r>
        <w:rPr>
          <w:rStyle w:val="Hyperlink.0"/>
        </w:rPr>
        <w:fldChar w:fldCharType="separate" w:fldLock="0"/>
      </w:r>
      <w:r>
        <w:rPr>
          <w:rStyle w:val="Hyperlink.0"/>
          <w:rtl w:val="0"/>
        </w:rPr>
        <w:t>Cobb, M.A. (2023)</w:t>
      </w:r>
      <w:r>
        <w:rPr/>
        <w:fldChar w:fldCharType="end" w:fldLock="0"/>
      </w:r>
      <w:r>
        <w:rPr>
          <w:rtl w:val="1"/>
          <w:lang w:val="ar-SA" w:bidi="ar-SA"/>
        </w:rPr>
        <w:t xml:space="preserve"> “</w:t>
      </w:r>
      <w:r>
        <w:rPr>
          <w:rtl w:val="0"/>
          <w:lang w:val="en-US"/>
        </w:rPr>
        <w:t>The Palmyrene Diaspora in Egypt: Dependency, Sustainability, and Reuse</w:t>
      </w:r>
      <w:r>
        <w:rPr>
          <w:rtl w:val="0"/>
        </w:rPr>
        <w:t xml:space="preserve">” </w:t>
      </w:r>
      <w:r>
        <w:rPr>
          <w:rtl w:val="0"/>
          <w:lang w:val="en-US"/>
        </w:rPr>
        <w:t>in N. Andrade and Raja, R. (eds), Exchange and Reuse in Roman Palmyra: Examining Economy and Circularity. Turnhout: 113</w:t>
      </w:r>
      <w:r>
        <w:rPr>
          <w:rFonts w:ascii="IFAO-Grec Unicode" w:hAnsi="IFAO-Grec Unicode" w:hint="default"/>
          <w:rtl w:val="0"/>
          <w:lang w:val="en-US"/>
        </w:rPr>
        <w:t>–</w:t>
      </w:r>
      <w:r>
        <w:rPr>
          <w:rFonts w:ascii="IFAO-Grec Unicode" w:hAnsi="IFAO-Grec Unicode"/>
          <w:rtl w:val="0"/>
        </w:rPr>
        <w:t>129.</w:t>
      </w:r>
    </w:p>
    <w:p>
      <w:pPr>
        <w:pStyle w:val="Body"/>
      </w:pPr>
      <w:r>
        <w:rPr>
          <w:rStyle w:val="Hyperlink.0"/>
        </w:rPr>
        <w:fldChar w:fldCharType="begin" w:fldLock="0"/>
      </w:r>
      <w:r>
        <w:rPr>
          <w:rStyle w:val="Hyperlink.0"/>
        </w:rPr>
        <w:instrText xml:space="preserve"> HYPERLINK "https://papyri.info/biblio/95999"</w:instrText>
      </w:r>
      <w:r>
        <w:rPr>
          <w:rStyle w:val="Hyperlink.0"/>
        </w:rPr>
        <w:fldChar w:fldCharType="separate" w:fldLock="0"/>
      </w:r>
      <w:bookmarkStart w:name="_Hlk163723075" w:id="0"/>
      <w:r>
        <w:rPr>
          <w:rStyle w:val="Hyperlink.0"/>
          <w:rtl w:val="0"/>
        </w:rPr>
        <w:t>Cuvigny, H. (2021)</w:t>
      </w:r>
      <w:bookmarkEnd w:id="0"/>
      <w:r>
        <w:rPr/>
        <w:fldChar w:fldCharType="end" w:fldLock="0"/>
      </w:r>
      <w:r>
        <w:rPr>
          <w:rtl w:val="0"/>
          <w:lang w:val="nl-NL"/>
        </w:rPr>
        <w:t xml:space="preserve"> Rome in Egypt</w:t>
      </w:r>
      <w:r>
        <w:rPr>
          <w:rtl w:val="1"/>
        </w:rPr>
        <w:t>’</w:t>
      </w:r>
      <w:r>
        <w:rPr>
          <w:rtl w:val="0"/>
        </w:rPr>
        <w:t>s Eastern Desert. Vol. 2. New York.</w:t>
      </w:r>
    </w:p>
    <w:p>
      <w:pPr>
        <w:pStyle w:val="Body"/>
        <w:rPr>
          <w:rFonts w:ascii="IFAO-Grec Unicode" w:cs="IFAO-Grec Unicode" w:hAnsi="IFAO-Grec Unicode" w:eastAsia="IFAO-Grec Unicode"/>
          <w:b w:val="1"/>
          <w:bCs w:val="1"/>
        </w:rPr>
      </w:pPr>
      <w:r>
        <w:rPr>
          <w:rStyle w:val="Hyperlink.0"/>
        </w:rPr>
        <w:fldChar w:fldCharType="begin" w:fldLock="0"/>
      </w:r>
      <w:r>
        <w:rPr>
          <w:rStyle w:val="Hyperlink.0"/>
        </w:rPr>
        <w:instrText xml:space="preserve"> HYPERLINK "https://papyri.info/biblio/96764"</w:instrText>
      </w:r>
      <w:r>
        <w:rPr>
          <w:rStyle w:val="Hyperlink.0"/>
        </w:rPr>
        <w:fldChar w:fldCharType="separate" w:fldLock="0"/>
      </w:r>
      <w:r>
        <w:rPr>
          <w:rStyle w:val="Hyperlink.0"/>
          <w:rtl w:val="0"/>
        </w:rPr>
        <w:t>Cuvigny, H. (ed.) (2022)</w:t>
      </w:r>
      <w:r>
        <w:rPr/>
        <w:fldChar w:fldCharType="end" w:fldLock="0"/>
      </w:r>
      <w:r>
        <w:rPr>
          <w:rtl w:val="0"/>
          <w:lang w:val="en-US"/>
        </w:rPr>
        <w:t xml:space="preserve"> Blemmyes. New Documents and New Perspectives, including O.Blem. 1</w:t>
      </w:r>
      <w:r>
        <w:rPr>
          <w:rtl w:val="0"/>
        </w:rPr>
        <w:t>–</w:t>
      </w:r>
      <w:r>
        <w:rPr>
          <w:rtl w:val="0"/>
          <w:lang w:val="pt-PT"/>
        </w:rPr>
        <w:t>107. Cairo.</w:t>
      </w:r>
    </w:p>
    <w:p>
      <w:pPr>
        <w:pStyle w:val="Body"/>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"https://papyri.info/biblio/96765"</w:instrText>
      </w:r>
      <w:r>
        <w:rPr>
          <w:rStyle w:val="Hyperlink.1"/>
        </w:rPr>
        <w:fldChar w:fldCharType="separate" w:fldLock="0"/>
      </w:r>
      <w:r>
        <w:rPr>
          <w:rStyle w:val="Hyperlink.1"/>
          <w:rtl w:val="0"/>
        </w:rPr>
        <w:t>Cuvigny, H. and Lach-Urgacz, K. (2020)</w:t>
      </w:r>
      <w:r>
        <w:rPr/>
        <w:fldChar w:fldCharType="end" w:fldLock="0"/>
      </w:r>
      <w:r>
        <w:rPr>
          <w:rFonts w:ascii="IFAO-Grec Unicode" w:hAnsi="IFAO-Grec Unicode" w:hint="default"/>
          <w:rtl w:val="0"/>
          <w:lang w:val="en-US"/>
        </w:rPr>
        <w:t xml:space="preserve"> “Ὀρεινὸν</w:t>
      </w:r>
      <w:r>
        <w:rPr>
          <w:rFonts w:ascii="IFAO-Grec Unicode" w:hAnsi="IFAO-Grec Unicode"/>
          <w:rtl w:val="0"/>
        </w:rPr>
        <w:t xml:space="preserve"> </w:t>
      </w:r>
      <w:r>
        <w:rPr>
          <w:rFonts w:ascii="IFAO-Grec Unicode" w:hAnsi="IFAO-Grec Unicode" w:hint="default"/>
          <w:rtl w:val="0"/>
          <w:lang w:val="en-US"/>
        </w:rPr>
        <w:t>κέρμα</w:t>
      </w:r>
      <w:r>
        <w:rPr>
          <w:rFonts w:ascii="IFAO-Grec Unicode" w:hAnsi="IFAO-Grec Unicode"/>
          <w:rtl w:val="0"/>
          <w:lang w:val="en-US"/>
        </w:rPr>
        <w:t>. Monetary Circulation in the praesidia of the Eastern Desert During the Principate,</w:t>
      </w:r>
      <w:r>
        <w:rPr>
          <w:rFonts w:ascii="IFAO-Grec Unicode" w:hAnsi="IFAO-Grec Unicode" w:hint="default"/>
          <w:rtl w:val="0"/>
          <w:lang w:val="en-US"/>
        </w:rPr>
        <w:t xml:space="preserve">” </w:t>
      </w:r>
      <w:r>
        <w:rPr>
          <w:rFonts w:ascii="IFAO-Grec Unicode" w:hAnsi="IFAO-Grec Unicode"/>
          <w:rtl w:val="0"/>
          <w:lang w:val="en-US"/>
        </w:rPr>
        <w:t>in T. Faucher (ed.), Money Rules! The Monetary Economy of Egypt, from the Persians until the Beginning of Islam. Cairo: 309</w:t>
      </w:r>
      <w:r>
        <w:rPr>
          <w:rFonts w:ascii="IFAO-Grec Unicode" w:hAnsi="IFAO-Grec Unicode" w:hint="default"/>
          <w:rtl w:val="0"/>
          <w:lang w:val="en-US"/>
        </w:rPr>
        <w:t>–</w:t>
      </w:r>
      <w:r>
        <w:rPr>
          <w:rFonts w:ascii="IFAO-Grec Unicode" w:hAnsi="IFAO-Grec Unicode"/>
          <w:rtl w:val="0"/>
        </w:rPr>
        <w:t>339.</w:t>
      </w:r>
    </w:p>
    <w:p>
      <w:pPr>
        <w:pStyle w:val="Body"/>
      </w:pPr>
      <w:r>
        <w:rPr>
          <w:shd w:val="clear" w:color="auto" w:fill="ffff00"/>
          <w:rtl w:val="0"/>
          <w:lang w:val="nl-NL"/>
        </w:rPr>
        <w:t>Desanges, J. (1978)</w:t>
      </w:r>
      <w:r>
        <w:rPr>
          <w:rtl w:val="0"/>
          <w:lang w:val="fr-FR"/>
        </w:rPr>
        <w:t xml:space="preserve"> Recherches sur l'activit</w:t>
      </w:r>
      <w:r>
        <w:rPr>
          <w:rtl w:val="0"/>
          <w:lang w:val="fr-FR"/>
        </w:rPr>
        <w:t xml:space="preserve">é </w:t>
      </w:r>
      <w:r>
        <w:rPr>
          <w:rtl w:val="0"/>
          <w:lang w:val="fr-FR"/>
        </w:rPr>
        <w:t>des m</w:t>
      </w:r>
      <w:r>
        <w:rPr>
          <w:rtl w:val="0"/>
          <w:lang w:val="fr-FR"/>
        </w:rPr>
        <w:t>é</w:t>
      </w:r>
      <w:r>
        <w:rPr>
          <w:rtl w:val="0"/>
          <w:lang w:val="it-IT"/>
        </w:rPr>
        <w:t>diterran</w:t>
      </w:r>
      <w:r>
        <w:rPr>
          <w:rtl w:val="0"/>
          <w:lang w:val="fr-FR"/>
        </w:rPr>
        <w:t>é</w:t>
      </w:r>
      <w:r>
        <w:rPr>
          <w:rtl w:val="0"/>
          <w:lang w:val="fr-FR"/>
        </w:rPr>
        <w:t>ens aux confins de l'Afrique (VIe si</w:t>
      </w:r>
      <w:r>
        <w:rPr>
          <w:rtl w:val="0"/>
          <w:lang w:val="it-IT"/>
        </w:rPr>
        <w:t>è</w:t>
      </w:r>
      <w:r>
        <w:rPr>
          <w:rtl w:val="0"/>
        </w:rPr>
        <w:t>cle av. J.-C.-IVe si</w:t>
      </w:r>
      <w:r>
        <w:rPr>
          <w:rtl w:val="0"/>
          <w:lang w:val="it-IT"/>
        </w:rPr>
        <w:t>è</w:t>
      </w:r>
      <w:r>
        <w:rPr>
          <w:rtl w:val="0"/>
          <w:lang w:val="it-IT"/>
        </w:rPr>
        <w:t>cle ap. J.-C.). Rome.</w:t>
      </w:r>
    </w:p>
    <w:p>
      <w:pPr>
        <w:pStyle w:val="Body"/>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"https://papyri.info/biblio/96770"</w:instrText>
      </w:r>
      <w:r>
        <w:rPr>
          <w:rStyle w:val="Hyperlink.1"/>
        </w:rPr>
        <w:fldChar w:fldCharType="separate" w:fldLock="0"/>
      </w:r>
      <w:r>
        <w:rPr>
          <w:rStyle w:val="Hyperlink.1"/>
          <w:rtl w:val="0"/>
        </w:rPr>
        <w:t>Earl, G. et al. (2011)</w:t>
      </w:r>
      <w:r>
        <w:rPr/>
        <w:fldChar w:fldCharType="end" w:fldLock="0"/>
      </w:r>
      <w:r>
        <w:rPr>
          <w:rFonts w:ascii="IFAO-Grec Unicode" w:hAnsi="IFAO-Grec Unicode" w:hint="default"/>
          <w:rtl w:val="0"/>
          <w:lang w:val="en-US"/>
        </w:rPr>
        <w:t xml:space="preserve"> “</w:t>
      </w:r>
      <w:r>
        <w:rPr>
          <w:rFonts w:ascii="IFAO-Grec Unicode" w:hAnsi="IFAO-Grec Unicode"/>
          <w:rtl w:val="0"/>
          <w:lang w:val="en-US"/>
        </w:rPr>
        <w:t>Reflectance Transformation Imaging Systems</w:t>
      </w:r>
    </w:p>
    <w:p>
      <w:pPr>
        <w:pStyle w:val="Body"/>
        <w:rPr>
          <w:rFonts w:ascii="IFAO-Grec Unicode" w:cs="IFAO-Grec Unicode" w:hAnsi="IFAO-Grec Unicode" w:eastAsia="IFAO-Grec Unicode"/>
        </w:rPr>
      </w:pPr>
      <w:r>
        <w:rPr>
          <w:rFonts w:ascii="IFAO-Grec Unicode" w:hAnsi="IFAO-Grec Unicode"/>
          <w:rtl w:val="0"/>
          <w:lang w:val="en-US"/>
        </w:rPr>
        <w:t>for Ancient Documentary Artefacts,</w:t>
      </w:r>
      <w:r>
        <w:rPr>
          <w:rFonts w:ascii="IFAO-Grec Unicode" w:hAnsi="IFAO-Grec Unicode" w:hint="default"/>
          <w:rtl w:val="0"/>
          <w:lang w:val="en-US"/>
        </w:rPr>
        <w:t>”</w:t>
      </w:r>
      <w:r>
        <w:rPr>
          <w:rFonts w:ascii="IFAO-Grec Unicode" w:hAnsi="IFAO-Grec Unicode"/>
          <w:rtl w:val="0"/>
        </w:rPr>
        <w:t xml:space="preserve"> </w:t>
      </w:r>
      <w:r>
        <w:rPr>
          <w:rtl w:val="0"/>
          <w:lang w:val="en-US"/>
        </w:rPr>
        <w:t>Electronic Workshops in Computing. London: 147-154.</w:t>
      </w:r>
    </w:p>
    <w:p>
      <w:pPr>
        <w:pStyle w:val="Body"/>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"https://papyri.info/biblio/96766"</w:instrText>
      </w:r>
      <w:r>
        <w:rPr>
          <w:rStyle w:val="Hyperlink.1"/>
        </w:rPr>
        <w:fldChar w:fldCharType="separate" w:fldLock="0"/>
      </w:r>
      <w:r>
        <w:rPr>
          <w:rStyle w:val="Hyperlink.1"/>
          <w:rtl w:val="0"/>
        </w:rPr>
        <w:t>Kerler, G. (1970)</w:t>
      </w:r>
      <w:r>
        <w:rPr/>
        <w:fldChar w:fldCharType="end" w:fldLock="0"/>
      </w:r>
      <w:r>
        <w:rPr>
          <w:rFonts w:ascii="IFAO-Grec Unicode" w:hAnsi="IFAO-Grec Unicode"/>
          <w:rtl w:val="0"/>
          <w:lang w:val="de-DE"/>
        </w:rPr>
        <w:t xml:space="preserve"> Die Aussenpolitik in der</w:t>
      </w:r>
      <w:r>
        <w:rPr>
          <w:rFonts w:ascii="IFAO-Grec Unicode" w:hAnsi="IFAO-Grec Unicode"/>
          <w:rtl w:val="0"/>
        </w:rPr>
        <w:t xml:space="preserve"> </w:t>
      </w:r>
      <w:r>
        <w:rPr>
          <w:rFonts w:ascii="IFAO-Grec Unicode" w:hAnsi="IFAO-Grec Unicode"/>
          <w:rtl w:val="0"/>
          <w:lang w:val="it-IT"/>
        </w:rPr>
        <w:t xml:space="preserve">Historia Augusta. Bonn. </w:t>
      </w:r>
    </w:p>
    <w:p>
      <w:pPr>
        <w:pStyle w:val="Body"/>
        <w:rPr>
          <w:outline w:val="0"/>
          <w:color w:val="000000"/>
          <w:sz w:val="18"/>
          <w:szCs w:val="18"/>
          <w:u w:color="000000"/>
          <w14:textFill>
            <w14:solidFill>
              <w14:srgbClr w14:val="000000"/>
            </w14:solidFill>
          </w14:textFill>
        </w:rPr>
      </w:pPr>
      <w:r>
        <w:rPr>
          <w:rStyle w:val="Hyperlink.0"/>
        </w:rPr>
        <w:fldChar w:fldCharType="begin" w:fldLock="0"/>
      </w:r>
      <w:r>
        <w:rPr>
          <w:rStyle w:val="Hyperlink.0"/>
        </w:rPr>
        <w:instrText xml:space="preserve"> HYPERLINK "https://papyri.info/biblio/79186"</w:instrText>
      </w:r>
      <w:r>
        <w:rPr>
          <w:rStyle w:val="Hyperlink.0"/>
        </w:rPr>
        <w:fldChar w:fldCharType="separate" w:fldLock="0"/>
      </w:r>
      <w:r>
        <w:rPr>
          <w:rStyle w:val="Hyperlink.0"/>
          <w:rtl w:val="0"/>
          <w:lang w:val="it-IT"/>
        </w:rPr>
        <w:t>Nappo, D. (2007)</w:t>
      </w:r>
      <w:r>
        <w:rPr/>
        <w:fldChar w:fldCharType="end" w:fldLock="0"/>
      </w:r>
      <w:r>
        <w:rPr>
          <w:rtl w:val="0"/>
        </w:rPr>
        <w:t xml:space="preserve"> </w:t>
      </w:r>
      <w:r>
        <w:rPr>
          <w:outline w:val="0"/>
          <w:color w:val="000000"/>
          <w:spacing w:val="-5"/>
          <w:u w:color="000000"/>
          <w:rtl w:val="1"/>
          <w:lang w:val="ar-SA" w:bidi="ar-SA"/>
          <w14:textFill>
            <w14:solidFill>
              <w14:srgbClr w14:val="000000"/>
            </w14:solidFill>
          </w14:textFill>
        </w:rPr>
        <w:t>“</w:t>
      </w:r>
      <w:r>
        <w:rPr>
          <w:outline w:val="0"/>
          <w:color w:val="000000"/>
          <w:spacing w:val="-5"/>
          <w:u w:color="000000"/>
          <w:rtl w:val="0"/>
          <w:lang w:val="en-US"/>
          <w14:textFill>
            <w14:solidFill>
              <w14:srgbClr w14:val="000000"/>
            </w14:solidFill>
          </w14:textFill>
        </w:rPr>
        <w:t>The Impact of the Third Century Crisis on the International Trade with the East,</w:t>
      </w:r>
      <w:r>
        <w:rPr>
          <w:outline w:val="0"/>
          <w:color w:val="000000"/>
          <w:spacing w:val="-5"/>
          <w:u w:color="000000"/>
          <w:rtl w:val="0"/>
          <w14:textFill>
            <w14:solidFill>
              <w14:srgbClr w14:val="000000"/>
            </w14:solidFill>
          </w14:textFill>
        </w:rPr>
        <w:t xml:space="preserve">”  </w:t>
      </w:r>
      <w:r>
        <w:rPr>
          <w:outline w:val="0"/>
          <w:color w:val="000000"/>
          <w:spacing w:val="-5"/>
          <w:u w:color="000000"/>
          <w:rtl w:val="0"/>
          <w:lang w:val="en-US"/>
          <w14:textFill>
            <w14:solidFill>
              <w14:srgbClr w14:val="000000"/>
            </w14:solidFill>
          </w14:textFill>
        </w:rPr>
        <w:t>in Olivier Hekster et al. (eds), Crises and the Roman Empire: Proceedings of the Seventh Workshop of the International Network Impact of Empire (Nijmegen, June 20-24, 2006). Brill: 233</w:t>
      </w:r>
      <w:r>
        <w:rPr>
          <w:outline w:val="0"/>
          <w:color w:val="000000"/>
          <w:spacing w:val="-5"/>
          <w:u w:color="000000"/>
          <w:rtl w:val="0"/>
          <w14:textFill>
            <w14:solidFill>
              <w14:srgbClr w14:val="000000"/>
            </w14:solidFill>
          </w14:textFill>
        </w:rPr>
        <w:t>–</w:t>
      </w:r>
      <w:r>
        <w:rPr>
          <w:outline w:val="0"/>
          <w:color w:val="000000"/>
          <w:spacing w:val="-5"/>
          <w:u w:color="000000"/>
          <w:rtl w:val="0"/>
          <w14:textFill>
            <w14:solidFill>
              <w14:srgbClr w14:val="000000"/>
            </w14:solidFill>
          </w14:textFill>
        </w:rPr>
        <w:t xml:space="preserve">244. </w:t>
      </w:r>
    </w:p>
    <w:p>
      <w:pPr>
        <w:pStyle w:val="Body"/>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"https://papyri.info/biblio/88598"</w:instrText>
      </w:r>
      <w:r>
        <w:rPr>
          <w:rStyle w:val="Hyperlink.1"/>
        </w:rPr>
        <w:fldChar w:fldCharType="separate" w:fldLock="0"/>
      </w:r>
      <w:r>
        <w:rPr>
          <w:rStyle w:val="Hyperlink.1"/>
          <w:rtl w:val="0"/>
        </w:rPr>
        <w:t>Pollard, N. (2013)</w:t>
      </w:r>
      <w:r>
        <w:rPr/>
        <w:fldChar w:fldCharType="end" w:fldLock="0"/>
      </w:r>
      <w:r>
        <w:rPr>
          <w:rFonts w:ascii="IFAO-Grec Unicode" w:hAnsi="IFAO-Grec Unicode" w:hint="default"/>
          <w:rtl w:val="0"/>
          <w:lang w:val="en-US"/>
        </w:rPr>
        <w:t xml:space="preserve"> “</w:t>
      </w:r>
      <w:r>
        <w:rPr>
          <w:rFonts w:ascii="IFAO-Grec Unicode" w:hAnsi="IFAO-Grec Unicode"/>
          <w:rtl w:val="0"/>
          <w:lang w:val="en-US"/>
        </w:rPr>
        <w:t>Imperatores castra dedicaverunt: Security, Army Bases, and Military Dispositions in Later Roman Egypt (Late Third-Fourth Century),</w:t>
      </w:r>
      <w:r>
        <w:rPr>
          <w:rFonts w:ascii="IFAO-Grec Unicode" w:hAnsi="IFAO-Grec Unicode" w:hint="default"/>
          <w:rtl w:val="0"/>
          <w:lang w:val="en-US"/>
        </w:rPr>
        <w:t>”</w:t>
      </w:r>
      <w:r>
        <w:rPr>
          <w:rFonts w:ascii="IFAO-Grec Unicode" w:hAnsi="IFAO-Grec Unicode"/>
          <w:rtl w:val="0"/>
          <w:lang w:val="en-US"/>
        </w:rPr>
        <w:t xml:space="preserve"> Journal of Late Antiquity 6: 3</w:t>
      </w:r>
      <w:r>
        <w:rPr>
          <w:rFonts w:ascii="IFAO-Grec Unicode" w:hAnsi="IFAO-Grec Unicode" w:hint="default"/>
          <w:rtl w:val="0"/>
          <w:lang w:val="en-US"/>
        </w:rPr>
        <w:t>–</w:t>
      </w:r>
      <w:r>
        <w:rPr>
          <w:rFonts w:ascii="IFAO-Grec Unicode" w:hAnsi="IFAO-Grec Unicode"/>
          <w:rtl w:val="0"/>
        </w:rPr>
        <w:t>36.</w:t>
      </w:r>
    </w:p>
    <w:p>
      <w:pPr>
        <w:pStyle w:val="Body"/>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"https://papyri.info/biblio/71386"</w:instrText>
      </w:r>
      <w:r>
        <w:rPr>
          <w:rStyle w:val="Hyperlink.1"/>
        </w:rPr>
        <w:fldChar w:fldCharType="separate" w:fldLock="0"/>
      </w:r>
      <w:r>
        <w:rPr>
          <w:rStyle w:val="Hyperlink.1"/>
          <w:rtl w:val="0"/>
        </w:rPr>
        <w:t>Rathbone, D. (2002)</w:t>
      </w:r>
      <w:r>
        <w:rPr/>
        <w:fldChar w:fldCharType="end" w:fldLock="0"/>
      </w:r>
      <w:r>
        <w:rPr>
          <w:rFonts w:ascii="IFAO-Grec Unicode" w:hAnsi="IFAO-Grec Unicode" w:hint="default"/>
          <w:rtl w:val="0"/>
          <w:lang w:val="en-US"/>
        </w:rPr>
        <w:t xml:space="preserve"> “</w:t>
      </w:r>
      <w:r>
        <w:rPr>
          <w:rFonts w:ascii="IFAO-Grec Unicode" w:hAnsi="IFAO-Grec Unicode"/>
          <w:rtl w:val="0"/>
          <w:lang w:val="en-US"/>
        </w:rPr>
        <w:t xml:space="preserve">Koptos the </w:t>
      </w:r>
      <w:r>
        <w:rPr>
          <w:rFonts w:ascii="IFAO-Grec Unicode" w:hAnsi="IFAO-Grec Unicode"/>
          <w:rtl w:val="0"/>
          <w:lang w:val="it-IT"/>
        </w:rPr>
        <w:t>Emporion</w:t>
      </w:r>
      <w:r>
        <w:rPr>
          <w:rFonts w:ascii="IFAO-Grec Unicode" w:hAnsi="IFAO-Grec Unicode"/>
          <w:rtl w:val="0"/>
          <w:lang w:val="en-US"/>
        </w:rPr>
        <w:t>. Economy and Society, I-III AD,</w:t>
      </w:r>
      <w:r>
        <w:rPr>
          <w:rFonts w:ascii="IFAO-Grec Unicode" w:hAnsi="IFAO-Grec Unicode" w:hint="default"/>
          <w:rtl w:val="0"/>
          <w:lang w:val="en-US"/>
        </w:rPr>
        <w:t xml:space="preserve">” </w:t>
      </w:r>
      <w:r>
        <w:rPr>
          <w:rFonts w:ascii="IFAO-Grec Unicode" w:hAnsi="IFAO-Grec Unicode"/>
          <w:rtl w:val="0"/>
          <w:lang w:val="fr-FR"/>
        </w:rPr>
        <w:t>Topoi. Orient-Occident</w:t>
      </w:r>
      <w:r>
        <w:rPr>
          <w:rFonts w:ascii="IFAO-Grec Unicode" w:hAnsi="IFAO-Grec Unicode"/>
          <w:rtl w:val="0"/>
        </w:rPr>
        <w:t>.</w:t>
      </w:r>
      <w:r>
        <w:rPr>
          <w:rFonts w:ascii="IFAO-Grec Unicode" w:hAnsi="IFAO-Grec Unicode"/>
          <w:rtl w:val="0"/>
          <w:lang w:val="en-US"/>
        </w:rPr>
        <w:t xml:space="preserve"> Suppl</w:t>
      </w:r>
      <w:r>
        <w:rPr>
          <w:rFonts w:ascii="IFAO-Grec Unicode" w:hAnsi="IFAO-Grec Unicode" w:hint="default"/>
          <w:rtl w:val="0"/>
          <w:lang w:val="en-US"/>
        </w:rPr>
        <w:t>é</w:t>
      </w:r>
      <w:r>
        <w:rPr>
          <w:rFonts w:ascii="IFAO-Grec Unicode" w:hAnsi="IFAO-Grec Unicode"/>
          <w:rtl w:val="0"/>
        </w:rPr>
        <w:t>ment 3. Lyon.</w:t>
      </w:r>
    </w:p>
    <w:p>
      <w:pPr>
        <w:pStyle w:val="Body"/>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"https://papyri.info/biblio/71692"</w:instrText>
      </w:r>
      <w:r>
        <w:rPr>
          <w:rStyle w:val="Hyperlink.1"/>
        </w:rPr>
        <w:fldChar w:fldCharType="separate" w:fldLock="0"/>
      </w:r>
      <w:r>
        <w:rPr>
          <w:rStyle w:val="Hyperlink.1"/>
          <w:rtl w:val="0"/>
        </w:rPr>
        <w:t>Sidebotham, S.E. (2002)</w:t>
      </w:r>
      <w:r>
        <w:rPr/>
        <w:fldChar w:fldCharType="end" w:fldLock="0"/>
      </w:r>
      <w:r>
        <w:rPr>
          <w:rFonts w:ascii="IFAO-Grec Unicode" w:hAnsi="IFAO-Grec Unicode" w:hint="default"/>
          <w:rtl w:val="0"/>
          <w:lang w:val="en-US"/>
        </w:rPr>
        <w:t xml:space="preserve"> “</w:t>
      </w:r>
      <w:r>
        <w:rPr>
          <w:rtl w:val="0"/>
        </w:rPr>
        <w:t>Late Roman Berenike,</w:t>
      </w:r>
      <w:r>
        <w:rPr>
          <w:rtl w:val="0"/>
        </w:rPr>
        <w:t xml:space="preserve">” </w:t>
      </w:r>
      <w:r>
        <w:rPr>
          <w:rtl w:val="0"/>
        </w:rPr>
        <w:t>JARCE 39: 217</w:t>
      </w:r>
      <w:r>
        <w:rPr>
          <w:rtl w:val="0"/>
        </w:rPr>
        <w:t>–</w:t>
      </w:r>
      <w:r>
        <w:rPr>
          <w:rtl w:val="0"/>
        </w:rPr>
        <w:t>240.</w:t>
      </w:r>
    </w:p>
    <w:p>
      <w:pPr>
        <w:pStyle w:val="Body"/>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"https://papyri.info/biblio/79310"</w:instrText>
      </w:r>
      <w:r>
        <w:rPr>
          <w:rStyle w:val="Hyperlink.1"/>
        </w:rPr>
        <w:fldChar w:fldCharType="separate" w:fldLock="0"/>
      </w:r>
      <w:r>
        <w:rPr>
          <w:rStyle w:val="Hyperlink.1"/>
          <w:rtl w:val="0"/>
        </w:rPr>
        <w:t>Sidebotham, S.E. (2011)</w:t>
      </w:r>
      <w:r>
        <w:rPr/>
        <w:fldChar w:fldCharType="end" w:fldLock="0"/>
      </w:r>
      <w:r>
        <w:rPr>
          <w:rFonts w:ascii="IFAO-Grec Unicode" w:hAnsi="IFAO-Grec Unicode"/>
          <w:rtl w:val="0"/>
          <w:lang w:val="en-US"/>
        </w:rPr>
        <w:t xml:space="preserve"> Berenike and the Ancient Maritime Spice Route. Berkeley, Los Angeles, London.</w:t>
      </w:r>
    </w:p>
    <w:p>
      <w:pPr>
        <w:pStyle w:val="Body"/>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"https://papyri.info/biblio/95967"</w:instrText>
      </w:r>
      <w:r>
        <w:rPr>
          <w:rStyle w:val="Hyperlink.1"/>
        </w:rPr>
        <w:fldChar w:fldCharType="separate" w:fldLock="0"/>
      </w:r>
      <w:r>
        <w:rPr>
          <w:rStyle w:val="Hyperlink.1"/>
          <w:rtl w:val="0"/>
        </w:rPr>
        <w:t>Sidebotham, S.E. et al. (2019)</w:t>
      </w:r>
      <w:r>
        <w:rPr/>
        <w:fldChar w:fldCharType="end" w:fldLock="0"/>
      </w:r>
      <w:r>
        <w:rPr>
          <w:rtl w:val="1"/>
          <w:lang w:val="ar-SA" w:bidi="ar-SA"/>
        </w:rPr>
        <w:t xml:space="preserve"> “</w:t>
      </w:r>
      <w:r>
        <w:rPr>
          <w:rtl w:val="0"/>
          <w:lang w:val="en-US"/>
        </w:rPr>
        <w:t>Results of the Winter 2018 Excavation Season at Berenike (Red Sea Coast), Egypt. The Belzoni Bicentennial Report,</w:t>
      </w:r>
      <w:r>
        <w:rPr>
          <w:rtl w:val="0"/>
        </w:rPr>
        <w:t xml:space="preserve">” </w:t>
      </w:r>
      <w:r>
        <w:rPr>
          <w:rtl w:val="0"/>
        </w:rPr>
        <w:t>Thetis</w:t>
      </w:r>
      <w:r>
        <w:rPr>
          <w:rtl w:val="0"/>
        </w:rPr>
        <w:t xml:space="preserve"> 24: 7-19.</w:t>
      </w:r>
    </w:p>
    <w:p>
      <w:pPr>
        <w:pStyle w:val="Body"/>
      </w:pPr>
      <w:r>
        <w:rPr>
          <w:rStyle w:val="Hyperlink.0"/>
        </w:rPr>
        <w:fldChar w:fldCharType="begin" w:fldLock="0"/>
      </w:r>
      <w:r>
        <w:rPr>
          <w:rStyle w:val="Hyperlink.0"/>
        </w:rPr>
        <w:instrText xml:space="preserve"> HYPERLINK "https://papyri.info/biblio/95968"</w:instrText>
      </w:r>
      <w:r>
        <w:rPr>
          <w:rStyle w:val="Hyperlink.0"/>
        </w:rPr>
        <w:fldChar w:fldCharType="separate" w:fldLock="0"/>
      </w:r>
      <w:r>
        <w:rPr>
          <w:rStyle w:val="Hyperlink.0"/>
          <w:rtl w:val="0"/>
        </w:rPr>
        <w:t>Sidebotham, S.E. (2020)</w:t>
      </w:r>
      <w:r>
        <w:rPr/>
        <w:fldChar w:fldCharType="end" w:fldLock="0"/>
      </w:r>
      <w:r>
        <w:rPr>
          <w:rtl w:val="1"/>
          <w:lang w:val="ar-SA" w:bidi="ar-SA"/>
        </w:rPr>
        <w:t xml:space="preserve"> “</w:t>
      </w:r>
      <w:r>
        <w:rPr>
          <w:rtl w:val="0"/>
          <w:lang w:val="en-US"/>
        </w:rPr>
        <w:t>Berenike 2019: Report on the Excavations,</w:t>
      </w:r>
      <w:r>
        <w:rPr>
          <w:rtl w:val="0"/>
        </w:rPr>
        <w:t xml:space="preserve">” </w:t>
      </w:r>
      <w:r>
        <w:rPr>
          <w:rtl w:val="0"/>
        </w:rPr>
        <w:t>Thetis</w:t>
      </w:r>
      <w:r>
        <w:rPr>
          <w:rtl w:val="0"/>
        </w:rPr>
        <w:t xml:space="preserve"> 25: 11-22.</w:t>
      </w:r>
    </w:p>
    <w:p>
      <w:pPr>
        <w:pStyle w:val="Body"/>
      </w:pPr>
      <w:r>
        <w:rPr>
          <w:rStyle w:val="Hyperlink.0"/>
        </w:rPr>
        <w:fldChar w:fldCharType="begin" w:fldLock="0"/>
      </w:r>
      <w:r>
        <w:rPr>
          <w:rStyle w:val="Hyperlink.0"/>
        </w:rPr>
        <w:instrText xml:space="preserve"> HYPERLINK "https://papyri.info/biblio/95969"</w:instrText>
      </w:r>
      <w:r>
        <w:rPr>
          <w:rStyle w:val="Hyperlink.0"/>
        </w:rPr>
        <w:fldChar w:fldCharType="separate" w:fldLock="0"/>
      </w:r>
      <w:r>
        <w:rPr>
          <w:rStyle w:val="Hyperlink.0"/>
          <w:rtl w:val="0"/>
        </w:rPr>
        <w:t>Sidebotham, S.E. et al. (2022)</w:t>
      </w:r>
      <w:r>
        <w:rPr/>
        <w:fldChar w:fldCharType="end" w:fldLock="0"/>
      </w:r>
      <w:r>
        <w:rPr>
          <w:rtl w:val="1"/>
          <w:lang w:val="ar-SA" w:bidi="ar-SA"/>
        </w:rPr>
        <w:t xml:space="preserve"> “</w:t>
      </w:r>
      <w:r>
        <w:rPr>
          <w:rtl w:val="0"/>
          <w:lang w:val="en-US"/>
        </w:rPr>
        <w:t>Results of the Winter 2020 Excavation Season at Berenike (Red Sea coast, Egypt),</w:t>
      </w:r>
      <w:r>
        <w:rPr>
          <w:rtl w:val="0"/>
        </w:rPr>
        <w:t xml:space="preserve">” </w:t>
      </w:r>
      <w:r>
        <w:rPr>
          <w:rtl w:val="0"/>
          <w:lang w:val="de-DE"/>
        </w:rPr>
        <w:t>Thetis 26: 13</w:t>
      </w:r>
      <w:r>
        <w:rPr>
          <w:rtl w:val="0"/>
        </w:rPr>
        <w:t>–</w:t>
      </w:r>
      <w:r>
        <w:rPr>
          <w:rtl w:val="0"/>
        </w:rPr>
        <w:t>23.</w:t>
      </w:r>
    </w:p>
    <w:p>
      <w:pPr>
        <w:pStyle w:val="Body"/>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"https://papyri.info/biblio/96767"</w:instrText>
      </w:r>
      <w:r>
        <w:rPr>
          <w:rStyle w:val="Hyperlink.1"/>
        </w:rPr>
        <w:fldChar w:fldCharType="separate" w:fldLock="0"/>
      </w:r>
      <w:r>
        <w:rPr>
          <w:rStyle w:val="Hyperlink.1"/>
          <w:rtl w:val="0"/>
        </w:rPr>
        <w:t>Sidebotham, S.E. et al. (2023)</w:t>
      </w:r>
      <w:r>
        <w:rPr/>
        <w:fldChar w:fldCharType="end" w:fldLock="0"/>
      </w:r>
      <w:r>
        <w:rPr>
          <w:rFonts w:ascii="IFAO-Grec Unicode" w:hAnsi="IFAO-Grec Unicode" w:hint="default"/>
          <w:rtl w:val="0"/>
          <w:lang w:val="en-US"/>
        </w:rPr>
        <w:t xml:space="preserve"> “</w:t>
      </w:r>
      <w:r>
        <w:rPr>
          <w:rFonts w:ascii="IFAO-Grec Unicode" w:hAnsi="IFAO-Grec Unicode"/>
          <w:rtl w:val="0"/>
          <w:lang w:val="en-US"/>
        </w:rPr>
        <w:t>Results of the Winter 2022 Excavation Season at Berenike (Red Sea Coast), Egypt,</w:t>
      </w:r>
      <w:r>
        <w:rPr>
          <w:rFonts w:ascii="IFAO-Grec Unicode" w:hAnsi="IFAO-Grec Unicode" w:hint="default"/>
          <w:rtl w:val="0"/>
          <w:lang w:val="en-US"/>
        </w:rPr>
        <w:t xml:space="preserve">” </w:t>
      </w:r>
      <w:r>
        <w:rPr>
          <w:rFonts w:ascii="IFAO-Grec Unicode" w:hAnsi="IFAO-Grec Unicode"/>
          <w:rtl w:val="0"/>
          <w:lang w:val="en-US"/>
        </w:rPr>
        <w:t>Thetis</w:t>
      </w:r>
      <w:r>
        <w:rPr>
          <w:rFonts w:ascii="IFAO-Grec Unicode" w:hAnsi="IFAO-Grec Unicode"/>
          <w:rtl w:val="0"/>
        </w:rPr>
        <w:t xml:space="preserve"> </w:t>
      </w:r>
      <w:r>
        <w:rPr>
          <w:rFonts w:ascii="IFAO-Grec Unicode" w:hAnsi="IFAO-Grec Unicode"/>
          <w:rtl w:val="0"/>
        </w:rPr>
        <w:t>27: 13</w:t>
      </w:r>
      <w:r>
        <w:rPr>
          <w:rFonts w:ascii="IFAO-Grec Unicode" w:hAnsi="IFAO-Grec Unicode" w:hint="default"/>
          <w:rtl w:val="0"/>
          <w:lang w:val="en-US"/>
        </w:rPr>
        <w:t>–</w:t>
      </w:r>
      <w:r>
        <w:rPr>
          <w:rFonts w:ascii="IFAO-Grec Unicode" w:hAnsi="IFAO-Grec Unicode"/>
          <w:rtl w:val="0"/>
        </w:rPr>
        <w:t>28.</w:t>
      </w:r>
    </w:p>
    <w:p>
      <w:pPr>
        <w:pStyle w:val="Body"/>
      </w:pPr>
      <w:r>
        <w:rPr>
          <w:rStyle w:val="Hyperlink.3"/>
        </w:rPr>
        <w:fldChar w:fldCharType="begin" w:fldLock="0"/>
      </w:r>
      <w:r>
        <w:rPr>
          <w:rStyle w:val="Hyperlink.3"/>
        </w:rPr>
        <w:instrText xml:space="preserve"> HYPERLINK "https://papyri.info/biblio/15828"</w:instrText>
      </w:r>
      <w:r>
        <w:rPr>
          <w:rStyle w:val="Hyperlink.3"/>
        </w:rPr>
        <w:fldChar w:fldCharType="separate" w:fldLock="0"/>
      </w:r>
      <w:r>
        <w:rPr>
          <w:rStyle w:val="Hyperlink.3"/>
          <w:rtl w:val="0"/>
          <w:lang w:val="fr-FR"/>
        </w:rPr>
        <w:t>Sidebotham, S.E. and Wendrich, W.Z. (1999)</w:t>
      </w:r>
      <w:r>
        <w:rPr/>
        <w:fldChar w:fldCharType="end" w:fldLock="0"/>
      </w:r>
      <w:r>
        <w:rPr>
          <w:rtl w:val="0"/>
          <w:lang w:val="fr-FR"/>
        </w:rPr>
        <w:t xml:space="preserve"> Berenike 1997. </w:t>
      </w:r>
      <w:r>
        <w:rPr>
          <w:rtl w:val="0"/>
          <w:lang w:val="en-US"/>
        </w:rPr>
        <w:t>Report of the 1997 Excavations at Berenike and the Survey of the Egyptian Eastern Desert, including Excavations at Shenshef. Leiden 1999).</w:t>
      </w:r>
    </w:p>
    <w:p>
      <w:pPr>
        <w:pStyle w:val="Body"/>
      </w:pPr>
      <w:r>
        <w:rPr>
          <w:rStyle w:val="Hyperlink.0"/>
        </w:rPr>
        <w:fldChar w:fldCharType="begin" w:fldLock="0"/>
      </w:r>
      <w:r>
        <w:rPr>
          <w:rStyle w:val="Hyperlink.0"/>
        </w:rPr>
        <w:instrText xml:space="preserve"> HYPERLINK "https://papyri.info/biblio/15536"</w:instrText>
      </w:r>
      <w:r>
        <w:rPr>
          <w:rStyle w:val="Hyperlink.0"/>
        </w:rPr>
        <w:fldChar w:fldCharType="separate" w:fldLock="0"/>
      </w:r>
      <w:r>
        <w:rPr>
          <w:rStyle w:val="Hyperlink.0"/>
          <w:rtl w:val="0"/>
        </w:rPr>
        <w:t>Sidebotham, S.E. and Wendrich, W.Z. (1998)</w:t>
      </w:r>
      <w:r>
        <w:rPr/>
        <w:fldChar w:fldCharType="end" w:fldLock="0"/>
      </w:r>
      <w:r>
        <w:rPr>
          <w:rtl w:val="0"/>
          <w:lang w:val="en-US"/>
        </w:rPr>
        <w:t xml:space="preserve"> Berenike 1996. Report of the 1996 Excavations at Berenike (Egyptian Red Sea Coast) and the Survey of the Eastern Desert. Leiden</w:t>
      </w:r>
      <w:r>
        <w:rPr>
          <w:rtl w:val="0"/>
          <w:lang w:val="de-DE"/>
        </w:rPr>
        <w:t>.</w:t>
      </w:r>
    </w:p>
    <w:p>
      <w:pPr>
        <w:pStyle w:val="Body"/>
      </w:pPr>
      <w:r>
        <w:rPr>
          <w:rStyle w:val="Hyperlink.0"/>
        </w:rPr>
        <w:fldChar w:fldCharType="begin" w:fldLock="0"/>
      </w:r>
      <w:r>
        <w:rPr>
          <w:rStyle w:val="Hyperlink.0"/>
        </w:rPr>
        <w:instrText xml:space="preserve"> HYPERLINK "https://papyri.info/biblio/51720"</w:instrText>
      </w:r>
      <w:r>
        <w:rPr>
          <w:rStyle w:val="Hyperlink.0"/>
        </w:rPr>
        <w:fldChar w:fldCharType="separate" w:fldLock="0"/>
      </w:r>
      <w:r>
        <w:rPr>
          <w:rStyle w:val="Hyperlink.0"/>
          <w:rtl w:val="0"/>
          <w:lang w:val="pt-PT"/>
        </w:rPr>
        <w:t>Thomas, J. D. (1976)</w:t>
      </w:r>
      <w:r>
        <w:rPr/>
        <w:fldChar w:fldCharType="end" w:fldLock="0"/>
      </w:r>
      <w:r>
        <w:rPr>
          <w:rtl w:val="1"/>
          <w:lang w:val="ar-SA" w:bidi="ar-SA"/>
        </w:rPr>
        <w:t xml:space="preserve"> “</w:t>
      </w:r>
      <w:r>
        <w:rPr>
          <w:rtl w:val="0"/>
          <w:lang w:val="en-US"/>
        </w:rPr>
        <w:t>The Date of the Revolt of L. Domitius Domitianus,</w:t>
      </w:r>
      <w:r>
        <w:rPr>
          <w:rtl w:val="0"/>
        </w:rPr>
        <w:t xml:space="preserve">” </w:t>
      </w:r>
      <w:r>
        <w:rPr>
          <w:rtl w:val="0"/>
        </w:rPr>
        <w:t>ZPE 22: 253</w:t>
      </w:r>
      <w:r>
        <w:rPr>
          <w:rtl w:val="0"/>
        </w:rPr>
        <w:t>–</w:t>
      </w:r>
      <w:r>
        <w:rPr>
          <w:rtl w:val="0"/>
        </w:rPr>
        <w:t>279.</w:t>
      </w: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IFAO-Grec Unico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vertAlign w:val="superscript"/>
        </w:rPr>
        <w:footnoteRef/>
      </w:r>
      <w:r>
        <w:rPr>
          <w:rFonts w:cs="Arial Unicode MS" w:eastAsia="Arial Unicode MS"/>
          <w:rtl w:val="0"/>
          <w:lang w:val="en-US"/>
        </w:rPr>
        <w:t xml:space="preserve"> This article is part of a larger publication project to document inscriptions from the port of Berenike, most of which have been found in the central Isis temple only in recent years. For information about the Isis Temple excavations, see Sidebotham et al. </w:t>
      </w:r>
      <w:r>
        <w:rPr>
          <w:rStyle w:val="Hyperlink.0"/>
        </w:rPr>
        <w:fldChar w:fldCharType="begin" w:fldLock="0"/>
      </w:r>
      <w:r>
        <w:rPr>
          <w:rStyle w:val="Hyperlink.0"/>
        </w:rPr>
        <w:instrText xml:space="preserve"> HYPERLINK "https://papyri.info/biblio/95967"</w:instrText>
      </w:r>
      <w:r>
        <w:rPr>
          <w:rStyle w:val="Hyperlink.0"/>
        </w:rPr>
        <w:fldChar w:fldCharType="separate" w:fldLock="0"/>
      </w:r>
      <w:r>
        <w:rPr>
          <w:rStyle w:val="Hyperlink.0"/>
          <w:rFonts w:cs="Arial Unicode MS" w:eastAsia="Arial Unicode MS"/>
          <w:rtl w:val="0"/>
        </w:rPr>
        <w:t>2019</w:t>
      </w:r>
      <w:r>
        <w:rPr/>
        <w:fldChar w:fldCharType="end" w:fldLock="0"/>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"https://papyri.info/biblio/95968"</w:instrText>
      </w:r>
      <w:r>
        <w:rPr>
          <w:rStyle w:val="Hyperlink.0"/>
        </w:rPr>
        <w:fldChar w:fldCharType="separate" w:fldLock="0"/>
      </w:r>
      <w:r>
        <w:rPr>
          <w:rStyle w:val="Hyperlink.0"/>
          <w:rFonts w:cs="Arial Unicode MS" w:eastAsia="Arial Unicode MS"/>
          <w:rtl w:val="0"/>
        </w:rPr>
        <w:t>2020</w:t>
      </w:r>
      <w:r>
        <w:rPr/>
        <w:fldChar w:fldCharType="end" w:fldLock="0"/>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"https://papyri.info/biblio/95969"</w:instrText>
      </w:r>
      <w:r>
        <w:rPr>
          <w:rStyle w:val="Hyperlink.0"/>
        </w:rPr>
        <w:fldChar w:fldCharType="separate" w:fldLock="0"/>
      </w:r>
      <w:r>
        <w:rPr>
          <w:rStyle w:val="Hyperlink.0"/>
          <w:rFonts w:cs="Arial Unicode MS" w:eastAsia="Arial Unicode MS"/>
          <w:rtl w:val="0"/>
        </w:rPr>
        <w:t>2022</w:t>
      </w:r>
      <w:r>
        <w:rPr/>
        <w:fldChar w:fldCharType="end" w:fldLock="0"/>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"https://papyri.info/biblio/96767"</w:instrText>
      </w:r>
      <w:r>
        <w:rPr>
          <w:rStyle w:val="Hyperlink.0"/>
        </w:rPr>
        <w:fldChar w:fldCharType="separate" w:fldLock="0"/>
      </w:r>
      <w:r>
        <w:rPr>
          <w:rStyle w:val="Hyperlink.0"/>
          <w:rFonts w:cs="Arial Unicode MS" w:eastAsia="Arial Unicode MS"/>
          <w:rtl w:val="0"/>
        </w:rPr>
        <w:t>2023</w:t>
      </w:r>
      <w:r>
        <w:rPr/>
        <w:fldChar w:fldCharType="end" w:fldLock="0"/>
      </w:r>
      <w:r>
        <w:rPr>
          <w:rFonts w:cs="Arial Unicode MS" w:eastAsia="Arial Unicode MS"/>
          <w:rtl w:val="0"/>
          <w:lang w:val="en-US"/>
        </w:rPr>
        <w:t xml:space="preserve">. </w:t>
      </w:r>
    </w:p>
  </w:footnote>
  <w:footnote w:id="2">
    <w:p>
      <w:pPr>
        <w:pStyle w:val="footnote text"/>
      </w:pPr>
      <w:r>
        <w:rPr>
          <w:vertAlign w:val="superscript"/>
        </w:rPr>
        <w:footnoteRef/>
      </w:r>
      <w:r>
        <w:rPr>
          <w:rFonts w:cs="Arial Unicode MS" w:eastAsia="Arial Unicode MS"/>
          <w:rtl w:val="0"/>
          <w:lang w:val="en-US"/>
        </w:rPr>
        <w:t xml:space="preserve"> When dimensions are given in this article, the measurements are always in the order of width </w:t>
      </w:r>
      <w:r>
        <w:rPr>
          <w:rFonts w:cs="Arial Unicode MS" w:eastAsia="Arial Unicode MS" w:hint="default"/>
          <w:rtl w:val="0"/>
          <w:lang w:val="en-US"/>
        </w:rPr>
        <w:t xml:space="preserve">× </w:t>
      </w:r>
      <w:r>
        <w:rPr>
          <w:rFonts w:cs="Arial Unicode MS" w:eastAsia="Arial Unicode MS"/>
          <w:rtl w:val="0"/>
          <w:lang w:val="en-US"/>
        </w:rPr>
        <w:t xml:space="preserve">height </w:t>
      </w:r>
      <w:r>
        <w:rPr>
          <w:rFonts w:cs="Arial Unicode MS" w:eastAsia="Arial Unicode MS" w:hint="default"/>
          <w:rtl w:val="0"/>
          <w:lang w:val="en-US"/>
        </w:rPr>
        <w:t xml:space="preserve">× </w:t>
      </w:r>
      <w:r>
        <w:rPr>
          <w:rFonts w:cs="Arial Unicode MS" w:eastAsia="Arial Unicode MS"/>
          <w:rtl w:val="0"/>
          <w:lang w:val="en-US"/>
        </w:rPr>
        <w:t>thickness.</w:t>
      </w:r>
    </w:p>
  </w:footnote>
  <w:footnote w:id="3">
    <w:p>
      <w:pPr>
        <w:pStyle w:val="footnote text"/>
      </w:pPr>
      <w:r>
        <w:rPr>
          <w:vertAlign w:val="superscript"/>
        </w:rPr>
        <w:footnoteRef/>
      </w:r>
      <w:r>
        <w:rPr>
          <w:rFonts w:cs="Arial Unicode MS" w:eastAsia="Arial Unicode MS"/>
          <w:rtl w:val="0"/>
          <w:lang w:val="en-US"/>
        </w:rPr>
        <w:t xml:space="preserve"> J.A. Harrell gives a detailed analysis of the local gypsum stone in </w:t>
      </w:r>
      <w:r>
        <w:rPr>
          <w:rStyle w:val="Hyperlink.0"/>
        </w:rPr>
        <w:fldChar w:fldCharType="begin" w:fldLock="0"/>
      </w:r>
      <w:r>
        <w:rPr>
          <w:rStyle w:val="Hyperlink.0"/>
        </w:rPr>
        <w:instrText xml:space="preserve"> HYPERLINK "https://papyri.info/biblio/95969"</w:instrText>
      </w:r>
      <w:r>
        <w:rPr>
          <w:rStyle w:val="Hyperlink.0"/>
        </w:rPr>
        <w:fldChar w:fldCharType="separate" w:fldLock="0"/>
      </w:r>
      <w:r>
        <w:rPr>
          <w:rStyle w:val="Hyperlink.0"/>
          <w:rFonts w:cs="Arial Unicode MS" w:eastAsia="Arial Unicode MS"/>
          <w:rtl w:val="0"/>
        </w:rPr>
        <w:t>Sidebotham et al. 2021</w:t>
      </w:r>
      <w:r>
        <w:rPr/>
        <w:fldChar w:fldCharType="end" w:fldLock="0"/>
      </w:r>
      <w:r>
        <w:rPr>
          <w:rFonts w:cs="Arial Unicode MS" w:eastAsia="Arial Unicode MS"/>
          <w:rtl w:val="0"/>
          <w:lang w:val="en-US"/>
        </w:rPr>
        <w:t>: 21</w:t>
      </w:r>
      <w:r>
        <w:rPr>
          <w:rFonts w:cs="Arial Unicode MS" w:eastAsia="Arial Unicode MS" w:hint="default"/>
          <w:rtl w:val="0"/>
          <w:lang w:val="en-US"/>
        </w:rPr>
        <w:t>–</w:t>
      </w:r>
      <w:r>
        <w:rPr>
          <w:rFonts w:cs="Arial Unicode MS" w:eastAsia="Arial Unicode MS"/>
          <w:rtl w:val="0"/>
          <w:lang w:val="en-US"/>
        </w:rPr>
        <w:t>22.</w:t>
      </w:r>
    </w:p>
  </w:footnote>
  <w:footnote w:id="4">
    <w:p>
      <w:pPr>
        <w:pStyle w:val="footnote text"/>
      </w:pPr>
      <w:r>
        <w:rPr>
          <w:vertAlign w:val="superscript"/>
        </w:rPr>
        <w:footnoteRef/>
      </w:r>
      <w:r>
        <w:rPr>
          <w:rFonts w:cs="Arial Unicode MS" w:eastAsia="Arial Unicode MS"/>
          <w:rtl w:val="0"/>
          <w:lang w:val="en-US"/>
        </w:rPr>
        <w:t xml:space="preserve"> Of the published inscriptions that show guidelines I can point to a dedication commissioned in 51 CE by Epaphroditus, the freedman of the merchant Marcus Laelius Cosmus, (</w:t>
      </w:r>
      <w:r>
        <w:rPr>
          <w:rStyle w:val="Hyperlink.0"/>
        </w:rPr>
        <w:fldChar w:fldCharType="begin" w:fldLock="0"/>
      </w:r>
      <w:r>
        <w:rPr>
          <w:rStyle w:val="Hyperlink.0"/>
        </w:rPr>
        <w:instrText xml:space="preserve"> HYPERLINK "https://papyri.info/biblio/96762"</w:instrText>
      </w:r>
      <w:r>
        <w:rPr>
          <w:rStyle w:val="Hyperlink.0"/>
        </w:rPr>
        <w:fldChar w:fldCharType="separate" w:fldLock="0"/>
      </w:r>
      <w:r>
        <w:rPr>
          <w:rStyle w:val="Hyperlink.0"/>
          <w:rFonts w:cs="Arial Unicode MS" w:eastAsia="Arial Unicode MS"/>
          <w:rtl w:val="0"/>
        </w:rPr>
        <w:t>Ast 2021</w:t>
      </w:r>
      <w:r>
        <w:rPr/>
        <w:fldChar w:fldCharType="end" w:fldLock="0"/>
      </w:r>
      <w:r>
        <w:rPr>
          <w:rFonts w:cs="Arial Unicode MS" w:eastAsia="Arial Unicode MS"/>
          <w:rtl w:val="0"/>
          <w:lang w:val="en-US"/>
        </w:rPr>
        <w:t>: 150</w:t>
      </w:r>
      <w:r>
        <w:rPr>
          <w:rFonts w:cs="Arial Unicode MS" w:eastAsia="Arial Unicode MS" w:hint="default"/>
          <w:rtl w:val="0"/>
          <w:lang w:val="en-US"/>
        </w:rPr>
        <w:t>–</w:t>
      </w:r>
      <w:r>
        <w:rPr>
          <w:rFonts w:cs="Arial Unicode MS" w:eastAsia="Arial Unicode MS"/>
          <w:rtl w:val="0"/>
          <w:lang w:val="en-US"/>
        </w:rPr>
        <w:t xml:space="preserve">151 with Fig. 6) as well as to the Ptolemaic inscription </w:t>
      </w:r>
      <w:r>
        <w:rPr>
          <w:rStyle w:val="Hyperlink.0"/>
        </w:rPr>
        <w:fldChar w:fldCharType="begin" w:fldLock="0"/>
      </w:r>
      <w:r>
        <w:rPr>
          <w:rStyle w:val="Hyperlink.0"/>
        </w:rPr>
        <w:instrText xml:space="preserve"> HYPERLINK "https://papyri.info/biblio/8962"</w:instrText>
      </w:r>
      <w:r>
        <w:rPr>
          <w:rStyle w:val="Hyperlink.0"/>
        </w:rPr>
        <w:fldChar w:fldCharType="separate" w:fldLock="0"/>
      </w:r>
      <w:r>
        <w:rPr>
          <w:rStyle w:val="Hyperlink.0"/>
          <w:rFonts w:cs="Arial Unicode MS" w:eastAsia="Arial Unicode MS"/>
          <w:rtl w:val="0"/>
        </w:rPr>
        <w:t>I.Pan</w:t>
      </w:r>
      <w:r>
        <w:rPr/>
        <w:fldChar w:fldCharType="end" w:fldLock="0"/>
      </w:r>
      <w:r>
        <w:rPr>
          <w:rFonts w:cs="Arial Unicode MS" w:eastAsia="Arial Unicode MS"/>
          <w:rtl w:val="0"/>
          <w:lang w:val="en-US"/>
        </w:rPr>
        <w:t xml:space="preserve"> 70 from 133 BCE (</w:t>
      </w:r>
      <w:r>
        <w:rPr>
          <w:rStyle w:val="Hyperlink.0"/>
        </w:rPr>
        <w:fldChar w:fldCharType="begin" w:fldLock="0"/>
      </w:r>
      <w:r>
        <w:rPr>
          <w:rStyle w:val="Hyperlink.0"/>
        </w:rPr>
        <w:instrText xml:space="preserve"> HYPERLINK "https://papyri.info/biblio/95932"</w:instrText>
      </w:r>
      <w:r>
        <w:rPr>
          <w:rStyle w:val="Hyperlink.0"/>
        </w:rPr>
        <w:fldChar w:fldCharType="separate" w:fldLock="0"/>
      </w:r>
      <w:r>
        <w:rPr>
          <w:rStyle w:val="Hyperlink.0"/>
          <w:rFonts w:cs="Arial Unicode MS" w:eastAsia="Arial Unicode MS"/>
          <w:rtl w:val="0"/>
        </w:rPr>
        <w:t>Ast 2020</w:t>
      </w:r>
      <w:r>
        <w:rPr/>
        <w:fldChar w:fldCharType="end" w:fldLock="0"/>
      </w:r>
      <w:r>
        <w:rPr>
          <w:rFonts w:cs="Arial Unicode MS" w:eastAsia="Arial Unicode MS"/>
          <w:rtl w:val="0"/>
          <w:lang w:val="en-US"/>
        </w:rPr>
        <w:t>).</w:t>
      </w:r>
    </w:p>
  </w:footnote>
  <w:footnote w:id="5">
    <w:p>
      <w:pPr>
        <w:pStyle w:val="footnote text"/>
      </w:pPr>
      <w:r>
        <w:rPr>
          <w:vertAlign w:val="superscript"/>
        </w:rPr>
        <w:footnoteRef/>
      </w:r>
      <w:r>
        <w:rPr>
          <w:rFonts w:cs="Arial Unicode MS" w:eastAsia="Arial Unicode MS"/>
          <w:rtl w:val="0"/>
          <w:lang w:val="en-US"/>
        </w:rPr>
        <w:t xml:space="preserve"> RTI has been employed in order to enhance legibility of the inscription. Information about the technology is available on the </w:t>
      </w:r>
      <w:r>
        <w:rPr>
          <w:rStyle w:val="Hyperlink.0"/>
        </w:rPr>
        <w:fldChar w:fldCharType="begin" w:fldLock="0"/>
      </w:r>
      <w:r>
        <w:rPr>
          <w:rStyle w:val="Hyperlink.0"/>
        </w:rPr>
        <w:instrText xml:space="preserve"> HYPERLINK "https://culturalheritageimaging.org/Technologies/RTI/"</w:instrText>
      </w:r>
      <w:r>
        <w:rPr>
          <w:rStyle w:val="Hyperlink.0"/>
        </w:rPr>
        <w:fldChar w:fldCharType="separate" w:fldLock="0"/>
      </w:r>
      <w:r>
        <w:rPr>
          <w:rStyle w:val="Hyperlink.0"/>
          <w:rFonts w:cs="Arial Unicode MS" w:eastAsia="Arial Unicode MS"/>
          <w:rtl w:val="0"/>
        </w:rPr>
        <w:t>Cultural Heritage Imaging (CHI)</w:t>
      </w:r>
      <w:r>
        <w:rPr/>
        <w:fldChar w:fldCharType="end" w:fldLock="0"/>
      </w:r>
      <w:r>
        <w:rPr>
          <w:rFonts w:cs="Arial Unicode MS" w:eastAsia="Arial Unicode MS"/>
          <w:rtl w:val="0"/>
          <w:lang w:val="en-US"/>
        </w:rPr>
        <w:t xml:space="preserve"> website and in </w:t>
      </w:r>
      <w:r>
        <w:rPr>
          <w:rStyle w:val="Hyperlink.0"/>
        </w:rPr>
        <w:fldChar w:fldCharType="begin" w:fldLock="0"/>
      </w:r>
      <w:r>
        <w:rPr>
          <w:rStyle w:val="Hyperlink.0"/>
        </w:rPr>
        <w:instrText xml:space="preserve"> HYPERLINK "https://papyri.info/biblio/96770"</w:instrText>
      </w:r>
      <w:r>
        <w:rPr>
          <w:rStyle w:val="Hyperlink.0"/>
        </w:rPr>
        <w:fldChar w:fldCharType="separate" w:fldLock="0"/>
      </w:r>
      <w:r>
        <w:rPr>
          <w:rStyle w:val="Hyperlink.0"/>
          <w:rFonts w:cs="Arial Unicode MS" w:eastAsia="Arial Unicode MS"/>
          <w:rtl w:val="0"/>
        </w:rPr>
        <w:t>Earl et al. 2010</w:t>
      </w:r>
      <w:r>
        <w:rPr/>
        <w:fldChar w:fldCharType="end" w:fldLock="0"/>
      </w:r>
      <w:r>
        <w:rPr>
          <w:rFonts w:cs="Arial Unicode MS" w:eastAsia="Arial Unicode MS"/>
          <w:rtl w:val="0"/>
          <w:lang w:val="en-US"/>
        </w:rPr>
        <w:t>. In addition to RTI, the project uses infrared photography for inked documents and photogrammetry for architectural and artistic elements.</w:t>
      </w:r>
    </w:p>
  </w:footnote>
  <w:footnote w:id="6">
    <w:p>
      <w:pPr>
        <w:pStyle w:val="footnote text"/>
      </w:pPr>
      <w:r>
        <w:rPr>
          <w:vertAlign w:val="superscript"/>
        </w:rPr>
        <w:footnoteRef/>
      </w:r>
      <w:r>
        <w:rPr>
          <w:rFonts w:cs="Arial Unicode MS" w:eastAsia="Arial Unicode MS"/>
          <w:rtl w:val="0"/>
          <w:lang w:val="en-US"/>
        </w:rPr>
        <w:t xml:space="preserve"> Good examples of first- and early second-century large dedication bases from Berenike are in </w:t>
      </w:r>
      <w:r>
        <w:rPr>
          <w:rStyle w:val="Hyperlink.0"/>
        </w:rPr>
        <w:fldChar w:fldCharType="begin" w:fldLock="0"/>
      </w:r>
      <w:r>
        <w:rPr>
          <w:rStyle w:val="Hyperlink.0"/>
        </w:rPr>
        <w:instrText xml:space="preserve"> HYPERLINK "https://papyri.info/biblio/89162"</w:instrText>
      </w:r>
      <w:r>
        <w:rPr>
          <w:rStyle w:val="Hyperlink.0"/>
        </w:rPr>
        <w:fldChar w:fldCharType="separate" w:fldLock="0"/>
      </w:r>
      <w:r>
        <w:rPr>
          <w:rStyle w:val="Hyperlink.0"/>
          <w:rFonts w:cs="Arial Unicode MS" w:eastAsia="Arial Unicode MS"/>
          <w:rtl w:val="0"/>
        </w:rPr>
        <w:t>Ast and Bagnall 2015</w:t>
      </w:r>
      <w:r>
        <w:rPr/>
        <w:fldChar w:fldCharType="end" w:fldLock="0"/>
      </w:r>
      <w:r>
        <w:rPr>
          <w:rFonts w:cs="Arial Unicode MS" w:eastAsia="Arial Unicode MS"/>
          <w:rtl w:val="0"/>
          <w:lang w:val="en-US"/>
        </w:rPr>
        <w:t xml:space="preserve"> and </w:t>
      </w:r>
      <w:r>
        <w:rPr>
          <w:rStyle w:val="Hyperlink.0"/>
        </w:rPr>
        <w:fldChar w:fldCharType="begin" w:fldLock="0"/>
      </w:r>
      <w:r>
        <w:rPr>
          <w:rStyle w:val="Hyperlink.0"/>
        </w:rPr>
        <w:instrText xml:space="preserve"> HYPERLINK "https://papyri.info/biblio/96762"</w:instrText>
      </w:r>
      <w:r>
        <w:rPr>
          <w:rStyle w:val="Hyperlink.0"/>
        </w:rPr>
        <w:fldChar w:fldCharType="separate" w:fldLock="0"/>
      </w:r>
      <w:r>
        <w:rPr>
          <w:rStyle w:val="Hyperlink.0"/>
          <w:rFonts w:cs="Arial Unicode MS" w:eastAsia="Arial Unicode MS"/>
          <w:rtl w:val="0"/>
        </w:rPr>
        <w:t>Ast 2021</w:t>
      </w:r>
      <w:r>
        <w:rPr/>
        <w:fldChar w:fldCharType="end" w:fldLock="0"/>
      </w:r>
      <w:r>
        <w:rPr>
          <w:rFonts w:cs="Arial Unicode MS" w:eastAsia="Arial Unicode MS"/>
          <w:rtl w:val="0"/>
          <w:lang w:val="en-US"/>
        </w:rPr>
        <w:t xml:space="preserve">. An example of a smaller format third-century dedication base is BE-15/18 111.040 (inv. 111007) from 209 CE, which measures 48 </w:t>
      </w:r>
      <w:r>
        <w:rPr>
          <w:rFonts w:cs="Arial Unicode MS" w:eastAsia="Arial Unicode MS" w:hint="default"/>
          <w:rtl w:val="0"/>
          <w:lang w:val="en-US"/>
        </w:rPr>
        <w:t xml:space="preserve">× </w:t>
      </w:r>
      <w:r>
        <w:rPr>
          <w:rFonts w:cs="Arial Unicode MS" w:eastAsia="Arial Unicode MS"/>
          <w:rtl w:val="0"/>
          <w:lang w:val="en-US"/>
        </w:rPr>
        <w:t xml:space="preserve">60 </w:t>
      </w:r>
      <w:r>
        <w:rPr>
          <w:rFonts w:cs="Arial Unicode MS" w:eastAsia="Arial Unicode MS" w:hint="default"/>
          <w:rtl w:val="0"/>
          <w:lang w:val="en-US"/>
        </w:rPr>
        <w:t xml:space="preserve">× </w:t>
      </w:r>
      <w:r>
        <w:rPr>
          <w:rFonts w:cs="Arial Unicode MS" w:eastAsia="Arial Unicode MS"/>
          <w:rtl w:val="0"/>
          <w:lang w:val="en-US"/>
        </w:rPr>
        <w:t xml:space="preserve">49 cm. </w:t>
      </w:r>
    </w:p>
  </w:footnote>
  <w:footnote w:id="7">
    <w:p>
      <w:pPr>
        <w:pStyle w:val="footnote text"/>
      </w:pPr>
      <w:r>
        <w:rPr>
          <w:vertAlign w:val="superscript"/>
        </w:rPr>
        <w:footnoteRef/>
      </w:r>
      <w:r>
        <w:rPr>
          <w:rFonts w:cs="Arial Unicode MS" w:eastAsia="Arial Unicode MS"/>
          <w:rtl w:val="0"/>
          <w:lang w:val="en-US"/>
        </w:rPr>
        <w:t xml:space="preserve"> Both are still unpublished. The same general format is also observed in I.Portes 86 (August 13, 2019) from Coptos, although that stele is, overall, smaller in size, measuring 47 x 58 (the thickness is not recorded).</w:t>
      </w:r>
    </w:p>
  </w:footnote>
  <w:footnote w:id="8">
    <w:p>
      <w:pPr>
        <w:pStyle w:val="footnote text"/>
      </w:pPr>
      <w:r>
        <w:rPr>
          <w:vertAlign w:val="superscript"/>
        </w:rPr>
        <w:footnoteRef/>
      </w:r>
      <w:r>
        <w:rPr>
          <w:rtl w:val="0"/>
          <w:lang w:val="en-US"/>
        </w:rPr>
        <w:t xml:space="preserve"> Sidebotham et al. 2023: 20</w:t>
      </w:r>
      <w:r>
        <w:rPr>
          <w:rtl w:val="0"/>
          <w:lang w:val="en-US"/>
        </w:rPr>
        <w:t>–</w:t>
      </w:r>
      <w:r>
        <w:rPr>
          <w:rtl w:val="0"/>
          <w:lang w:val="en-US"/>
        </w:rPr>
        <w:t xml:space="preserve">21 with Pl. XXIII.2; full publication of the stele and other Indian artifacts from the port will appear in Sidebotham, Ast et al. </w:t>
      </w:r>
      <w:r>
        <w:rPr>
          <w:i w:val="1"/>
          <w:iCs w:val="1"/>
          <w:rtl w:val="0"/>
          <w:lang w:val="en-US"/>
        </w:rPr>
        <w:t>Jahrbuch des Deutschen Arch</w:t>
      </w:r>
      <w:r>
        <w:rPr>
          <w:i w:val="1"/>
          <w:iCs w:val="1"/>
          <w:rtl w:val="0"/>
          <w:lang w:val="de-DE"/>
        </w:rPr>
        <w:t>ä</w:t>
      </w:r>
      <w:r>
        <w:rPr>
          <w:i w:val="1"/>
          <w:iCs w:val="1"/>
          <w:rtl w:val="0"/>
          <w:lang w:val="de-DE"/>
        </w:rPr>
        <w:t xml:space="preserve">ologischen Instituts </w:t>
      </w:r>
      <w:r>
        <w:rPr>
          <w:rtl w:val="0"/>
          <w:lang w:val="en-US"/>
        </w:rPr>
        <w:t xml:space="preserve">(forthcoming 2025). </w:t>
      </w:r>
    </w:p>
  </w:footnote>
  <w:footnote w:id="9">
    <w:p>
      <w:pPr>
        <w:pStyle w:val="footnote text"/>
      </w:pPr>
      <w:r>
        <w:rPr>
          <w:vertAlign w:val="superscript"/>
        </w:rPr>
        <w:footnoteRef/>
      </w:r>
      <w:r>
        <w:rPr>
          <w:rFonts w:cs="Arial Unicode MS" w:eastAsia="Arial Unicode MS"/>
          <w:rtl w:val="0"/>
          <w:lang w:val="en-US"/>
        </w:rPr>
        <w:t xml:space="preserve"> Respectively, these are BE-15/18 111.040 (inv. 111007) and BE-22 150b.011.001 (inv. 150[b]001), </w:t>
      </w:r>
      <w:r>
        <w:rPr>
          <w:rFonts w:ascii="IFAO-Grec Unicode" w:hAnsi="IFAO-Grec Unicode"/>
          <w:rtl w:val="0"/>
          <w:lang w:val="en-US"/>
        </w:rPr>
        <w:t>both unpublished.</w:t>
      </w:r>
    </w:p>
  </w:footnote>
  <w:footnote w:id="10">
    <w:p>
      <w:pPr>
        <w:pStyle w:val="footnote text"/>
      </w:pPr>
      <w:r>
        <w:rPr>
          <w:rFonts w:ascii="IFAO-Grec Unicode" w:cs="IFAO-Grec Unicode" w:hAnsi="IFAO-Grec Unicode" w:eastAsia="IFAO-Grec Unicode"/>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"https://papyri.info/biblio/6514"</w:instrText>
      </w:r>
      <w:r>
        <w:rPr>
          <w:rStyle w:val="Hyperlink.0"/>
        </w:rPr>
        <w:fldChar w:fldCharType="separate" w:fldLock="0"/>
      </w:r>
      <w:r>
        <w:rPr>
          <w:rStyle w:val="Hyperlink.0"/>
          <w:rFonts w:cs="Arial Unicode MS" w:eastAsia="Arial Unicode MS"/>
          <w:rtl w:val="0"/>
        </w:rPr>
        <w:t>Bureth 1964</w:t>
      </w:r>
      <w:r>
        <w:rPr/>
        <w:fldChar w:fldCharType="end" w:fldLock="0"/>
      </w:r>
      <w:r>
        <w:rPr>
          <w:rFonts w:cs="Arial Unicode MS" w:eastAsia="Arial Unicode MS"/>
          <w:rtl w:val="0"/>
          <w:lang w:val="en-US"/>
        </w:rPr>
        <w:t>: 124</w:t>
      </w:r>
      <w:r>
        <w:rPr>
          <w:rFonts w:cs="Arial Unicode MS" w:eastAsia="Arial Unicode MS" w:hint="default"/>
          <w:rtl w:val="0"/>
          <w:lang w:val="en-US"/>
        </w:rPr>
        <w:t>–</w:t>
      </w:r>
      <w:r>
        <w:rPr>
          <w:rFonts w:cs="Arial Unicode MS" w:eastAsia="Arial Unicode MS"/>
          <w:rtl w:val="0"/>
          <w:lang w:val="en-US"/>
        </w:rPr>
        <w:t>125.</w:t>
      </w:r>
    </w:p>
  </w:footnote>
  <w:footnote w:id="11">
    <w:p>
      <w:pPr>
        <w:pStyle w:val="footnote text"/>
      </w:pPr>
      <w:r>
        <w:rPr>
          <w:rFonts w:ascii="IFAO-Grec Unicode" w:cs="IFAO-Grec Unicode" w:hAnsi="IFAO-Grec Unicode" w:eastAsia="IFAO-Grec Unicode"/>
          <w:vertAlign w:val="superscript"/>
        </w:rPr>
        <w:footnoteRef/>
      </w:r>
      <w:r>
        <w:rPr>
          <w:rFonts w:cs="Arial Unicode MS" w:eastAsia="Arial Unicode MS"/>
          <w:rtl w:val="0"/>
          <w:lang w:val="en-US"/>
        </w:rPr>
        <w:t xml:space="preserve"> See the commentary ad loc.</w:t>
      </w:r>
    </w:p>
  </w:footnote>
  <w:footnote w:id="12">
    <w:p>
      <w:pPr>
        <w:pStyle w:val="footnote text"/>
      </w:pPr>
      <w:r>
        <w:rPr>
          <w:vertAlign w:val="superscript"/>
        </w:rPr>
        <w:footnoteRef/>
      </w:r>
      <w:r>
        <w:rPr>
          <w:rtl w:val="0"/>
          <w:lang w:val="en-US"/>
        </w:rPr>
        <w:t xml:space="preserve"> For discussion of the poor representation of the third century in Berenike, see </w:t>
      </w:r>
      <w:r>
        <w:rPr>
          <w:rStyle w:val="Hyperlink.2"/>
          <w:lang w:val="en-US"/>
        </w:rPr>
        <w:fldChar w:fldCharType="begin" w:fldLock="0"/>
      </w:r>
      <w:r>
        <w:rPr>
          <w:rStyle w:val="Hyperlink.2"/>
          <w:lang w:val="en-US"/>
        </w:rPr>
        <w:instrText xml:space="preserve"> HYPERLINK "https://papyri.info/biblio/71692"</w:instrText>
      </w:r>
      <w:r>
        <w:rPr>
          <w:rStyle w:val="Hyperlink.2"/>
          <w:lang w:val="en-US"/>
        </w:rPr>
        <w:fldChar w:fldCharType="separate" w:fldLock="0"/>
      </w:r>
      <w:r>
        <w:rPr>
          <w:rStyle w:val="Hyperlink.2"/>
          <w:rtl w:val="0"/>
          <w:lang w:val="en-US"/>
        </w:rPr>
        <w:t>Sidebotham 2002</w:t>
      </w:r>
      <w:r>
        <w:rPr/>
        <w:fldChar w:fldCharType="end" w:fldLock="0"/>
      </w:r>
      <w:r>
        <w:rPr>
          <w:rtl w:val="0"/>
          <w:lang w:val="en-US"/>
        </w:rPr>
        <w:t>: 219</w:t>
      </w:r>
      <w:r>
        <w:rPr>
          <w:rtl w:val="0"/>
          <w:lang w:val="en-US"/>
        </w:rPr>
        <w:t>–</w:t>
      </w:r>
      <w:r>
        <w:rPr>
          <w:rtl w:val="0"/>
          <w:lang w:val="en-US"/>
        </w:rPr>
        <w:t xml:space="preserve">220, which was based on the evidence available at the time. The inscription in question, which is dated 215, was excavated in the so-called Palmyrene shrine; see A.M.F.W. Verhoogt in </w:t>
      </w:r>
      <w:r>
        <w:rPr>
          <w:rStyle w:val="Hyperlink.2"/>
          <w:lang w:val="en-US"/>
        </w:rPr>
        <w:fldChar w:fldCharType="begin" w:fldLock="0"/>
      </w:r>
      <w:r>
        <w:rPr>
          <w:rStyle w:val="Hyperlink.2"/>
          <w:lang w:val="en-US"/>
        </w:rPr>
        <w:instrText xml:space="preserve"> HYPERLINK "https://papyri.info/biblio/15536"</w:instrText>
      </w:r>
      <w:r>
        <w:rPr>
          <w:rStyle w:val="Hyperlink.2"/>
          <w:lang w:val="en-US"/>
        </w:rPr>
        <w:fldChar w:fldCharType="separate" w:fldLock="0"/>
      </w:r>
      <w:r>
        <w:rPr>
          <w:rStyle w:val="Hyperlink.2"/>
          <w:rtl w:val="0"/>
          <w:lang w:val="en-US"/>
        </w:rPr>
        <w:t>Sidebotham and Wendrich 1998</w:t>
      </w:r>
      <w:r>
        <w:rPr/>
        <w:fldChar w:fldCharType="end" w:fldLock="0"/>
      </w:r>
      <w:r>
        <w:rPr>
          <w:rtl w:val="0"/>
          <w:lang w:val="en-US"/>
        </w:rPr>
        <w:t>: 193</w:t>
      </w:r>
      <w:r>
        <w:rPr>
          <w:rtl w:val="0"/>
          <w:lang w:val="en-US"/>
        </w:rPr>
        <w:t>–</w:t>
      </w:r>
      <w:r>
        <w:rPr>
          <w:rtl w:val="0"/>
          <w:lang w:val="en-US"/>
        </w:rPr>
        <w:t xml:space="preserve">196 (cf. </w:t>
      </w:r>
      <w:r>
        <w:rPr>
          <w:rStyle w:val="Hyperlink.2"/>
          <w:lang w:val="en-US"/>
        </w:rPr>
        <w:fldChar w:fldCharType="begin" w:fldLock="0"/>
      </w:r>
      <w:r>
        <w:rPr>
          <w:rStyle w:val="Hyperlink.2"/>
          <w:lang w:val="en-US"/>
        </w:rPr>
        <w:instrText xml:space="preserve"> HYPERLINK "https://papyri.info/biblio/16616"</w:instrText>
      </w:r>
      <w:r>
        <w:rPr>
          <w:rStyle w:val="Hyperlink.2"/>
          <w:lang w:val="en-US"/>
        </w:rPr>
        <w:fldChar w:fldCharType="separate" w:fldLock="0"/>
      </w:r>
      <w:r>
        <w:rPr>
          <w:rStyle w:val="Hyperlink.2"/>
          <w:rtl w:val="0"/>
          <w:lang w:val="en-US"/>
        </w:rPr>
        <w:t>SEG 48</w:t>
      </w:r>
      <w:r>
        <w:rPr/>
        <w:fldChar w:fldCharType="end" w:fldLock="0"/>
      </w:r>
      <w:r>
        <w:rPr>
          <w:rtl w:val="0"/>
          <w:lang w:val="en-US"/>
        </w:rPr>
        <w:t xml:space="preserve"> 1977 and </w:t>
      </w:r>
      <w:r>
        <w:rPr>
          <w:rStyle w:val="Hyperlink.2"/>
          <w:lang w:val="en-US"/>
        </w:rPr>
        <w:fldChar w:fldCharType="begin" w:fldLock="0"/>
      </w:r>
      <w:r>
        <w:rPr>
          <w:rStyle w:val="Hyperlink.2"/>
          <w:lang w:val="en-US"/>
        </w:rPr>
        <w:instrText xml:space="preserve"> HYPERLINK "https://www.trismegistos.org/text/142358"</w:instrText>
      </w:r>
      <w:r>
        <w:rPr>
          <w:rStyle w:val="Hyperlink.2"/>
          <w:lang w:val="en-US"/>
        </w:rPr>
        <w:fldChar w:fldCharType="separate" w:fldLock="0"/>
      </w:r>
      <w:r>
        <w:rPr>
          <w:rStyle w:val="Hyperlink.2"/>
          <w:rtl w:val="0"/>
          <w:lang w:val="en-US"/>
        </w:rPr>
        <w:t>SB 28 16916</w:t>
      </w:r>
      <w:r>
        <w:rPr/>
        <w:fldChar w:fldCharType="end" w:fldLock="0"/>
      </w:r>
      <w:r>
        <w:rPr>
          <w:rtl w:val="0"/>
          <w:lang w:val="en-US"/>
        </w:rPr>
        <w:t>). Although not precisely dated, another inscription from the same shrine likely comes from the late 2</w:t>
      </w:r>
      <w:r>
        <w:rPr>
          <w:vertAlign w:val="superscript"/>
          <w:rtl w:val="0"/>
          <w:lang w:val="en-US"/>
        </w:rPr>
        <w:t>nd</w:t>
      </w:r>
      <w:r>
        <w:rPr>
          <w:rtl w:val="0"/>
          <w:lang w:val="en-US"/>
        </w:rPr>
        <w:t xml:space="preserve"> or early 3</w:t>
      </w:r>
      <w:r>
        <w:rPr>
          <w:vertAlign w:val="superscript"/>
          <w:rtl w:val="0"/>
          <w:lang w:val="en-US"/>
        </w:rPr>
        <w:t>rd</w:t>
      </w:r>
      <w:r>
        <w:rPr>
          <w:rtl w:val="0"/>
          <w:lang w:val="en-US"/>
        </w:rPr>
        <w:t xml:space="preserve"> century: see </w:t>
      </w:r>
      <w:r>
        <w:rPr>
          <w:rStyle w:val="Hyperlink.3"/>
          <w:lang w:val="fr-FR"/>
        </w:rPr>
        <w:fldChar w:fldCharType="begin" w:fldLock="0"/>
      </w:r>
      <w:r>
        <w:rPr>
          <w:rStyle w:val="Hyperlink.3"/>
          <w:lang w:val="fr-FR"/>
        </w:rPr>
        <w:instrText xml:space="preserve"> HYPERLINK "https://papyri.info/biblio/17089"</w:instrText>
      </w:r>
      <w:r>
        <w:rPr>
          <w:rStyle w:val="Hyperlink.3"/>
          <w:lang w:val="fr-FR"/>
        </w:rPr>
        <w:fldChar w:fldCharType="separate" w:fldLock="0"/>
      </w:r>
      <w:r>
        <w:rPr>
          <w:rStyle w:val="Hyperlink.3"/>
          <w:rtl w:val="0"/>
          <w:lang w:val="fr-FR"/>
        </w:rPr>
        <w:t>SEG 49</w:t>
      </w:r>
      <w:r>
        <w:rPr/>
        <w:fldChar w:fldCharType="end" w:fldLock="0"/>
      </w:r>
      <w:r>
        <w:rPr>
          <w:rtl w:val="0"/>
          <w:lang w:val="fr-FR"/>
        </w:rPr>
        <w:t xml:space="preserve"> 2117</w:t>
      </w:r>
      <w:r>
        <w:rPr>
          <w:rtl w:val="0"/>
          <w:lang w:val="en-US"/>
        </w:rPr>
        <w:t xml:space="preserve">; </w:t>
      </w:r>
      <w:r>
        <w:rPr>
          <w:rtl w:val="0"/>
          <w:lang w:val="fr-FR"/>
        </w:rPr>
        <w:t xml:space="preserve">ed. pr. of M. Dijkstra and A.M.F.W. Verhoogt in </w:t>
      </w:r>
      <w:r>
        <w:rPr>
          <w:rStyle w:val="Hyperlink.3"/>
          <w:lang w:val="fr-FR"/>
        </w:rPr>
        <w:fldChar w:fldCharType="begin" w:fldLock="0"/>
      </w:r>
      <w:r>
        <w:rPr>
          <w:rStyle w:val="Hyperlink.3"/>
          <w:lang w:val="fr-FR"/>
        </w:rPr>
        <w:instrText xml:space="preserve"> HYPERLINK "https://papyri.info/biblio/15828"</w:instrText>
      </w:r>
      <w:r>
        <w:rPr>
          <w:rStyle w:val="Hyperlink.3"/>
          <w:lang w:val="fr-FR"/>
        </w:rPr>
        <w:fldChar w:fldCharType="separate" w:fldLock="0"/>
      </w:r>
      <w:r>
        <w:rPr>
          <w:rStyle w:val="Hyperlink.3"/>
          <w:rtl w:val="0"/>
          <w:lang w:val="fr-FR"/>
        </w:rPr>
        <w:t>Sidebotham and Wendrich 1999</w:t>
      </w:r>
      <w:r>
        <w:rPr/>
        <w:fldChar w:fldCharType="end" w:fldLock="0"/>
      </w:r>
      <w:r>
        <w:rPr>
          <w:rtl w:val="0"/>
          <w:lang w:val="fr-FR"/>
        </w:rPr>
        <w:t xml:space="preserve">: </w:t>
      </w:r>
      <w:r>
        <w:rPr>
          <w:rtl w:val="0"/>
          <w:lang w:val="en-US"/>
        </w:rPr>
        <w:t>207</w:t>
      </w:r>
      <w:r>
        <w:rPr>
          <w:rtl w:val="0"/>
          <w:lang w:val="en-US"/>
        </w:rPr>
        <w:t>–</w:t>
      </w:r>
      <w:r>
        <w:rPr>
          <w:rtl w:val="0"/>
          <w:lang w:val="en-US"/>
        </w:rPr>
        <w:t>218.</w:t>
      </w:r>
    </w:p>
  </w:footnote>
  <w:footnote w:id="13">
    <w:p>
      <w:pPr>
        <w:pStyle w:val="footnote text"/>
      </w:pPr>
      <w:r>
        <w:rPr>
          <w:vertAlign w:val="superscript"/>
        </w:rPr>
        <w:footnoteRef/>
      </w:r>
      <w:r>
        <w:rPr>
          <w:rFonts w:cs="Arial Unicode MS" w:eastAsia="Arial Unicode MS"/>
          <w:rtl w:val="0"/>
          <w:lang w:val="en-US"/>
        </w:rPr>
        <w:t xml:space="preserve"> Cf. preceding note for the inscription from 215; the others are BE-15 111.021.067 + 111.014.037 (inv. 111005); BE-15/18 111.040 (inv. 111007); BE-15/18 111.030 (inv. 111008); BE-22 150.032.001 (inv. 150001).</w:t>
      </w:r>
    </w:p>
  </w:footnote>
  <w:footnote w:id="14">
    <w:p>
      <w:pPr>
        <w:pStyle w:val="footnote text"/>
      </w:pPr>
      <w:r>
        <w:rPr>
          <w:vertAlign w:val="superscript"/>
        </w:rPr>
        <w:footnoteRef/>
      </w:r>
      <w:r>
        <w:rPr>
          <w:rFonts w:cs="Arial Unicode MS" w:eastAsia="Arial Unicode MS"/>
          <w:rtl w:val="0"/>
          <w:lang w:val="en-US"/>
        </w:rPr>
        <w:t xml:space="preserve"> See fn. 8 above; the inscription from 253 is BE-15/18 111.030 (inv. 111010).</w:t>
      </w:r>
    </w:p>
  </w:footnote>
  <w:footnote w:id="15">
    <w:p>
      <w:pPr>
        <w:pStyle w:val="Body"/>
      </w:pPr>
      <w:r>
        <w:rPr>
          <w:vertAlign w:val="superscript"/>
        </w:rPr>
        <w:footnoteRef/>
      </w:r>
      <w:r>
        <w:rPr>
          <w:sz w:val="20"/>
          <w:szCs w:val="20"/>
          <w:rtl w:val="0"/>
          <w:lang w:val="pt-PT"/>
        </w:rPr>
        <w:t xml:space="preserve"> BE-22 150.033.001 (inv. 150003).</w:t>
      </w:r>
    </w:p>
  </w:footnote>
  <w:footnote w:id="16">
    <w:p>
      <w:pPr>
        <w:pStyle w:val="footnote text"/>
      </w:pPr>
      <w:r>
        <w:rPr>
          <w:vertAlign w:val="superscript"/>
        </w:rPr>
        <w:footnoteRef/>
      </w:r>
      <w:r>
        <w:rPr>
          <w:rFonts w:cs="Arial Unicode MS" w:eastAsia="Arial Unicode MS"/>
          <w:rtl w:val="0"/>
          <w:lang w:val="en-US"/>
        </w:rPr>
        <w:t xml:space="preserve"> See </w:t>
      </w:r>
      <w:r>
        <w:rPr>
          <w:rStyle w:val="Hyperlink.0"/>
        </w:rPr>
        <w:fldChar w:fldCharType="begin" w:fldLock="0"/>
      </w:r>
      <w:r>
        <w:rPr>
          <w:rStyle w:val="Hyperlink.0"/>
        </w:rPr>
        <w:instrText xml:space="preserve"> HYPERLINK "https://papyri.info/biblio/79310"</w:instrText>
      </w:r>
      <w:r>
        <w:rPr>
          <w:rStyle w:val="Hyperlink.0"/>
        </w:rPr>
        <w:fldChar w:fldCharType="separate" w:fldLock="0"/>
      </w:r>
      <w:r>
        <w:rPr>
          <w:rStyle w:val="Hyperlink.0"/>
          <w:rFonts w:cs="Arial Unicode MS" w:eastAsia="Arial Unicode MS"/>
          <w:rtl w:val="0"/>
        </w:rPr>
        <w:t>Sidebotham 2011</w:t>
      </w:r>
      <w:r>
        <w:rPr/>
        <w:fldChar w:fldCharType="end" w:fldLock="0"/>
      </w:r>
      <w:r>
        <w:rPr>
          <w:rFonts w:cs="Arial Unicode MS" w:eastAsia="Arial Unicode MS"/>
          <w:rtl w:val="0"/>
          <w:lang w:val="en-US"/>
        </w:rPr>
        <w:t xml:space="preserve">: 63, where it is also noted that </w:t>
      </w:r>
      <w:r>
        <w:rPr>
          <w:rFonts w:cs="Arial Unicode MS" w:eastAsia="Arial Unicode MS" w:hint="default"/>
          <w:rtl w:val="0"/>
          <w:lang w:val="en-US"/>
        </w:rPr>
        <w:t>“</w:t>
      </w:r>
      <w:r>
        <w:rPr>
          <w:rFonts w:cs="Arial Unicode MS" w:eastAsia="Arial Unicode MS"/>
          <w:rtl w:val="0"/>
          <w:lang w:val="en-US"/>
        </w:rPr>
        <w:t xml:space="preserve">nothing </w:t>
      </w:r>
      <w:r>
        <w:rPr>
          <w:rFonts w:cs="Arial Unicode MS" w:eastAsia="Arial Unicode MS" w:hint="default"/>
          <w:rtl w:val="0"/>
          <w:lang w:val="en-US"/>
        </w:rPr>
        <w:t xml:space="preserve">… </w:t>
      </w:r>
      <w:r>
        <w:rPr>
          <w:rFonts w:cs="Arial Unicode MS" w:eastAsia="Arial Unicode MS"/>
          <w:rtl w:val="0"/>
          <w:lang w:val="en-US"/>
        </w:rPr>
        <w:t>would indicate the physical appearance of ships or harbor facilities or their location</w:t>
      </w:r>
      <w:r>
        <w:rPr>
          <w:rFonts w:cs="Arial Unicode MS" w:eastAsia="Arial Unicode MS" w:hint="default"/>
          <w:rtl w:val="0"/>
          <w:lang w:val="en-US"/>
        </w:rPr>
        <w:t xml:space="preserve">” </w:t>
      </w:r>
      <w:r>
        <w:rPr>
          <w:rFonts w:cs="Arial Unicode MS" w:eastAsia="Arial Unicode MS"/>
          <w:rtl w:val="0"/>
          <w:lang w:val="en-US"/>
        </w:rPr>
        <w:t>between the late second and early fourth centuries. Sidebotham (</w:t>
      </w:r>
      <w:r>
        <w:rPr>
          <w:rStyle w:val="Hyperlink.0"/>
        </w:rPr>
        <w:fldChar w:fldCharType="begin" w:fldLock="0"/>
      </w:r>
      <w:r>
        <w:rPr>
          <w:rStyle w:val="Hyperlink.0"/>
        </w:rPr>
        <w:instrText xml:space="preserve"> HYPERLINK "https://papyri.info/biblio/79310"</w:instrText>
      </w:r>
      <w:r>
        <w:rPr>
          <w:rStyle w:val="Hyperlink.0"/>
        </w:rPr>
        <w:fldChar w:fldCharType="separate" w:fldLock="0"/>
      </w:r>
      <w:r>
        <w:rPr>
          <w:rStyle w:val="Hyperlink.0"/>
          <w:rFonts w:cs="Arial Unicode MS" w:eastAsia="Arial Unicode MS"/>
          <w:rtl w:val="0"/>
        </w:rPr>
        <w:t>2011</w:t>
      </w:r>
      <w:r>
        <w:rPr/>
        <w:fldChar w:fldCharType="end" w:fldLock="0"/>
      </w:r>
      <w:r>
        <w:rPr>
          <w:rFonts w:cs="Arial Unicode MS" w:eastAsia="Arial Unicode MS"/>
          <w:rtl w:val="0"/>
          <w:lang w:val="en-US"/>
        </w:rPr>
        <w:t>: 63</w:t>
      </w:r>
      <w:r>
        <w:rPr>
          <w:rFonts w:cs="Arial Unicode MS" w:eastAsia="Arial Unicode MS" w:hint="default"/>
          <w:rtl w:val="0"/>
          <w:lang w:val="en-US"/>
        </w:rPr>
        <w:t>–</w:t>
      </w:r>
      <w:r>
        <w:rPr>
          <w:rFonts w:cs="Arial Unicode MS" w:eastAsia="Arial Unicode MS"/>
          <w:rtl w:val="0"/>
          <w:lang w:val="en-US"/>
        </w:rPr>
        <w:t>64) acknowledges, however, that there was some evidence of activity in the late second and first part of the third centuries.</w:t>
      </w:r>
    </w:p>
  </w:footnote>
  <w:footnote w:id="17">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"https://papyri.info/biblio/96765"</w:instrText>
      </w:r>
      <w:r>
        <w:rPr>
          <w:rStyle w:val="Hyperlink.0"/>
        </w:rPr>
        <w:fldChar w:fldCharType="separate" w:fldLock="0"/>
      </w:r>
      <w:r>
        <w:rPr>
          <w:rStyle w:val="Hyperlink.0"/>
          <w:rFonts w:cs="Arial Unicode MS" w:eastAsia="Arial Unicode MS"/>
          <w:rtl w:val="0"/>
        </w:rPr>
        <w:t>Cuvigny and Lach-Urgacz 2020</w:t>
      </w:r>
      <w:r>
        <w:rPr/>
        <w:fldChar w:fldCharType="end" w:fldLock="0"/>
      </w:r>
      <w:r>
        <w:rPr>
          <w:rFonts w:cs="Arial Unicode MS" w:eastAsia="Arial Unicode MS"/>
          <w:rtl w:val="0"/>
          <w:lang w:val="en-US"/>
        </w:rPr>
        <w:t>: 331.</w:t>
      </w:r>
    </w:p>
  </w:footnote>
  <w:footnote w:id="18">
    <w:p>
      <w:pPr>
        <w:pStyle w:val="footnote text"/>
      </w:pPr>
      <w:r>
        <w:rPr>
          <w:vertAlign w:val="superscript"/>
        </w:rPr>
        <w:footnoteRef/>
      </w:r>
      <w:r>
        <w:rPr>
          <w:rFonts w:cs="Arial Unicode MS" w:eastAsia="Arial Unicode MS"/>
          <w:rtl w:val="0"/>
          <w:lang w:val="en-US"/>
        </w:rPr>
        <w:t xml:space="preserve"> See </w:t>
      </w:r>
      <w:r>
        <w:rPr>
          <w:rStyle w:val="Hyperlink.0"/>
        </w:rPr>
        <w:fldChar w:fldCharType="begin" w:fldLock="0"/>
      </w:r>
      <w:r>
        <w:rPr>
          <w:rStyle w:val="Hyperlink.0"/>
        </w:rPr>
        <w:instrText xml:space="preserve"> HYPERLINK "https://journals.ub.uni-heidelberg.de/index.php/pylon/article/view/89358/83988#ch_112"</w:instrText>
      </w:r>
      <w:r>
        <w:rPr>
          <w:rStyle w:val="Hyperlink.0"/>
        </w:rPr>
        <w:fldChar w:fldCharType="separate" w:fldLock="0"/>
      </w:r>
      <w:r>
        <w:rPr>
          <w:rStyle w:val="Hyperlink.0"/>
          <w:rFonts w:cs="Arial Unicode MS" w:eastAsia="Arial Unicode MS"/>
          <w:rtl w:val="0"/>
        </w:rPr>
        <w:t>O.Berenike 4 535</w:t>
      </w:r>
      <w:r>
        <w:rPr/>
        <w:fldChar w:fldCharType="end" w:fldLock="0"/>
      </w:r>
      <w:r>
        <w:rPr>
          <w:rFonts w:cs="Arial Unicode MS" w:eastAsia="Arial Unicode MS"/>
          <w:rtl w:val="0"/>
          <w:lang w:val="en-US"/>
        </w:rPr>
        <w:t xml:space="preserve"> with references; the ostracon is </w:t>
      </w:r>
      <w:r>
        <w:rPr>
          <w:rStyle w:val="Hyperlink.0"/>
        </w:rPr>
        <w:fldChar w:fldCharType="begin" w:fldLock="0"/>
      </w:r>
      <w:r>
        <w:rPr>
          <w:rStyle w:val="Hyperlink.0"/>
        </w:rPr>
        <w:instrText xml:space="preserve"> HYPERLINK "https://journals.ub.uni-heidelberg.de/index.php/pylon/article/view/89358/83988#ch_107"</w:instrText>
      </w:r>
      <w:r>
        <w:rPr>
          <w:rStyle w:val="Hyperlink.0"/>
        </w:rPr>
        <w:fldChar w:fldCharType="separate" w:fldLock="0"/>
      </w:r>
      <w:r>
        <w:rPr>
          <w:rStyle w:val="Hyperlink.0"/>
          <w:rFonts w:cs="Arial Unicode MS" w:eastAsia="Arial Unicode MS"/>
          <w:rtl w:val="0"/>
        </w:rPr>
        <w:t>O.Berenike 4 534</w:t>
      </w:r>
      <w:r>
        <w:rPr/>
        <w:fldChar w:fldCharType="end" w:fldLock="0"/>
      </w:r>
      <w:r>
        <w:rPr>
          <w:rFonts w:cs="Arial Unicode MS" w:eastAsia="Arial Unicode MS"/>
          <w:rtl w:val="0"/>
          <w:lang w:val="en-US"/>
        </w:rPr>
        <w:t>.</w:t>
      </w:r>
    </w:p>
  </w:footnote>
  <w:footnote w:id="19">
    <w:p>
      <w:pPr>
        <w:pStyle w:val="footnote text"/>
      </w:pPr>
      <w:r>
        <w:rPr>
          <w:vertAlign w:val="superscript"/>
        </w:rPr>
        <w:footnoteRef/>
      </w:r>
      <w:r>
        <w:rPr>
          <w:rFonts w:cs="Arial Unicode MS" w:eastAsia="Arial Unicode MS"/>
          <w:rtl w:val="0"/>
          <w:lang w:val="en-US"/>
        </w:rPr>
        <w:t xml:space="preserve"> Nick Bartos and Roderick Geerts, personal comm. 28.02.2024.</w:t>
      </w:r>
    </w:p>
  </w:footnote>
  <w:footnote w:id="20">
    <w:p>
      <w:pPr>
        <w:pStyle w:val="footnote text"/>
      </w:pPr>
      <w:r>
        <w:rPr>
          <w:vertAlign w:val="superscript"/>
        </w:rPr>
        <w:footnoteRef/>
      </w:r>
      <w:r>
        <w:rPr>
          <w:rtl w:val="0"/>
          <w:lang w:val="en-US"/>
        </w:rPr>
        <w:t xml:space="preserve"> </w:t>
      </w:r>
      <w:r>
        <w:rPr>
          <w:rStyle w:val="Hyperlink.2"/>
          <w:lang w:val="en-US"/>
        </w:rPr>
        <w:fldChar w:fldCharType="begin" w:fldLock="0"/>
      </w:r>
      <w:r>
        <w:rPr>
          <w:rStyle w:val="Hyperlink.2"/>
          <w:lang w:val="en-US"/>
        </w:rPr>
        <w:instrText xml:space="preserve"> HYPERLINK "https://doi.org/10.4000/books.cdf.5239"</w:instrText>
      </w:r>
      <w:r>
        <w:rPr>
          <w:rStyle w:val="Hyperlink.2"/>
          <w:lang w:val="en-US"/>
        </w:rPr>
        <w:fldChar w:fldCharType="separate" w:fldLock="0"/>
      </w:r>
      <w:r>
        <w:rPr>
          <w:rStyle w:val="Hyperlink.2"/>
          <w:rtl w:val="0"/>
          <w:lang w:val="en-US"/>
        </w:rPr>
        <w:t>Brun 2018</w:t>
      </w:r>
      <w:r>
        <w:rPr/>
        <w:fldChar w:fldCharType="end" w:fldLock="0"/>
      </w:r>
      <w:r>
        <w:rPr>
          <w:rtl w:val="0"/>
          <w:lang w:val="en-US"/>
        </w:rPr>
        <w:t xml:space="preserve"> §</w:t>
      </w:r>
      <w:r>
        <w:rPr>
          <w:rtl w:val="0"/>
          <w:lang w:val="en-US"/>
        </w:rPr>
        <w:t xml:space="preserve">31; cf. </w:t>
      </w:r>
      <w:r>
        <w:rPr>
          <w:rStyle w:val="Hyperlink.3"/>
          <w:lang w:val="fr-FR"/>
        </w:rPr>
        <w:fldChar w:fldCharType="begin" w:fldLock="0"/>
      </w:r>
      <w:r>
        <w:rPr>
          <w:rStyle w:val="Hyperlink.3"/>
          <w:lang w:val="fr-FR"/>
        </w:rPr>
        <w:instrText xml:space="preserve"> HYPERLINK "https://papyri.info/biblio/96764"</w:instrText>
      </w:r>
      <w:r>
        <w:rPr>
          <w:rStyle w:val="Hyperlink.3"/>
          <w:lang w:val="fr-FR"/>
        </w:rPr>
        <w:fldChar w:fldCharType="separate" w:fldLock="0"/>
      </w:r>
      <w:r>
        <w:rPr>
          <w:rStyle w:val="Hyperlink.3"/>
          <w:rtl w:val="0"/>
          <w:lang w:val="fr-FR"/>
        </w:rPr>
        <w:t>Cuvigny 2022</w:t>
      </w:r>
      <w:r>
        <w:rPr/>
        <w:fldChar w:fldCharType="end" w:fldLock="0"/>
      </w:r>
      <w:r>
        <w:rPr>
          <w:rtl w:val="0"/>
          <w:lang w:val="en-US"/>
        </w:rPr>
        <w:t>: 113</w:t>
      </w:r>
      <w:r>
        <w:rPr>
          <w:rtl w:val="0"/>
          <w:lang w:val="en-US"/>
        </w:rPr>
        <w:t>–</w:t>
      </w:r>
      <w:r>
        <w:rPr>
          <w:rtl w:val="0"/>
          <w:lang w:val="en-US"/>
        </w:rPr>
        <w:t xml:space="preserve">114 and </w:t>
      </w:r>
      <w:r>
        <w:rPr>
          <w:rStyle w:val="Hyperlink.2"/>
          <w:lang w:val="en-US"/>
        </w:rPr>
        <w:fldChar w:fldCharType="begin" w:fldLock="0"/>
      </w:r>
      <w:r>
        <w:rPr>
          <w:rStyle w:val="Hyperlink.2"/>
          <w:lang w:val="en-US"/>
        </w:rPr>
        <w:instrText xml:space="preserve"> HYPERLINK "https://papyri.info/biblio/96763"</w:instrText>
      </w:r>
      <w:r>
        <w:rPr>
          <w:rStyle w:val="Hyperlink.2"/>
          <w:lang w:val="en-US"/>
        </w:rPr>
        <w:fldChar w:fldCharType="separate" w:fldLock="0"/>
      </w:r>
      <w:r>
        <w:rPr>
          <w:rStyle w:val="Hyperlink.2"/>
          <w:rtl w:val="0"/>
          <w:lang w:val="en-US"/>
        </w:rPr>
        <w:t>Cobb 2023</w:t>
      </w:r>
      <w:r>
        <w:rPr/>
        <w:fldChar w:fldCharType="end" w:fldLock="0"/>
      </w:r>
      <w:r>
        <w:rPr>
          <w:rtl w:val="0"/>
          <w:lang w:val="en-US"/>
        </w:rPr>
        <w:t>: 125.</w:t>
      </w:r>
    </w:p>
  </w:footnote>
  <w:footnote w:id="21">
    <w:p>
      <w:pPr>
        <w:pStyle w:val="footnote text"/>
      </w:pPr>
      <w:r>
        <w:rPr>
          <w:vertAlign w:val="superscript"/>
        </w:rPr>
        <w:footnoteRef/>
      </w:r>
      <w:r>
        <w:rPr>
          <w:rFonts w:cs="Arial Unicode MS" w:eastAsia="Arial Unicode MS"/>
          <w:rtl w:val="0"/>
          <w:lang w:val="en-US"/>
        </w:rPr>
        <w:t xml:space="preserve"> For the idea that the preferred sea route in this period led over Clysma and other harbors in the north, see Nappo 2007: 238</w:t>
      </w:r>
      <w:r>
        <w:rPr>
          <w:rFonts w:cs="Arial Unicode MS" w:eastAsia="Arial Unicode MS" w:hint="default"/>
          <w:rtl w:val="0"/>
          <w:lang w:val="en-US"/>
        </w:rPr>
        <w:t>–</w:t>
      </w:r>
      <w:r>
        <w:rPr>
          <w:rFonts w:cs="Arial Unicode MS" w:eastAsia="Arial Unicode MS"/>
          <w:rtl w:val="0"/>
          <w:lang w:val="en-US"/>
        </w:rPr>
        <w:t>239.</w:t>
      </w:r>
    </w:p>
  </w:footnote>
  <w:footnote w:id="22">
    <w:p>
      <w:pPr>
        <w:pStyle w:val="footnote text"/>
      </w:pPr>
      <w:r>
        <w:rPr>
          <w:vertAlign w:val="superscript"/>
        </w:rPr>
        <w:footnoteRef/>
      </w:r>
      <w:r>
        <w:rPr>
          <w:rFonts w:cs="Arial Unicode MS" w:eastAsia="Arial Unicode MS"/>
          <w:rtl w:val="0"/>
          <w:lang w:val="en-US"/>
        </w:rPr>
        <w:t xml:space="preserve"> Accounts in the </w:t>
      </w:r>
      <w:r>
        <w:rPr>
          <w:rFonts w:cs="Arial Unicode MS" w:eastAsia="Arial Unicode MS"/>
          <w:i w:val="1"/>
          <w:iCs w:val="1"/>
          <w:rtl w:val="0"/>
          <w:lang w:val="en-US"/>
        </w:rPr>
        <w:t xml:space="preserve">Historia Augusta </w:t>
      </w:r>
      <w:r>
        <w:rPr>
          <w:rFonts w:cs="Arial Unicode MS" w:eastAsia="Arial Unicode MS"/>
          <w:rtl w:val="0"/>
          <w:lang w:val="en-US"/>
        </w:rPr>
        <w:t>(Probus</w:t>
      </w:r>
      <w:r>
        <w:rPr>
          <w:rFonts w:cs="Arial Unicode MS" w:eastAsia="Arial Unicode MS"/>
          <w:i w:val="1"/>
          <w:iCs w:val="1"/>
          <w:rtl w:val="0"/>
          <w:lang w:val="en-US"/>
        </w:rPr>
        <w:t xml:space="preserve"> </w:t>
      </w:r>
      <w:r>
        <w:rPr>
          <w:rFonts w:cs="Arial Unicode MS" w:eastAsia="Arial Unicode MS"/>
          <w:rtl w:val="0"/>
          <w:lang w:val="en-US"/>
        </w:rPr>
        <w:t>17.2</w:t>
      </w:r>
      <w:r>
        <w:rPr>
          <w:rFonts w:cs="Arial Unicode MS" w:eastAsia="Arial Unicode MS" w:hint="default"/>
          <w:rtl w:val="0"/>
          <w:lang w:val="en-US"/>
        </w:rPr>
        <w:t>–</w:t>
      </w:r>
      <w:r>
        <w:rPr>
          <w:rFonts w:cs="Arial Unicode MS" w:eastAsia="Arial Unicode MS"/>
          <w:rtl w:val="0"/>
          <w:lang w:val="en-US"/>
        </w:rPr>
        <w:t xml:space="preserve">3 [ed. Hohl] = </w:t>
      </w:r>
      <w:r>
        <w:rPr>
          <w:rFonts w:cs="Arial Unicode MS" w:eastAsia="Arial Unicode MS"/>
          <w:i w:val="1"/>
          <w:iCs w:val="1"/>
          <w:rtl w:val="0"/>
          <w:lang w:val="en-US"/>
        </w:rPr>
        <w:t xml:space="preserve">FHN </w:t>
      </w:r>
      <w:r>
        <w:rPr>
          <w:rFonts w:cs="Arial Unicode MS" w:eastAsia="Arial Unicode MS"/>
          <w:rtl w:val="0"/>
          <w:lang w:val="en-US"/>
        </w:rPr>
        <w:t xml:space="preserve">3.284) and Zosimus (1.71.1 = </w:t>
      </w:r>
      <w:r>
        <w:rPr>
          <w:rFonts w:cs="Arial Unicode MS" w:eastAsia="Arial Unicode MS"/>
          <w:i w:val="1"/>
          <w:iCs w:val="1"/>
          <w:rtl w:val="0"/>
          <w:lang w:val="en-US"/>
        </w:rPr>
        <w:t xml:space="preserve">FHN </w:t>
      </w:r>
      <w:r>
        <w:rPr>
          <w:rFonts w:cs="Arial Unicode MS" w:eastAsia="Arial Unicode MS"/>
          <w:rtl w:val="0"/>
          <w:lang w:val="en-US"/>
        </w:rPr>
        <w:t>3.323) of Probus</w:t>
      </w:r>
      <w:r>
        <w:rPr>
          <w:rFonts w:cs="Arial Unicode MS" w:eastAsia="Arial Unicode MS" w:hint="default"/>
          <w:rtl w:val="0"/>
          <w:lang w:val="en-US"/>
        </w:rPr>
        <w:t>’</w:t>
      </w:r>
      <w:r>
        <w:rPr>
          <w:rFonts w:cs="Arial Unicode MS" w:eastAsia="Arial Unicode MS"/>
          <w:rtl w:val="0"/>
          <w:lang w:val="en-US"/>
        </w:rPr>
        <w:t xml:space="preserve">s suppression of the Blemmyes, which led to the liberation of Coptos and Ptolemais, are well known. They differ with each other in detail, and attempts have been made to reconcile them, but, overall, Zosimus is regarded as the more reliable source; see </w:t>
      </w:r>
      <w:r>
        <w:rPr>
          <w:rStyle w:val="Hyperlink.0"/>
        </w:rPr>
        <w:fldChar w:fldCharType="begin" w:fldLock="0"/>
      </w:r>
      <w:r>
        <w:rPr>
          <w:rStyle w:val="Hyperlink.0"/>
        </w:rPr>
        <w:instrText xml:space="preserve"> HYPERLINK "https://papyri.info/biblio/96766"</w:instrText>
      </w:r>
      <w:r>
        <w:rPr>
          <w:rStyle w:val="Hyperlink.0"/>
        </w:rPr>
        <w:fldChar w:fldCharType="separate" w:fldLock="0"/>
      </w:r>
      <w:r>
        <w:rPr>
          <w:rStyle w:val="Hyperlink.0"/>
          <w:rFonts w:cs="Arial Unicode MS" w:eastAsia="Arial Unicode MS"/>
          <w:rtl w:val="0"/>
        </w:rPr>
        <w:t>Kerler 1970</w:t>
      </w:r>
      <w:r>
        <w:rPr/>
        <w:fldChar w:fldCharType="end" w:fldLock="0"/>
      </w:r>
      <w:r>
        <w:rPr>
          <w:rFonts w:cs="Arial Unicode MS" w:eastAsia="Arial Unicode MS"/>
          <w:rtl w:val="0"/>
          <w:lang w:val="en-US"/>
        </w:rPr>
        <w:t>: 253</w:t>
      </w:r>
      <w:r>
        <w:rPr>
          <w:rFonts w:cs="Arial Unicode MS" w:eastAsia="Arial Unicode MS" w:hint="default"/>
          <w:rtl w:val="0"/>
          <w:lang w:val="en-US"/>
        </w:rPr>
        <w:t>–</w:t>
      </w:r>
      <w:r>
        <w:rPr>
          <w:rFonts w:cs="Arial Unicode MS" w:eastAsia="Arial Unicode MS"/>
          <w:rtl w:val="0"/>
          <w:lang w:val="en-US"/>
        </w:rPr>
        <w:t xml:space="preserve">254; so, too, </w:t>
      </w:r>
      <w:r>
        <w:rPr>
          <w:rFonts w:cs="Arial Unicode MS" w:eastAsia="Arial Unicode MS"/>
          <w:shd w:val="clear" w:color="auto" w:fill="ffff00"/>
          <w:rtl w:val="0"/>
          <w:lang w:val="en-US"/>
        </w:rPr>
        <w:t>Desanges 1978</w:t>
      </w:r>
      <w:r>
        <w:rPr>
          <w:rFonts w:cs="Arial Unicode MS" w:eastAsia="Arial Unicode MS"/>
          <w:rtl w:val="0"/>
          <w:lang w:val="en-US"/>
        </w:rPr>
        <w:t>: 343</w:t>
      </w:r>
      <w:r>
        <w:rPr>
          <w:rFonts w:cs="Arial Unicode MS" w:eastAsia="Arial Unicode MS" w:hint="default"/>
          <w:rtl w:val="0"/>
          <w:lang w:val="en-US"/>
        </w:rPr>
        <w:t>–</w:t>
      </w:r>
      <w:r>
        <w:rPr>
          <w:rFonts w:cs="Arial Unicode MS" w:eastAsia="Arial Unicode MS"/>
          <w:rtl w:val="0"/>
          <w:lang w:val="en-US"/>
        </w:rPr>
        <w:t xml:space="preserve">344 w. n. 227. For the revolts confronted by Galerius and Diocletian, see </w:t>
      </w:r>
      <w:r>
        <w:rPr>
          <w:rStyle w:val="Hyperlink.0"/>
        </w:rPr>
        <w:fldChar w:fldCharType="begin" w:fldLock="0"/>
      </w:r>
      <w:r>
        <w:rPr>
          <w:rStyle w:val="Hyperlink.0"/>
        </w:rPr>
        <w:instrText xml:space="preserve"> HYPERLINK "https://papyri.info/biblio/51199"</w:instrText>
      </w:r>
      <w:r>
        <w:rPr>
          <w:rStyle w:val="Hyperlink.0"/>
        </w:rPr>
        <w:fldChar w:fldCharType="separate" w:fldLock="0"/>
      </w:r>
      <w:r>
        <w:rPr>
          <w:rStyle w:val="Hyperlink.0"/>
          <w:rFonts w:cs="Arial Unicode MS" w:eastAsia="Arial Unicode MS"/>
          <w:rtl w:val="0"/>
        </w:rPr>
        <w:t>Barnes 1976</w:t>
      </w:r>
      <w:r>
        <w:rPr/>
        <w:fldChar w:fldCharType="end" w:fldLock="0"/>
      </w:r>
      <w:r>
        <w:rPr>
          <w:rFonts w:cs="Arial Unicode MS" w:eastAsia="Arial Unicode MS"/>
          <w:rtl w:val="0"/>
          <w:lang w:val="en-US"/>
        </w:rPr>
        <w:t>: 180</w:t>
      </w:r>
      <w:r>
        <w:rPr>
          <w:rFonts w:cs="Arial Unicode MS" w:eastAsia="Arial Unicode MS" w:hint="default"/>
          <w:rtl w:val="0"/>
          <w:lang w:val="en-US"/>
        </w:rPr>
        <w:t>–</w:t>
      </w:r>
      <w:r>
        <w:rPr>
          <w:rFonts w:cs="Arial Unicode MS" w:eastAsia="Arial Unicode MS"/>
          <w:rtl w:val="0"/>
          <w:lang w:val="en-US"/>
        </w:rPr>
        <w:t xml:space="preserve">182; </w:t>
      </w:r>
      <w:r>
        <w:rPr>
          <w:rStyle w:val="Hyperlink.0"/>
        </w:rPr>
        <w:fldChar w:fldCharType="begin" w:fldLock="0"/>
      </w:r>
      <w:r>
        <w:rPr>
          <w:rStyle w:val="Hyperlink.0"/>
        </w:rPr>
        <w:instrText xml:space="preserve"> HYPERLINK "https://papyri.info/biblio/51720"</w:instrText>
      </w:r>
      <w:r>
        <w:rPr>
          <w:rStyle w:val="Hyperlink.0"/>
        </w:rPr>
        <w:fldChar w:fldCharType="separate" w:fldLock="0"/>
      </w:r>
      <w:r>
        <w:rPr>
          <w:rStyle w:val="Hyperlink.0"/>
          <w:rFonts w:cs="Arial Unicode MS" w:eastAsia="Arial Unicode MS"/>
          <w:rtl w:val="0"/>
        </w:rPr>
        <w:t>Thomas 1976</w:t>
      </w:r>
      <w:r>
        <w:rPr/>
        <w:fldChar w:fldCharType="end" w:fldLock="0"/>
      </w:r>
      <w:r>
        <w:rPr>
          <w:rFonts w:cs="Arial Unicode MS" w:eastAsia="Arial Unicode MS"/>
          <w:rtl w:val="0"/>
          <w:lang w:val="en-US"/>
        </w:rPr>
        <w:t xml:space="preserve"> (on the date of the revolt of L. Domitius Domitianus); </w:t>
      </w:r>
      <w:r>
        <w:rPr>
          <w:rStyle w:val="Hyperlink.0"/>
        </w:rPr>
        <w:fldChar w:fldCharType="begin" w:fldLock="0"/>
      </w:r>
      <w:r>
        <w:rPr>
          <w:rStyle w:val="Hyperlink.0"/>
        </w:rPr>
        <w:instrText xml:space="preserve"> HYPERLINK "https://papyri.info/biblio/52377"</w:instrText>
      </w:r>
      <w:r>
        <w:rPr>
          <w:rStyle w:val="Hyperlink.0"/>
        </w:rPr>
        <w:fldChar w:fldCharType="separate" w:fldLock="0"/>
      </w:r>
      <w:r>
        <w:rPr>
          <w:rStyle w:val="Hyperlink.0"/>
          <w:rFonts w:cs="Arial Unicode MS" w:eastAsia="Arial Unicode MS"/>
          <w:rtl w:val="0"/>
        </w:rPr>
        <w:t>Bowman 1978</w:t>
      </w:r>
      <w:r>
        <w:rPr/>
        <w:fldChar w:fldCharType="end" w:fldLock="0"/>
      </w:r>
      <w:r>
        <w:rPr>
          <w:rFonts w:cs="Arial Unicode MS" w:eastAsia="Arial Unicode MS"/>
          <w:rtl w:val="0"/>
          <w:lang w:val="en-US"/>
        </w:rPr>
        <w:t>: 26</w:t>
      </w:r>
      <w:r>
        <w:rPr>
          <w:rFonts w:cs="Arial Unicode MS" w:eastAsia="Arial Unicode MS" w:hint="default"/>
          <w:rtl w:val="0"/>
          <w:lang w:val="en-US"/>
        </w:rPr>
        <w:t>–</w:t>
      </w:r>
      <w:r>
        <w:rPr>
          <w:rFonts w:cs="Arial Unicode MS" w:eastAsia="Arial Unicode MS"/>
          <w:rtl w:val="0"/>
          <w:lang w:val="en-US"/>
        </w:rPr>
        <w:t xml:space="preserve">28; </w:t>
      </w:r>
      <w:r>
        <w:rPr>
          <w:rStyle w:val="Hyperlink.0"/>
        </w:rPr>
        <w:fldChar w:fldCharType="begin" w:fldLock="0"/>
      </w:r>
      <w:r>
        <w:rPr>
          <w:rStyle w:val="Hyperlink.0"/>
        </w:rPr>
        <w:instrText xml:space="preserve"> HYPERLINK "https://papyri.info/biblio/71386"</w:instrText>
      </w:r>
      <w:r>
        <w:rPr>
          <w:rStyle w:val="Hyperlink.0"/>
        </w:rPr>
        <w:fldChar w:fldCharType="separate" w:fldLock="0"/>
      </w:r>
      <w:r>
        <w:rPr>
          <w:rStyle w:val="Hyperlink.0"/>
          <w:rFonts w:cs="Arial Unicode MS" w:eastAsia="Arial Unicode MS"/>
          <w:rtl w:val="0"/>
        </w:rPr>
        <w:t>Rathbone 2002</w:t>
      </w:r>
      <w:r>
        <w:rPr/>
        <w:fldChar w:fldCharType="end" w:fldLock="0"/>
      </w:r>
      <w:r>
        <w:rPr>
          <w:rFonts w:cs="Arial Unicode MS" w:eastAsia="Arial Unicode MS"/>
          <w:rtl w:val="0"/>
          <w:lang w:val="en-US"/>
        </w:rPr>
        <w:t xml:space="preserve">: 194. For extensive treatment of material evidence for the presence of Blemmyes in the Eastern Desert of Egypt in the third century, see the contributions by Cuvigny, Chaufray, Cooper and Gates-Foster in Cuvigny 2022; for discussion of papyrological evidence related to Blemmyes, see </w:t>
      </w:r>
      <w:r>
        <w:rPr>
          <w:rStyle w:val="Hyperlink.0"/>
        </w:rPr>
        <w:fldChar w:fldCharType="begin" w:fldLock="0"/>
      </w:r>
      <w:r>
        <w:rPr>
          <w:rStyle w:val="Hyperlink.0"/>
        </w:rPr>
        <w:instrText xml:space="preserve"> HYPERLINK "https://papyri.info/biblio/95999"</w:instrText>
      </w:r>
      <w:r>
        <w:rPr>
          <w:rStyle w:val="Hyperlink.0"/>
        </w:rPr>
        <w:fldChar w:fldCharType="separate" w:fldLock="0"/>
      </w:r>
      <w:r>
        <w:rPr>
          <w:rStyle w:val="Hyperlink.0"/>
          <w:rFonts w:cs="Arial Unicode MS" w:eastAsia="Arial Unicode MS"/>
          <w:rtl w:val="0"/>
        </w:rPr>
        <w:t>Cuvigny 2021</w:t>
      </w:r>
      <w:r>
        <w:rPr/>
        <w:fldChar w:fldCharType="end" w:fldLock="0"/>
      </w:r>
      <w:r>
        <w:rPr>
          <w:rFonts w:cs="Arial Unicode MS" w:eastAsia="Arial Unicode MS"/>
          <w:rtl w:val="0"/>
          <w:lang w:val="en-US"/>
        </w:rPr>
        <w:t>: 415</w:t>
      </w:r>
      <w:r>
        <w:rPr>
          <w:rFonts w:cs="Arial Unicode MS" w:eastAsia="Arial Unicode MS" w:hint="default"/>
          <w:rtl w:val="0"/>
          <w:lang w:val="en-US"/>
        </w:rPr>
        <w:t>–</w:t>
      </w:r>
      <w:r>
        <w:rPr>
          <w:rFonts w:cs="Arial Unicode MS" w:eastAsia="Arial Unicode MS"/>
          <w:rtl w:val="0"/>
          <w:lang w:val="en-US"/>
        </w:rPr>
        <w:t xml:space="preserve">437. </w:t>
      </w:r>
      <w:r>
        <w:rPr>
          <w:rStyle w:val="Hyperlink.0"/>
        </w:rPr>
        <w:fldChar w:fldCharType="begin" w:fldLock="0"/>
      </w:r>
      <w:r>
        <w:rPr>
          <w:rStyle w:val="Hyperlink.0"/>
        </w:rPr>
        <w:instrText xml:space="preserve"> HYPERLINK "https://papyri.info/biblio/88598"</w:instrText>
      </w:r>
      <w:r>
        <w:rPr>
          <w:rStyle w:val="Hyperlink.0"/>
        </w:rPr>
        <w:fldChar w:fldCharType="separate" w:fldLock="0"/>
      </w:r>
      <w:r>
        <w:rPr>
          <w:rStyle w:val="Hyperlink.0"/>
          <w:rFonts w:cs="Arial Unicode MS" w:eastAsia="Arial Unicode MS"/>
          <w:rtl w:val="0"/>
        </w:rPr>
        <w:t>N. Pollard 2013</w:t>
      </w:r>
      <w:r>
        <w:rPr/>
        <w:fldChar w:fldCharType="end" w:fldLock="0"/>
      </w:r>
      <w:r>
        <w:rPr>
          <w:rFonts w:cs="Arial Unicode MS" w:eastAsia="Arial Unicode MS"/>
          <w:rtl w:val="0"/>
          <w:lang w:val="en-US"/>
        </w:rPr>
        <w:t>: 3</w:t>
      </w:r>
      <w:r>
        <w:rPr>
          <w:rFonts w:cs="Arial Unicode MS" w:eastAsia="Arial Unicode MS" w:hint="default"/>
          <w:rtl w:val="0"/>
          <w:lang w:val="en-US"/>
        </w:rPr>
        <w:t>–</w:t>
      </w:r>
      <w:r>
        <w:rPr>
          <w:rFonts w:cs="Arial Unicode MS" w:eastAsia="Arial Unicode MS"/>
          <w:rtl w:val="0"/>
          <w:lang w:val="en-US"/>
        </w:rPr>
        <w:t>9, 33</w:t>
      </w:r>
      <w:r>
        <w:rPr>
          <w:rFonts w:cs="Arial Unicode MS" w:eastAsia="Arial Unicode MS" w:hint="default"/>
          <w:rtl w:val="0"/>
          <w:lang w:val="en-US"/>
        </w:rPr>
        <w:t>–</w:t>
      </w:r>
      <w:r>
        <w:rPr>
          <w:rFonts w:cs="Arial Unicode MS" w:eastAsia="Arial Unicode MS"/>
          <w:rtl w:val="0"/>
          <w:lang w:val="en-US"/>
        </w:rPr>
        <w:t>35 looks at the security situation of the late third and the fourth century, and at government measures (mainly Diocletian</w:t>
      </w:r>
      <w:r>
        <w:rPr>
          <w:rFonts w:cs="Arial Unicode MS" w:eastAsia="Arial Unicode MS" w:hint="default"/>
          <w:rtl w:val="0"/>
          <w:lang w:val="en-US"/>
        </w:rPr>
        <w:t>’</w:t>
      </w:r>
      <w:r>
        <w:rPr>
          <w:rFonts w:cs="Arial Unicode MS" w:eastAsia="Arial Unicode MS"/>
          <w:rtl w:val="0"/>
          <w:lang w:val="en-US"/>
        </w:rPr>
        <w:t>s) to strengthen it.</w:t>
      </w:r>
    </w:p>
  </w:footnote>
  <w:footnote w:id="23">
    <w:p>
      <w:pPr>
        <w:pStyle w:val="footnote text"/>
      </w:pPr>
      <w:r>
        <w:rPr>
          <w:vertAlign w:val="superscript"/>
        </w:rPr>
        <w:footnoteRef/>
      </w:r>
      <w:r>
        <w:rPr>
          <w:rFonts w:cs="Arial Unicode MS" w:eastAsia="Arial Unicode MS"/>
          <w:rtl w:val="0"/>
          <w:lang w:val="en-US"/>
        </w:rPr>
        <w:t xml:space="preserve"> The latest references to this prefect are confined to the first quarter of the third century. At Berenike, the latest is sometime after the transfer of the </w:t>
      </w:r>
      <w:r>
        <w:rPr>
          <w:rFonts w:cs="Arial Unicode MS" w:eastAsia="Arial Unicode MS"/>
          <w:i w:val="1"/>
          <w:iCs w:val="1"/>
          <w:rtl w:val="0"/>
          <w:lang w:val="en-US"/>
        </w:rPr>
        <w:t>ala Herculiana</w:t>
      </w:r>
      <w:r>
        <w:rPr>
          <w:rFonts w:cs="Arial Unicode MS" w:eastAsia="Arial Unicode MS"/>
          <w:rtl w:val="0"/>
          <w:lang w:val="en-US"/>
        </w:rPr>
        <w:t xml:space="preserve"> to Coptos in 183 (</w:t>
      </w:r>
      <w:r>
        <w:rPr>
          <w:rStyle w:val="Hyperlink.0"/>
        </w:rPr>
        <w:fldChar w:fldCharType="begin" w:fldLock="0"/>
      </w:r>
      <w:r>
        <w:rPr>
          <w:rStyle w:val="Hyperlink.0"/>
        </w:rPr>
        <w:instrText xml:space="preserve"> HYPERLINK "https://papyri.info/biblio/16616"</w:instrText>
      </w:r>
      <w:r>
        <w:rPr>
          <w:rStyle w:val="Hyperlink.0"/>
        </w:rPr>
        <w:fldChar w:fldCharType="separate" w:fldLock="0"/>
      </w:r>
      <w:r>
        <w:rPr>
          <w:rStyle w:val="Hyperlink.0"/>
          <w:rFonts w:cs="Arial Unicode MS" w:eastAsia="Arial Unicode MS"/>
          <w:rtl w:val="0"/>
        </w:rPr>
        <w:t>SEG 48</w:t>
      </w:r>
      <w:r>
        <w:rPr/>
        <w:fldChar w:fldCharType="end" w:fldLock="0"/>
      </w:r>
      <w:r>
        <w:rPr>
          <w:rFonts w:cs="Arial Unicode MS" w:eastAsia="Arial Unicode MS"/>
          <w:rtl w:val="0"/>
          <w:lang w:val="en-US"/>
        </w:rPr>
        <w:t xml:space="preserve"> 1977). Outside Berenike, on the road leading to Coptos, the last securely dated reference to the office is in 219; see </w:t>
      </w:r>
      <w:r>
        <w:rPr>
          <w:rStyle w:val="Hyperlink.0"/>
        </w:rPr>
        <w:fldChar w:fldCharType="begin" w:fldLock="0"/>
      </w:r>
      <w:r>
        <w:rPr>
          <w:rStyle w:val="Hyperlink.0"/>
        </w:rPr>
        <w:instrText xml:space="preserve"> HYPERLINK "https://papyri.info/biblio/95999"</w:instrText>
      </w:r>
      <w:r>
        <w:rPr>
          <w:rStyle w:val="Hyperlink.0"/>
        </w:rPr>
        <w:fldChar w:fldCharType="separate" w:fldLock="0"/>
      </w:r>
      <w:r>
        <w:rPr>
          <w:rStyle w:val="Hyperlink.0"/>
          <w:rFonts w:cs="Arial Unicode MS" w:eastAsia="Arial Unicode MS"/>
          <w:rtl w:val="0"/>
        </w:rPr>
        <w:t>Cuvigny 2021</w:t>
      </w:r>
      <w:r>
        <w:rPr/>
        <w:fldChar w:fldCharType="end" w:fldLock="0"/>
      </w:r>
      <w:r>
        <w:rPr>
          <w:rFonts w:cs="Arial Unicode MS" w:eastAsia="Arial Unicode MS"/>
          <w:rtl w:val="0"/>
          <w:lang w:val="en-US"/>
        </w:rPr>
        <w:t>: 104, 109, 127</w:t>
      </w:r>
      <w:r>
        <w:rPr>
          <w:rFonts w:cs="Arial Unicode MS" w:eastAsia="Arial Unicode MS" w:hint="default"/>
          <w:rtl w:val="0"/>
          <w:lang w:val="en-US"/>
        </w:rPr>
        <w:t>–</w:t>
      </w:r>
      <w:r>
        <w:rPr>
          <w:rFonts w:cs="Arial Unicode MS" w:eastAsia="Arial Unicode MS"/>
          <w:rtl w:val="0"/>
          <w:lang w:val="en-US"/>
        </w:rPr>
        <w:t>132. We cannot say if it persisted as late as the third quarter of the third century and existed at the time this dedication was made.</w:t>
      </w:r>
    </w:p>
  </w:footnote>
  <w:footnote w:id="24">
    <w:p>
      <w:pPr>
        <w:pStyle w:val="footnote text"/>
      </w:pPr>
      <w:r>
        <w:rPr>
          <w:vertAlign w:val="superscript"/>
        </w:rPr>
        <w:footnoteRef/>
      </w:r>
      <w:r>
        <w:rPr>
          <w:rFonts w:cs="Arial Unicode MS" w:eastAsia="Arial Unicode MS"/>
          <w:rtl w:val="0"/>
          <w:lang w:val="en-US"/>
        </w:rPr>
        <w:t xml:space="preserve"> We know that at least by the late fourth or early fifth century the Blemmyes were using their own regnal system to date inscriptions, which appears to have been </w:t>
      </w:r>
      <w:r>
        <w:rPr>
          <w:rFonts w:cs="Arial Unicode MS" w:eastAsia="Arial Unicode MS" w:hint="default"/>
          <w:rtl w:val="0"/>
          <w:lang w:val="en-US"/>
        </w:rPr>
        <w:t>‘</w:t>
      </w:r>
      <w:r>
        <w:rPr>
          <w:rFonts w:cs="Arial Unicode MS" w:eastAsia="Arial Unicode MS"/>
          <w:rtl w:val="0"/>
          <w:lang w:val="en-US"/>
        </w:rPr>
        <w:t>keyed</w:t>
      </w:r>
      <w:r>
        <w:rPr>
          <w:rFonts w:cs="Arial Unicode MS" w:eastAsia="Arial Unicode MS" w:hint="default"/>
          <w:rtl w:val="0"/>
          <w:lang w:val="en-US"/>
        </w:rPr>
        <w:t xml:space="preserve">’ </w:t>
      </w:r>
      <w:r>
        <w:rPr>
          <w:rFonts w:cs="Arial Unicode MS" w:eastAsia="Arial Unicode MS"/>
          <w:rtl w:val="0"/>
          <w:lang w:val="en-US"/>
        </w:rPr>
        <w:t>to Diocletianic eras. This is evidenced by an inscription from Berenike dated to the 10</w:t>
      </w:r>
      <w:r>
        <w:rPr>
          <w:rFonts w:cs="Arial Unicode MS" w:eastAsia="Arial Unicode MS"/>
          <w:vertAlign w:val="superscript"/>
          <w:rtl w:val="0"/>
          <w:lang w:val="en-US"/>
        </w:rPr>
        <w:t>th</w:t>
      </w:r>
      <w:r>
        <w:rPr>
          <w:rFonts w:cs="Arial Unicode MS" w:eastAsia="Arial Unicode MS"/>
          <w:rtl w:val="0"/>
          <w:lang w:val="en-US"/>
        </w:rPr>
        <w:t xml:space="preserve"> year of the Blemmye King Isemne; see </w:t>
      </w:r>
      <w:r>
        <w:rPr>
          <w:rStyle w:val="Hyperlink.0"/>
        </w:rPr>
        <w:fldChar w:fldCharType="begin" w:fldLock="0"/>
      </w:r>
      <w:r>
        <w:rPr>
          <w:rStyle w:val="Hyperlink.0"/>
        </w:rPr>
        <w:instrText xml:space="preserve"> HYPERLINK "https://papyri.info/biblio/95924"</w:instrText>
      </w:r>
      <w:r>
        <w:rPr>
          <w:rStyle w:val="Hyperlink.0"/>
        </w:rPr>
        <w:fldChar w:fldCharType="separate" w:fldLock="0"/>
      </w:r>
      <w:r>
        <w:rPr>
          <w:rStyle w:val="Hyperlink.0"/>
          <w:rFonts w:cs="Arial Unicode MS" w:eastAsia="Arial Unicode MS"/>
          <w:rtl w:val="0"/>
        </w:rPr>
        <w:t>Ast and R</w:t>
      </w:r>
      <w:r>
        <w:rPr>
          <w:rStyle w:val="Hyperlink.0"/>
          <w:rFonts w:cs="Arial Unicode MS" w:eastAsia="Arial Unicode MS" w:hint="default"/>
          <w:rtl w:val="0"/>
        </w:rPr>
        <w:t>ą</w:t>
      </w:r>
      <w:r>
        <w:rPr>
          <w:rStyle w:val="Hyperlink.0"/>
          <w:rFonts w:cs="Arial Unicode MS" w:eastAsia="Arial Unicode MS"/>
          <w:rtl w:val="0"/>
        </w:rPr>
        <w:t>dkowska 2020</w:t>
      </w:r>
      <w:r>
        <w:rPr/>
        <w:fldChar w:fldCharType="end" w:fldLock="0"/>
      </w:r>
      <w:r>
        <w:rPr>
          <w:rFonts w:cs="Arial Unicode MS" w:eastAsia="Arial Unicode MS"/>
          <w:rtl w:val="0"/>
          <w:lang w:val="en-US"/>
        </w:rPr>
        <w:t>.</w:t>
      </w:r>
    </w:p>
  </w:footnote>
  <w:footnote w:id="25">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"https://papyri.info/biblio/71386"</w:instrText>
      </w:r>
      <w:r>
        <w:rPr>
          <w:rStyle w:val="Hyperlink.0"/>
        </w:rPr>
        <w:fldChar w:fldCharType="separate" w:fldLock="0"/>
      </w:r>
      <w:r>
        <w:rPr>
          <w:rStyle w:val="Hyperlink.0"/>
          <w:rFonts w:cs="Arial Unicode MS" w:eastAsia="Arial Unicode MS"/>
          <w:rtl w:val="0"/>
        </w:rPr>
        <w:t>Rathbone 2002</w:t>
      </w:r>
      <w:r>
        <w:rPr/>
        <w:fldChar w:fldCharType="end" w:fldLock="0"/>
      </w:r>
      <w:r>
        <w:rPr>
          <w:rFonts w:cs="Arial Unicode MS" w:eastAsia="Arial Unicode MS"/>
          <w:rtl w:val="0"/>
          <w:lang w:val="en-US"/>
        </w:rPr>
        <w:t>: 195</w:t>
      </w:r>
      <w:r>
        <w:rPr>
          <w:rFonts w:cs="Arial Unicode MS" w:eastAsia="Arial Unicode MS" w:hint="default"/>
          <w:rtl w:val="0"/>
          <w:lang w:val="en-US"/>
        </w:rPr>
        <w:t>–</w:t>
      </w:r>
      <w:r>
        <w:rPr>
          <w:rFonts w:cs="Arial Unicode MS" w:eastAsia="Arial Unicode MS"/>
          <w:rtl w:val="0"/>
          <w:lang w:val="en-US"/>
        </w:rPr>
        <w:t>196.</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Standard">
    <w:name w:val="Standard"/>
    <w:next w:val="Standard"/>
    <w:pPr>
      <w:keepNext w:val="0"/>
      <w:keepLines w:val="0"/>
      <w:pageBreakBefore w:val="0"/>
      <w:widowControl w:val="1"/>
      <w:shd w:val="clear" w:color="auto" w:fill="auto"/>
      <w:suppressAutoHyphens w:val="1"/>
      <w:bidi w:val="0"/>
      <w:spacing w:before="0" w:after="160" w:line="254"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character" w:styleId="Hyperlink.1">
    <w:name w:val="Hyperlink.1"/>
    <w:basedOn w:val="Hyperlink.0"/>
    <w:next w:val="Hyperlink.1"/>
    <w:rPr>
      <w:rFonts w:ascii="IFAO-Grec Unicode" w:cs="IFAO-Grec Unicode" w:hAnsi="IFAO-Grec Unicode" w:eastAsia="IFAO-Grec Unicode"/>
    </w:rPr>
  </w:style>
  <w:style w:type="character" w:styleId="Hyperlink.2">
    <w:name w:val="Hyperlink.2"/>
    <w:basedOn w:val="Hyperlink.0"/>
    <w:next w:val="Hyperlink.2"/>
    <w:rPr>
      <w:lang w:val="en-US"/>
    </w:rPr>
  </w:style>
  <w:style w:type="character" w:styleId="Hyperlink.3">
    <w:name w:val="Hyperlink.3"/>
    <w:basedOn w:val="Hyperlink.0"/>
    <w:next w:val="Hyperlink.3"/>
    <w:rPr>
      <w:lang w:val="fr-FR"/>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Codex">
    <w:name w:val="Codex"/>
    <w:next w:val="Codex"/>
    <w:pPr>
      <w:keepNext w:val="0"/>
      <w:keepLines w:val="0"/>
      <w:pageBreakBefore w:val="0"/>
      <w:widowControl w:val="1"/>
      <w:shd w:val="clear" w:color="auto" w:fill="auto"/>
      <w:tabs>
        <w:tab w:val="left" w:pos="720"/>
      </w:tabs>
      <w:suppressAutoHyphens w:val="0"/>
      <w:bidi w:val="0"/>
      <w:spacing w:before="0" w:after="0" w:line="360" w:lineRule="atLeast"/>
      <w:ind w:left="0" w:right="0" w:firstLine="0"/>
      <w:jc w:val="left"/>
      <w:outlineLvl w:val="9"/>
    </w:pP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