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#articleTitle</w:t>
      </w:r>
    </w:p>
    <w:p>
      <w:pPr>
        <w:pStyle w:val="Body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 Document in the Bodleian Addressed to the Governor of Arcadia</w:t>
      </w:r>
      <w:r>
        <w:rPr>
          <w:vertAlign w:val="superscript"/>
        </w:rPr>
        <w:footnoteReference w:id="1"/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#author</w:t>
      </w:r>
    </w:p>
    <w:p>
      <w:pPr>
        <w:pStyle w:val="Body"/>
        <w:spacing w:line="276" w:lineRule="auto"/>
        <w:jc w:val="both"/>
      </w:pPr>
      <w:r>
        <w:rPr>
          <w:rtl w:val="0"/>
          <w:lang w:val="fr-FR"/>
        </w:rPr>
        <w:t>Benaissa</w:t>
      </w:r>
      <w:r>
        <w:rPr>
          <w:rtl w:val="0"/>
          <w:lang w:val="de-DE"/>
        </w:rPr>
        <w:t>, Amin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#affiliation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University of Oxford</w:t>
      </w:r>
    </w:p>
    <w:p>
      <w:pPr>
        <w:pStyle w:val="Body"/>
        <w:spacing w:line="276" w:lineRule="auto"/>
        <w:jc w:val="both"/>
      </w:pPr>
      <w:r>
        <w:rPr>
          <w:rtl w:val="0"/>
          <w:lang w:val="de-DE"/>
        </w:rPr>
        <w:t>#email</w:t>
      </w:r>
    </w:p>
    <w:p>
      <w:pPr>
        <w:pStyle w:val="Body"/>
        <w:spacing w:line="276" w:lineRule="auto"/>
        <w:jc w:val="both"/>
      </w:pPr>
      <w:r>
        <w:rPr>
          <w:rtl w:val="0"/>
          <w:lang w:val="it-IT"/>
        </w:rPr>
        <w:t>amin.benaissa@classics.ox.ac.uk</w:t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#editionDDB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#introduction</w:t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upper left-hand corner of a document preserving the beginnings of 16 lines, with </w:t>
      </w:r>
      <w:r>
        <w:rPr>
          <w:rtl w:val="0"/>
          <w:lang w:val="en-US"/>
        </w:rPr>
        <w:t xml:space="preserve">intact </w:t>
      </w:r>
      <w:r>
        <w:rPr>
          <w:rtl w:val="0"/>
          <w:lang w:val="en-US"/>
        </w:rPr>
        <w:t>upper (1.5 cm) and left-hand (c. 1.2 cm) margins. A smaller detached fragment with traces of five lines cannot be placed. The writing runs along the fibres. The back is covered by a sheet within the glass frame and is presumably blank.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document is addressed by Aurelia Apia, apparently an inhabitant of the village of Ankyron in the Heracleopolite nome, to the office of the governor of Arcadia. It mentions a previous petition to the same authority, a priest, her husband Victor, and a previous judgement. In its phraseology, the body of the document recalls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"http://papyri.info/ddbdp/p.haun%3B3%3B57"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P.Haun. 3 57</w:t>
      </w:r>
      <w:r>
        <w:rPr/>
        <w:fldChar w:fldCharType="end" w:fldLock="0"/>
      </w:r>
      <w:r>
        <w:rPr>
          <w:rtl w:val="0"/>
          <w:lang w:val="en-US"/>
        </w:rPr>
        <w:t xml:space="preserve"> (412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15?), which is of uncertain provenance but relates to the same province. It is an out-of-court settlement (</w:t>
      </w:r>
      <w:r>
        <w:rPr>
          <w:rFonts w:ascii="IFAO-Grec Unicode" w:hAnsi="IFAO-Grec Unicode" w:hint="default"/>
          <w:rtl w:val="0"/>
          <w:lang w:val="en-US"/>
        </w:rPr>
        <w:t>δι</w:t>
      </w:r>
      <w:r>
        <w:rPr>
          <w:rFonts w:ascii="IFAO-Grec Unicode" w:hAnsi="IFAO-Grec Unicode" w:hint="default"/>
          <w:rtl w:val="0"/>
        </w:rPr>
        <w:t>άλυσις</w:t>
      </w:r>
      <w:r>
        <w:rPr>
          <w:rtl w:val="0"/>
          <w:lang w:val="en-US"/>
        </w:rPr>
        <w:t xml:space="preserve">) of a dispute between a </w:t>
      </w:r>
      <w:r>
        <w:rPr>
          <w:i w:val="1"/>
          <w:iCs w:val="1"/>
          <w:rtl w:val="0"/>
          <w:lang w:val="en-US"/>
        </w:rPr>
        <w:t xml:space="preserve">princeps officii </w:t>
      </w:r>
      <w:r>
        <w:rPr>
          <w:rtl w:val="0"/>
          <w:lang w:val="en-US"/>
        </w:rPr>
        <w:t xml:space="preserve">and a former governor of Arcadia. It opens with a similar reference to a previous petition by the former against the latter submitted to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>: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 xml:space="preserve">ἐπειδὴ ἐγὼ ὁ Κύριλλος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ἐνέτυ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χ̣ον τῇ ἐξουσίᾳ τοῦ κυρίου μου τοῦ μεγαλοπρ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επεστάτου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ἐπάρχου Αὐγουσταλί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tl w:val="0"/>
          <w:lang w:val="en-US"/>
        </w:rPr>
        <w:t>(3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4); cf. 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below. Furthermore, it uses an identical phrase to refer to the initial decision by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 xml:space="preserve">: </w:t>
      </w:r>
      <w:r>
        <w:rPr>
          <w:rFonts w:ascii="IFAO-Grec Unicode" w:hAnsi="IFAO-Grec Unicode" w:hint="default"/>
          <w:rtl w:val="0"/>
          <w:lang w:val="en-US"/>
        </w:rPr>
        <w:t>ἀποφάσεως δὲ ἐξενεχθείσης</w:t>
      </w:r>
      <w:r>
        <w:rPr>
          <w:rtl w:val="0"/>
          <w:lang w:val="en-US"/>
        </w:rPr>
        <w:t xml:space="preserve"> (7); cf. 10 below. A crucial difference is that P.Haun. 57 is concluded between the settling parties and is not addressed to the prefect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or current governor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office. It is assumed, however, that the prefect would have been subsequently informed of the settlement, perhaps in a document like ours.</w:t>
      </w:r>
      <w:r>
        <w:rPr>
          <w:vertAlign w:val="superscript"/>
          <w:lang w:val="en-US"/>
        </w:rPr>
        <w:footnoteReference w:id="2"/>
      </w:r>
      <w:r>
        <w:rPr>
          <w:rtl w:val="0"/>
          <w:lang w:val="en-US"/>
        </w:rPr>
        <w:t xml:space="preserve"> There are, in fact, three other papyri addressed more specifically</w:t>
      </w:r>
      <w:r>
        <w:rPr>
          <w:rFonts w:ascii="IFAO-Grec Unicode" w:hAnsi="IFAO-Grec Unicode"/>
          <w:rtl w:val="0"/>
          <w:lang w:val="en-US"/>
        </w:rPr>
        <w:t xml:space="preserve"> t</w:t>
      </w:r>
      <w:r>
        <w:rPr>
          <w:rtl w:val="0"/>
          <w:lang w:val="en-US"/>
        </w:rPr>
        <w:t>o the bureau (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άξις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of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 xml:space="preserve">of the governor which may </w:t>
      </w:r>
      <w:r>
        <w:rPr>
          <w:rtl w:val="0"/>
          <w:lang w:val="en-US"/>
        </w:rPr>
        <w:t xml:space="preserve">be cited as </w:t>
      </w:r>
      <w:r>
        <w:rPr>
          <w:rtl w:val="0"/>
        </w:rPr>
        <w:t>parallels.</w:t>
      </w:r>
      <w:r>
        <w:rPr>
          <w:vertAlign w:val="superscript"/>
        </w:rPr>
        <w:footnoteReference w:id="3"/>
      </w:r>
      <w:r>
        <w:rPr>
          <w:rtl w:val="0"/>
          <w:lang w:val="en-US"/>
        </w:rPr>
        <w:t xml:space="preserve"> One group is formed of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 (427)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 (454, Oxyrhynchus?), both labelled </w:t>
      </w:r>
      <w:r>
        <w:rPr>
          <w:rFonts w:ascii="IFAO-Grec Unicode" w:hAnsi="IFAO-Grec Unicode" w:hint="default"/>
          <w:rtl w:val="0"/>
          <w:lang w:val="en-US"/>
        </w:rPr>
        <w:t>διαλ</w:t>
      </w:r>
      <w:r>
        <w:rPr>
          <w:rFonts w:ascii="IFAO-Grec Unicode" w:hAnsi="IFAO-Grec Unicode" w:hint="default"/>
          <w:rtl w:val="0"/>
        </w:rPr>
        <w:t>ύσεις</w:t>
      </w:r>
      <w:r>
        <w:rPr>
          <w:rtl w:val="0"/>
          <w:lang w:val="en-US"/>
        </w:rPr>
        <w:t xml:space="preserve">, which inform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>of the petitioner</w:t>
      </w:r>
      <w:r>
        <w:rPr>
          <w:rtl w:val="1"/>
        </w:rPr>
        <w:t>’</w:t>
      </w:r>
      <w:r>
        <w:rPr>
          <w:rtl w:val="0"/>
          <w:lang w:val="en-US"/>
        </w:rPr>
        <w:t xml:space="preserve">s abandonment of legal proceedings against the defendant; the other is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 (427), which declares the defendant</w:t>
      </w:r>
      <w:r>
        <w:rPr>
          <w:rtl w:val="1"/>
        </w:rPr>
        <w:t>’</w:t>
      </w:r>
      <w:r>
        <w:rPr>
          <w:rtl w:val="0"/>
          <w:lang w:val="en-US"/>
        </w:rPr>
        <w:t>s intention to appear in court and refute the petitioner</w:t>
      </w:r>
      <w:r>
        <w:rPr>
          <w:rtl w:val="1"/>
        </w:rPr>
        <w:t>’</w:t>
      </w:r>
      <w:r>
        <w:rPr>
          <w:rtl w:val="0"/>
          <w:lang w:val="en-US"/>
        </w:rPr>
        <w:t>s claims (</w:t>
      </w:r>
      <w:r>
        <w:rPr>
          <w:rFonts w:ascii="IFAO-Grec Unicode" w:hAnsi="IFAO-Grec Unicode" w:hint="default"/>
          <w:rtl w:val="0"/>
        </w:rPr>
        <w:t>ἀντίρρησις</w:t>
      </w:r>
      <w:r>
        <w:rPr>
          <w:rtl w:val="0"/>
          <w:lang w:val="en-US"/>
        </w:rPr>
        <w:t>). These documents similarly begin with a reference to the claimant</w:t>
      </w:r>
      <w:r>
        <w:rPr>
          <w:rtl w:val="1"/>
        </w:rPr>
        <w:t>’</w:t>
      </w:r>
      <w:r>
        <w:rPr>
          <w:rtl w:val="0"/>
          <w:lang w:val="en-US"/>
        </w:rPr>
        <w:t>s previous petition to the governor,</w:t>
      </w:r>
      <w:r>
        <w:rPr>
          <w:vertAlign w:val="superscript"/>
        </w:rPr>
        <w:footnoteReference w:id="4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1881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"http://papyri.info/ddbdp/psi%3B10%3B1114"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also mention the governor</w:t>
      </w:r>
      <w:r>
        <w:rPr>
          <w:rtl w:val="1"/>
        </w:rPr>
        <w:t>’</w:t>
      </w:r>
      <w:r>
        <w:rPr>
          <w:rtl w:val="0"/>
          <w:lang w:val="en-US"/>
        </w:rPr>
        <w:t>s initial decision in a genitive absolute phrase.</w:t>
      </w:r>
      <w:r>
        <w:rPr>
          <w:vertAlign w:val="superscript"/>
        </w:rPr>
        <w:footnoteReference w:id="5"/>
      </w:r>
      <w:r>
        <w:rPr>
          <w:rtl w:val="0"/>
          <w:lang w:val="en-US"/>
        </w:rPr>
        <w:t xml:space="preserve"> The Bodleian papyrus therefore probably notifies the governor</w:t>
      </w:r>
      <w:r>
        <w:rPr>
          <w:rtl w:val="1"/>
        </w:rPr>
        <w:t>’</w:t>
      </w:r>
      <w:r>
        <w:rPr>
          <w:rtl w:val="0"/>
          <w:lang w:val="en-US"/>
        </w:rPr>
        <w:t xml:space="preserve">s office either </w:t>
      </w:r>
      <w:r>
        <w:rPr>
          <w:rtl w:val="0"/>
          <w:lang w:val="en-US"/>
        </w:rPr>
        <w:t>of Apia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settlement with the defendant </w:t>
      </w:r>
      <w:r>
        <w:rPr>
          <w:rtl w:val="0"/>
          <w:lang w:val="en-US"/>
        </w:rPr>
        <w:t>or of her intention to proceed to a new stage of the judicial procedure.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subject of Apia</w:t>
      </w:r>
      <w:r>
        <w:rPr>
          <w:rtl w:val="1"/>
        </w:rPr>
        <w:t>’</w:t>
      </w:r>
      <w:r>
        <w:rPr>
          <w:rtl w:val="0"/>
          <w:lang w:val="en-US"/>
        </w:rPr>
        <w:t>s original complaint is uncertain. She was probably a widow (cf. 8</w:t>
      </w:r>
      <w:r>
        <w:rPr>
          <w:rtl w:val="0"/>
        </w:rPr>
        <w:t>–</w:t>
      </w:r>
      <w:r>
        <w:rPr>
          <w:rtl w:val="0"/>
        </w:rPr>
        <w:t xml:space="preserve">9 n.).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Bagnall (2004)</w:t>
      </w:r>
      <w:r>
        <w:rPr/>
        <w:fldChar w:fldCharType="end" w:fldLock="0"/>
      </w:r>
      <w:r>
        <w:rPr>
          <w:rtl w:val="0"/>
          <w:lang w:val="en-US"/>
        </w:rPr>
        <w:t xml:space="preserve"> has noted that both the frequency and range of women</w:t>
      </w:r>
      <w:r>
        <w:rPr>
          <w:rtl w:val="1"/>
        </w:rPr>
        <w:t>’</w:t>
      </w:r>
      <w:r>
        <w:rPr>
          <w:rtl w:val="0"/>
          <w:lang w:val="en-US"/>
        </w:rPr>
        <w:t>s engagement in litigation drop sharply after the fourth century, and that almost all women</w:t>
      </w:r>
      <w:r>
        <w:rPr>
          <w:rtl w:val="1"/>
        </w:rPr>
        <w:t>’</w:t>
      </w:r>
      <w:r>
        <w:rPr>
          <w:rtl w:val="0"/>
          <w:lang w:val="en-US"/>
        </w:rPr>
        <w:t xml:space="preserve">s petitions from this period involve either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 woman without a husband or a woman litigating with her husband.</w:t>
      </w:r>
      <w:r>
        <w:rPr>
          <w:rtl w:val="0"/>
        </w:rPr>
        <w:t>”</w:t>
      </w:r>
      <w:r>
        <w:rPr>
          <w:vertAlign w:val="superscript"/>
        </w:rPr>
        <w:footnoteReference w:id="6"/>
      </w:r>
      <w:r>
        <w:rPr>
          <w:rtl w:val="0"/>
          <w:lang w:val="en-US"/>
        </w:rPr>
        <w:t xml:space="preserve"> Women</w:t>
      </w:r>
      <w:r>
        <w:rPr>
          <w:rtl w:val="1"/>
        </w:rPr>
        <w:t>’</w:t>
      </w:r>
      <w:r>
        <w:rPr>
          <w:rtl w:val="0"/>
          <w:lang w:val="en-US"/>
        </w:rPr>
        <w:t>s petitions to governors or Augustal prefects also become rare in this period.</w:t>
      </w:r>
      <w:r>
        <w:rPr>
          <w:vertAlign w:val="superscript"/>
        </w:rPr>
        <w:footnoteReference w:id="7"/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document must postdate the creation of the province of Arcadia sometime between 386 and 398.</w:t>
      </w:r>
      <w:r>
        <w:rPr>
          <w:vertAlign w:val="superscript"/>
        </w:rPr>
        <w:footnoteReference w:id="8"/>
      </w:r>
      <w:r>
        <w:rPr>
          <w:rtl w:val="0"/>
          <w:lang w:val="en-US"/>
        </w:rPr>
        <w:t xml:space="preserve"> The hand is in the so-called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Heracleopolite style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suggests a date not much later than the middle of the fifth century; cf. e.g.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"http://papyri.info/ddbdp/cpr%3B10%3B38"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10 38</w:t>
      </w:r>
      <w:r>
        <w:rPr/>
        <w:fldChar w:fldCharType="end" w:fldLock="0"/>
      </w:r>
      <w:r>
        <w:rPr>
          <w:rtl w:val="0"/>
          <w:lang w:val="en-US"/>
        </w:rPr>
        <w:t xml:space="preserve"> (420, Heracleopolis),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"http://papyri.info/ddbdp/stud.pal%3B20%3B123r"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SPP 20 123r</w:t>
      </w:r>
      <w:r>
        <w:rPr/>
        <w:fldChar w:fldCharType="end" w:fldLock="0"/>
      </w:r>
      <w:r>
        <w:rPr>
          <w:rtl w:val="0"/>
          <w:lang w:val="en-US"/>
        </w:rPr>
        <w:t xml:space="preserve"> (445, Heracleopolis; BL 7.263). Characteristic features include epsilon in the shape of two superimposed curves, alpha with a narrow nose, and avoidance of latinate deltas and h-shaped etas.</w:t>
      </w:r>
      <w:r>
        <w:rPr>
          <w:vertAlign w:val="superscript"/>
        </w:rPr>
        <w:footnoteReference w:id="9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According to the Bodleian</w:t>
      </w:r>
      <w:r>
        <w:rPr>
          <w:rtl w:val="1"/>
        </w:rPr>
        <w:t>’</w:t>
      </w:r>
      <w:r>
        <w:rPr>
          <w:rtl w:val="0"/>
          <w:lang w:val="en-US"/>
        </w:rPr>
        <w:t xml:space="preserve">s handlist of papyri, the papyrus was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[r]eceived in exchange from the British Museum, 1896,</w:t>
      </w:r>
      <w:r>
        <w:rPr>
          <w:rtl w:val="0"/>
        </w:rPr>
        <w:t xml:space="preserve">” </w:t>
      </w:r>
      <w:r>
        <w:rPr>
          <w:rtl w:val="0"/>
          <w:lang w:val="en-US"/>
        </w:rPr>
        <w:t>but there are no further details about its provenance and prior acquisition history.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rtl w:val="0"/>
        </w:rPr>
      </w:pPr>
      <w:r>
        <w:rPr>
          <w:rFonts w:ascii="IFAO-Grec Unicode" w:hAnsi="IFAO-Grec Unicode"/>
          <w:rtl w:val="0"/>
          <w:lang w:val="de-DE"/>
        </w:rPr>
        <w:t>#metadata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Located: Place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Herakleopolites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height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11.3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width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7.5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Material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Papyrus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TM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HGV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ddb-filename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pylon.4.10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ddb-hybrid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pylon;4;10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Descriptive title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spacing w:line="276" w:lineRule="auto"/>
            </w:pPr>
            <w:r>
              <w:rPr>
                <w:rtl w:val="0"/>
                <w:lang w:val="en-US"/>
              </w:rPr>
              <w:t>A Document in the Bodleian Addressed to the Governor of Arcadia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Date of text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1. H</w:t>
            </w:r>
            <w:r>
              <w:rPr>
                <w:rFonts w:ascii="IFAO-Grec Unicode" w:hAnsi="IFAO-Grec Unicode" w:hint="default"/>
                <w:sz w:val="24"/>
                <w:szCs w:val="24"/>
                <w:rtl w:val="0"/>
              </w:rPr>
              <w:t>ä</w:t>
            </w:r>
            <w:r>
              <w:rPr>
                <w:rFonts w:ascii="IFAO-Grec Unicode" w:hAnsi="IFAO-Grec Unicode"/>
                <w:sz w:val="24"/>
                <w:szCs w:val="24"/>
                <w:rtl w:val="0"/>
              </w:rPr>
              <w:t>lfte V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Inventory no.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MS. Gr. class. f. 64 (P)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Images: online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  <w:rFonts w:ascii="IFAO-Grec Unicode" w:cs="IFAO-Grec Unicode" w:hAnsi="IFAO-Grec Unicode" w:eastAsia="IFAO-Grec Unicode"/>
                <w:outline w:val="0"/>
                <w:color w:val="0563c1"/>
                <w:sz w:val="24"/>
                <w:szCs w:val="24"/>
                <w:u w:val="single" w:color="0563c1"/>
                <w:rtl w:val="0"/>
                <w14:textFill>
                  <w14:noFill/>
                </w14:textFill>
              </w:rPr>
              <w:fldChar w:fldCharType="begin" w:fldLock="0"/>
            </w:r>
            <w:r>
              <w:rPr>
                <w:rStyle w:val="Hyperlink.2"/>
                <w:rFonts w:ascii="IFAO-Grec Unicode" w:cs="IFAO-Grec Unicode" w:hAnsi="IFAO-Grec Unicode" w:eastAsia="IFAO-Grec Unicode"/>
                <w:outline w:val="0"/>
                <w:color w:val="0563c1"/>
                <w:sz w:val="24"/>
                <w:szCs w:val="24"/>
                <w:u w:val="single" w:color="0563c1"/>
                <w:rtl w:val="0"/>
                <w14:textFill>
                  <w14:noFill/>
                </w14:textFill>
              </w:rPr>
              <w:instrText xml:space="preserve"> HYPERLINK "https://digital.bodleian.ox.ac.uk/objects/860776f8-d472-4f2d-ba26-882cf83f619f/"</w:instrText>
            </w:r>
            <w:r>
              <w:rPr>
                <w:rStyle w:val="Hyperlink.2"/>
                <w:rFonts w:ascii="IFAO-Grec Unicode" w:cs="IFAO-Grec Unicode" w:hAnsi="IFAO-Grec Unicode" w:eastAsia="IFAO-Grec Unicode"/>
                <w:outline w:val="0"/>
                <w:color w:val="0563c1"/>
                <w:sz w:val="24"/>
                <w:szCs w:val="24"/>
                <w:u w:val="single" w:color="0563c1"/>
                <w:rtl w:val="0"/>
                <w14:textFill>
                  <w14:noFill/>
                </w14:textFill>
              </w:rPr>
              <w:fldChar w:fldCharType="separate" w:fldLock="0"/>
            </w:r>
            <w:r>
              <w:rPr>
                <w:rStyle w:val="Hyperlink.2"/>
                <w:rFonts w:ascii="IFAO-Grec Unicode" w:hAnsi="IFAO-Grec Unicode"/>
                <w:outline w:val="0"/>
                <w:color w:val="0563c1"/>
                <w:sz w:val="24"/>
                <w:szCs w:val="24"/>
                <w:u w:val="single" w:color="0563c1"/>
                <w:rtl w:val="0"/>
                <w:lang w:val="pt-PT"/>
                <w14:textFill>
                  <w14:noFill/>
                </w14:textFill>
              </w:rPr>
              <w:t>https://digital.bodleian.ox.ac.uk/objects/860776f8-d472-4f2d-ba26-882cf83f619f/</w:t>
            </w:r>
            <w:r>
              <w:rPr>
                <w:rFonts w:ascii="IFAO-Grec Unicode" w:cs="IFAO-Grec Unicode" w:hAnsi="IFAO-Grec Unicode" w:eastAsia="IFAO-Grec Unicode"/>
                <w:outline w:val="0"/>
                <w:color w:val="0000ee"/>
                <w:sz w:val="24"/>
                <w:szCs w:val="24"/>
                <w:u w:val="single"/>
                <w:rtl w:val="0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Brief, Aurelia Apia an NN, Eingabe, Urteil, Priester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00"/>
        <w:gridCol w:w="3000"/>
        <w:gridCol w:w="300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both"/>
            </w:pPr>
            <w:r>
              <w:rPr>
                <w:rtl w:val="0"/>
                <w:lang w:val="pt-PT"/>
              </w:rPr>
              <w:t>MS. Gr. class. f. 64 (P)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tl w:val="0"/>
              </w:rPr>
              <w:t xml:space="preserve">7.5 (w) </w:t>
            </w:r>
            <w:r>
              <w:rPr>
                <w:rtl w:val="0"/>
              </w:rPr>
              <w:t xml:space="preserve">× </w:t>
            </w:r>
            <w:r>
              <w:rPr>
                <w:rtl w:val="0"/>
              </w:rPr>
              <w:t>11.3 (h</w:t>
            </w:r>
            <w:r>
              <w:rPr>
                <w:rtl w:val="0"/>
                <w:lang w:val="de-DE"/>
              </w:rPr>
              <w:t>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First half of fifth century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it-IT"/>
              </w:rPr>
              <w:t>Heracleopolite nome</w:t>
            </w:r>
          </w:p>
        </w:tc>
      </w:tr>
    </w:tbl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ind w:firstLine="720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ind w:firstLine="720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#text</w:t>
      </w:r>
    </w:p>
    <w:p>
      <w:pPr>
        <w:pStyle w:val="Body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&lt;S=.grc&lt;=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 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2.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 xml:space="preserve">ας </w:t>
      </w:r>
      <w:r>
        <w:rPr>
          <w:rFonts w:ascii="IFAO-Grec Unicode" w:hAnsi="IFAO-Grec Unicode"/>
          <w:rtl w:val="0"/>
          <w:lang w:val="zh-TW" w:eastAsia="zh-TW"/>
        </w:rPr>
        <w:t>[vac.?</w:t>
      </w:r>
      <w:r>
        <w:rPr>
          <w:rFonts w:ascii="IFAO-Grec Unicode" w:hAnsi="IFAO-Grec Unicode"/>
          <w:rtl w:val="0"/>
          <w:lang w:val="en-US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3. </w:t>
      </w:r>
      <w:r>
        <w:rPr>
          <w:rFonts w:ascii="IFAO-Grec Unicode" w:hAnsi="IFAO-Grec Unicode" w:hint="default"/>
          <w:rtl w:val="0"/>
          <w:lang w:val="en-US"/>
        </w:rPr>
        <w:t>παρ</w:t>
      </w:r>
      <w:r>
        <w:rPr>
          <w:rFonts w:ascii="IFAO-Grec Unicode" w:hAnsi="IFAO-Grec Unicode" w:hint="default"/>
          <w:rtl w:val="0"/>
        </w:rPr>
        <w:t>ὰ</w:t>
      </w:r>
      <w:r>
        <w:rPr>
          <w:rFonts w:ascii="IFAO-Grec Unicode" w:hAnsi="IFAO-Grec Unicode" w:hint="default"/>
          <w:rtl w:val="0"/>
          <w:lang w:val="en-US"/>
        </w:rPr>
        <w:t xml:space="preserve">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ρηλ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π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θυγ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ατρ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4.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Fonts w:ascii="IFAO-Grec Unicode" w:hAnsi="IFAO-Grec Unicode"/>
          <w:rtl w:val="0"/>
          <w:lang w:val="pt-PT"/>
        </w:rPr>
        <w:t xml:space="preserve">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πειδ</w:t>
      </w:r>
      <w:r>
        <w:rPr>
          <w:rFonts w:ascii="IFAO-Grec Unicode" w:hAnsi="IFAO-Grec Unicode" w:hint="default"/>
          <w:rtl w:val="0"/>
        </w:rPr>
        <w:t>ὴ ἐ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τυχον τ</w:t>
      </w:r>
      <w:r>
        <w:rPr>
          <w:rFonts w:ascii="IFAO-Grec Unicode" w:hAnsi="IFAO-Grec Unicode" w:hint="default"/>
          <w:rtl w:val="0"/>
        </w:rPr>
        <w:t>ῇ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ᾳ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</w:rPr>
        <w:t>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6.- 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 w:hint="default"/>
          <w:rtl w:val="0"/>
        </w:rPr>
        <w:t>ΐου</w:t>
      </w:r>
      <w:r>
        <w:rPr>
          <w:rFonts w:ascii="IFAO-Grec Unicode" w:hAnsi="IFAO-Grec Unicode"/>
          <w:rtl w:val="0"/>
          <w:lang w:val="en-US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7. </w:t>
      </w:r>
      <w:r>
        <w:rPr>
          <w:rFonts w:ascii="IFAO-Grec Unicode" w:hAnsi="IFAO-Grec Unicode" w:hint="default"/>
          <w:rtl w:val="0"/>
        </w:rPr>
        <w:t>Ἄρωνος</w:t>
      </w:r>
      <w:r>
        <w:rPr>
          <w:rFonts w:ascii="IFAO-Grec Unicode" w:hAnsi="IFAO-Grec Unicode" w:hint="default"/>
          <w:rtl w:val="0"/>
          <w:lang w:val="en-US"/>
        </w:rPr>
        <w:t xml:space="preserve"> Πα</w:t>
      </w:r>
      <w:r>
        <w:rPr>
          <w:rFonts w:ascii="IFAO-Grec Unicode" w:hAnsi="IFAO-Grec Unicode" w:hint="default"/>
          <w:rtl w:val="0"/>
        </w:rPr>
        <w:t>ύ</w:t>
      </w:r>
      <w:r>
        <w:rPr>
          <w:rFonts w:ascii="IFAO-Grec Unicode" w:hAnsi="IFAO-Grec Unicode" w:hint="default"/>
          <w:rtl w:val="0"/>
          <w:lang w:val="en-US"/>
        </w:rPr>
        <w:t>λου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πρ̣εσβυτ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ρου</w:t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8.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πρε</w:t>
      </w:r>
      <w:r>
        <w:rPr>
          <w:rFonts w:ascii="IFAO-Grec Unicode" w:hAnsi="IFAO-Grec Unicode"/>
          <w:rtl w:val="0"/>
          <w:lang w:val="pt-PT"/>
        </w:rPr>
        <w:t>[ca.30]</w:t>
        <w:tab/>
        <w:tab/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9. 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en-US"/>
        </w:rPr>
        <w:t>&lt;: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  <w:lang w:val="en-US"/>
        </w:rPr>
        <w:t>(?)|reg|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  <w:lang w:val="en-US"/>
        </w:rPr>
        <w:t xml:space="preserve">:&gt;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 Ο</w:t>
      </w:r>
      <w:r>
        <w:rPr>
          <w:rFonts w:ascii="IFAO-Grec Unicode" w:hAnsi="IFAO-Grec Unicode" w:hint="default"/>
          <w:rtl w:val="0"/>
        </w:rPr>
        <w:t>ὐ 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</w:rPr>
        <w:t>¨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 w:hint="default"/>
          <w:rtl w:val="0"/>
          <w:lang w:val="en-US"/>
        </w:rPr>
        <w:t>κτορο̣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10.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ποφ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σεως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ξενεχθε̣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ίσης</w:t>
        <w:tab/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11. </w:t>
      </w:r>
      <w:r>
        <w:rPr>
          <w:rFonts w:ascii="IFAO-Grec Unicode" w:hAnsi="IFAO-Grec Unicode" w:hint="default"/>
          <w:rtl w:val="0"/>
          <w:lang w:val="en-US"/>
        </w:rPr>
        <w:t>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ν χωρηγ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σαι π̣</w:t>
      </w:r>
      <w:r>
        <w:rPr>
          <w:rFonts w:ascii="IFAO-Grec Unicode" w:hAnsi="IFAO-Grec Unicode"/>
          <w:rtl w:val="0"/>
          <w:lang w:val="pt-PT"/>
        </w:rPr>
        <w:t>[ca.34]</w:t>
      </w:r>
    </w:p>
    <w:p>
      <w:pPr>
        <w:pStyle w:val="Body"/>
        <w:spacing w:line="276" w:lineRule="auto"/>
        <w:jc w:val="both"/>
        <w:rPr>
          <w:i w:val="1"/>
          <w:iCs w:val="1"/>
        </w:rPr>
      </w:pPr>
      <w:r>
        <w:rPr>
          <w:rFonts w:ascii="IFAO-Grec Unicode" w:hAnsi="IFAO-Grec Unicode"/>
          <w:rtl w:val="0"/>
          <w:lang w:val="pt-PT"/>
        </w:rPr>
        <w:t>12. [.2].2[.1].1</w:t>
      </w:r>
      <w:r>
        <w:rPr>
          <w:rFonts w:ascii="IFAO-Grec Unicode" w:hAnsi="IFAO-Grec Unicode" w:hint="default"/>
          <w:rtl w:val="0"/>
          <w:lang w:val="en-US"/>
        </w:rPr>
        <w:t>ου Φ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ιβ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μμ̣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ων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tl w:val="0"/>
          <w:lang w:val="en-US"/>
        </w:rPr>
        <w:t>12. 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=&gt;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&lt;D=.2.fragment&lt;=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1. [.?].1[.1].1[.?]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2. [.?][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εταγμ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3. [.?]</w:t>
      </w:r>
      <w:r>
        <w:rPr>
          <w:rFonts w:ascii="IFAO-Grec Unicode" w:hAnsi="IFAO-Grec Unicode" w:hint="default"/>
          <w:rtl w:val="0"/>
          <w:lang w:val="en-US"/>
        </w:rPr>
        <w:t>αλεστ</w:t>
      </w:r>
      <w:r>
        <w:rPr>
          <w:rFonts w:ascii="IFAO-Grec Unicode" w:hAnsi="IFAO-Grec Unicode"/>
          <w:rtl w:val="0"/>
          <w:lang w:val="zh-TW" w:eastAsia="zh-TW"/>
        </w:rPr>
        <w:t>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4. [.?] [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π̣</w:t>
      </w:r>
      <w:r>
        <w:rPr>
          <w:rFonts w:ascii="IFAO-Grec Unicode" w:hAnsi="IFAO-Grec Unicode" w:hint="default"/>
          <w:rtl w:val="0"/>
        </w:rPr>
        <w:t>ὸ ὁ</w:t>
      </w:r>
      <w:r>
        <w:rPr>
          <w:rFonts w:ascii="IFAO-Grec Unicode" w:hAnsi="IFAO-Grec Unicode" w:hint="default"/>
          <w:rtl w:val="0"/>
          <w:lang w:val="en-US"/>
        </w:rPr>
        <w:t>μο̣λ̣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ογ</w:t>
      </w:r>
      <w:r>
        <w:rPr>
          <w:rFonts w:ascii="IFAO-Grec Unicode" w:hAnsi="IFAO-Grec Unicode" w:hint="default"/>
          <w:rtl w:val="0"/>
        </w:rPr>
        <w:t>ίας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5. [.?].1[.?]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en-US"/>
        </w:rPr>
        <w:t>=&gt;=D&gt;</w:t>
        <w:tab/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de-DE"/>
          <w14:textFill>
            <w14:solidFill>
              <w14:srgbClr w14:val="D9D9D9"/>
            </w14:solidFill>
          </w14:textFill>
        </w:rPr>
        <w:t>#translation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&lt;T=.en&lt;=</w:t>
      </w:r>
    </w:p>
    <w:p>
      <w:pPr>
        <w:pStyle w:val="Body"/>
        <w:spacing w:line="276" w:lineRule="auto"/>
        <w:jc w:val="both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 xml:space="preserve">To the office of his Highness [my lord the governor] of the province of Arcadia, from Aurelia Apia daughter [of N.N. from the village of Ankyron (?)] of the Heracleopolite household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Since I petitioned his Highness [my lord the governor] of the province of Arcadia, Flavius [N.N., </w:t>
      </w:r>
      <w:r>
        <w:rPr>
          <w:i w:val="1"/>
          <w:iCs w:val="1"/>
          <w:rtl w:val="0"/>
          <w:lang w:val="it-IT"/>
        </w:rPr>
        <w:t>vir clarissimus</w:t>
      </w:r>
      <w:r>
        <w:rPr>
          <w:rtl w:val="0"/>
          <w:lang w:val="pt-PT"/>
        </w:rPr>
        <w:t xml:space="preserve">,]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Aron son of Paulus, priest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from/of the said Ankyron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my late (?) husband Victor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the judgement having been declared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that he provide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Phoebammon </w:t>
      </w:r>
      <w:r>
        <w:rPr>
          <w:rtl w:val="0"/>
        </w:rPr>
        <w:t>…”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=&gt;=T&gt;</w:t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#commentary</w:t>
      </w: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1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</w:t>
      </w:r>
      <w:r>
        <w:rPr>
          <w:rtl w:val="0"/>
          <w:lang w:val="en-US"/>
        </w:rPr>
        <w:t xml:space="preserve">. Unlike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,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cited in the introduction, our document is broadly addressed to the </w:t>
      </w:r>
      <w:r>
        <w:rPr>
          <w:i w:val="1"/>
          <w:iCs w:val="1"/>
          <w:rtl w:val="0"/>
          <w:lang w:val="it-IT"/>
        </w:rPr>
        <w:t xml:space="preserve">officium </w:t>
      </w:r>
      <w:r>
        <w:rPr>
          <w:rtl w:val="0"/>
          <w:lang w:val="en-US"/>
        </w:rPr>
        <w:t xml:space="preserve">of the governor, without specifying an individual addressee within it. Compare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"http://papyri.info/ddbdp/bgu%3B3%3B936"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BGU 3 936</w:t>
      </w:r>
      <w:r>
        <w:rPr/>
        <w:fldChar w:fldCharType="end" w:fldLock="0"/>
      </w:r>
      <w:r>
        <w:rPr>
          <w:rtl w:val="0"/>
          <w:lang w:val="en-US"/>
        </w:rPr>
        <w:t xml:space="preserve"> (426, Oxyrhynchus), a surety addressed 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ῇ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τάξι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τῆς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ἐξουσίας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κυρίω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μεγαλοπρεπεστάτου   ̣  ̣  ̣  ̣ος ἐπαρχίας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ρκαδίας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Φλαουίω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Ἀριστονίκου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Ἀλεξάνδρου</w:t>
      </w:r>
      <w:r>
        <w:rPr>
          <w:rtl w:val="0"/>
        </w:rPr>
        <w:t xml:space="preserve"> (3</w:t>
      </w:r>
      <w:r>
        <w:rPr>
          <w:rtl w:val="0"/>
        </w:rPr>
        <w:t>–</w:t>
      </w:r>
      <w:r>
        <w:rPr>
          <w:rtl w:val="0"/>
        </w:rPr>
        <w:t>4).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</w:rPr>
        <w:t>1</w:t>
      </w:r>
      <w:r>
        <w:rPr>
          <w:rtl w:val="0"/>
        </w:rPr>
        <w:t>–</w:t>
      </w: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 xml:space="preserve">]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For a list of known governors of Arcadia in the fifth century, see F. Mitthof, CPR 23 32.1 n. </w:t>
      </w:r>
      <w:r>
        <w:rPr>
          <w:rFonts w:ascii="IFAO-Grec Unicode" w:hAnsi="IFAO-Grec Unicode" w:hint="default"/>
          <w:rtl w:val="0"/>
          <w:lang w:val="en-US"/>
        </w:rPr>
        <w:t>λαμπρ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en-US"/>
        </w:rPr>
        <w:t>τος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 xml:space="preserve">is the expected epithet for a </w:t>
      </w:r>
      <w:r>
        <w:rPr>
          <w:i w:val="1"/>
          <w:iCs w:val="1"/>
          <w:rtl w:val="0"/>
          <w:lang w:val="pt-PT"/>
        </w:rPr>
        <w:t xml:space="preserve">praeses Arcadiae </w:t>
      </w:r>
      <w:r>
        <w:rPr>
          <w:rtl w:val="0"/>
          <w:lang w:val="en-US"/>
        </w:rPr>
        <w:t>at this date; see B. Palme, CPR 24 17.2</w:t>
      </w:r>
      <w:r>
        <w:rPr>
          <w:rtl w:val="0"/>
        </w:rPr>
        <w:t>–</w:t>
      </w:r>
      <w:r>
        <w:rPr>
          <w:rtl w:val="0"/>
        </w:rPr>
        <w:t xml:space="preserve">3 n. </w:t>
      </w:r>
      <w:r>
        <w:rPr>
          <w:rtl w:val="0"/>
          <w:lang w:val="en-US"/>
        </w:rPr>
        <w:t xml:space="preserve">The cap of the final sigma of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 is extravagantly extended over 2 cm, which suggests that nothing else is written in this line.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This nomenclature of the province is typical of the late fourth and fifth centuries before it was replaced by </w:t>
      </w:r>
      <w:r>
        <w:rPr>
          <w:rFonts w:ascii="IFAO-Grec Unicode" w:hAnsi="IFAO-Grec Unicode" w:hint="default"/>
          <w:rtl w:val="0"/>
        </w:rPr>
        <w:t>Ἀρκάδων ἐπαρχία</w:t>
      </w:r>
      <w:r>
        <w:rPr>
          <w:rtl w:val="0"/>
          <w:lang w:val="en-US"/>
        </w:rPr>
        <w:t xml:space="preserve"> in </w:t>
      </w:r>
      <w:r>
        <w:rPr>
          <w:rtl w:val="0"/>
          <w:lang w:val="en-US"/>
        </w:rPr>
        <w:t>the sixth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Palme (1997)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Benaissa (2007)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4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I have not found other instances of </w:t>
      </w:r>
      <w:r>
        <w:rPr>
          <w:i w:val="1"/>
          <w:iCs w:val="1"/>
          <w:rtl w:val="0"/>
          <w:lang w:val="en-US"/>
        </w:rPr>
        <w:t>nome adjective</w:t>
      </w:r>
      <w:r>
        <w:rPr>
          <w:rtl w:val="0"/>
          <w:lang w:val="en-US"/>
        </w:rPr>
        <w:t xml:space="preserve"> +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In connection with a nome,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ought to designate a large estate (cf. </w:t>
      </w:r>
      <w:r>
        <w:rPr>
          <w:i w:val="1"/>
          <w:iCs w:val="1"/>
          <w:rtl w:val="0"/>
          <w:lang w:val="en-US"/>
        </w:rPr>
        <w:t xml:space="preserve">WB </w:t>
      </w:r>
      <w:r>
        <w:rPr>
          <w:rtl w:val="0"/>
          <w:lang w:val="en-US"/>
        </w:rPr>
        <w:t xml:space="preserve">s.v., nos. 6, 7) that presumably also included areas in other nomes. The reference here is most likely to the </w:t>
      </w:r>
      <w:r>
        <w:rPr>
          <w:i w:val="1"/>
          <w:iCs w:val="1"/>
          <w:rtl w:val="0"/>
          <w:lang w:val="en-US"/>
        </w:rPr>
        <w:t>domus divina</w:t>
      </w:r>
      <w:r>
        <w:rPr>
          <w:rtl w:val="0"/>
          <w:lang w:val="en-US"/>
        </w:rPr>
        <w:t xml:space="preserve">, i.e. the imperial estates, though in the fifth century the usual designation is 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θειοτ</w:t>
      </w:r>
      <w:r>
        <w:rPr>
          <w:rFonts w:ascii="IFAO-Grec Unicode" w:hAnsi="IFAO-Grec Unicode" w:hint="default"/>
          <w:rtl w:val="0"/>
        </w:rPr>
        <w:t>άτη</w:t>
      </w:r>
      <w:r>
        <w:rPr>
          <w:rFonts w:ascii="IFAO-Grec Unicode" w:hAnsi="IFAO-Grec Unicode"/>
          <w:rtl w:val="0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οἰκία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Azzarello (2012)</w:t>
      </w:r>
      <w:r>
        <w:rPr/>
        <w:fldChar w:fldCharType="end" w:fldLock="0"/>
      </w:r>
      <w:r>
        <w:rPr>
          <w:rtl w:val="0"/>
          <w:lang w:val="en-US"/>
        </w:rPr>
        <w:t xml:space="preserve"> 6. The terms, however, were later interchangeable. For the </w:t>
      </w:r>
      <w:r>
        <w:rPr>
          <w:i w:val="1"/>
          <w:iCs w:val="1"/>
          <w:rtl w:val="0"/>
          <w:lang w:val="en-US"/>
        </w:rPr>
        <w:t xml:space="preserve">domus divina </w:t>
      </w:r>
      <w:r>
        <w:rPr>
          <w:rtl w:val="0"/>
          <w:lang w:val="en-US"/>
        </w:rPr>
        <w:t xml:space="preserve">in the Heracleopolite nome, cf.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"http://papyri.info/ddbdp/cpr%3B5%3B18"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5 18</w:t>
      </w:r>
      <w:r>
        <w:rPr/>
        <w:fldChar w:fldCharType="end" w:fldLock="0"/>
      </w:r>
      <w:r>
        <w:rPr>
          <w:rtl w:val="0"/>
          <w:lang w:val="en-US"/>
        </w:rPr>
        <w:t xml:space="preserve"> (538(?), Heracleopolis), relating to the estate of Theodora, wife of the emperor Justinian, and referring more generally to </w:t>
      </w:r>
      <w:r>
        <w:rPr>
          <w:rFonts w:ascii="IFAO-Grec Unicode" w:hAnsi="IFAO-Grec Unicode" w:hint="default"/>
          <w:rtl w:val="0"/>
          <w:lang w:val="en-US"/>
        </w:rPr>
        <w:t>τῶν ὑπὸ τὴν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Ἡρακλέους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κτημάτων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διαφερόντων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τῷ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θειοτάτῳ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οἴκῳ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6, 7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8). Since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 xml:space="preserve"> in line 8 implies that the village was previously mentioned, it is tempting to restore </w:t>
      </w:r>
      <w:r>
        <w:rPr>
          <w:rFonts w:ascii="IFAO-Grec Unicode" w:hAnsi="IFAO-Grec Unicode" w:hint="default"/>
          <w:rtl w:val="0"/>
        </w:rPr>
        <w:t xml:space="preserve">ἀπὸ 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</w:rPr>
        <w:t>ώμης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 xml:space="preserve">vel sim. </w:t>
      </w:r>
      <w:r>
        <w:rPr>
          <w:rtl w:val="0"/>
          <w:lang w:val="en-US"/>
        </w:rPr>
        <w:t>at the end of line 3. This would imply that the village was wholly part of the imperial domains in this period.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7 </w:t>
      </w:r>
      <w:r>
        <w:rPr>
          <w:rFonts w:ascii="IFAO-Grec Unicode" w:hAnsi="IFAO-Grec Unicode" w:hint="default"/>
          <w:rtl w:val="0"/>
        </w:rPr>
        <w:t>Ἄρωνος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"http://www.trismegistos.org/name/8275"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Nam 8275</w:t>
      </w:r>
      <w:r>
        <w:rPr/>
        <w:fldChar w:fldCharType="end" w:fldLock="0"/>
      </w:r>
      <w:r>
        <w:rPr>
          <w:rtl w:val="0"/>
          <w:lang w:val="en-US"/>
        </w:rPr>
        <w:t>. There do not seem to be any viable alternative names with such a termination in this period.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>. This is one of the latest papyrological instances of this Heracleopolite village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"http://www.trismegistos.org/place/182"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Geo 182</w:t>
      </w:r>
      <w:r>
        <w:rPr/>
        <w:fldChar w:fldCharType="end" w:fldLock="0"/>
      </w:r>
      <w:r>
        <w:rPr>
          <w:rtl w:val="0"/>
          <w:lang w:val="en-US"/>
        </w:rPr>
        <w:t xml:space="preserve">) along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"http://papyri.info/ddbdp/p.rain.cent%3B%3B101"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P.Rain.Cent. 101</w:t>
      </w:r>
      <w:r>
        <w:rPr/>
        <w:fldChar w:fldCharType="end" w:fldLock="0"/>
      </w:r>
      <w:r>
        <w:rPr>
          <w:rtl w:val="0"/>
          <w:lang w:val="en-US"/>
        </w:rPr>
        <w:t>.10 (457).</w:t>
      </w:r>
      <w:r>
        <w:rPr>
          <w:vertAlign w:val="superscript"/>
          <w:lang w:val="en-US"/>
        </w:rPr>
        <w:footnoteReference w:id="10"/>
      </w:r>
      <w:r>
        <w:rPr>
          <w:rtl w:val="0"/>
          <w:lang w:val="en-US"/>
        </w:rPr>
        <w:t xml:space="preserve"> SPP 3 453.2 (7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/8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cent.) should be excised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Falivene (1998)</w:t>
      </w:r>
      <w:r>
        <w:rPr/>
        <w:fldChar w:fldCharType="end" w:fldLock="0"/>
      </w:r>
      <w:r>
        <w:rPr>
          <w:rtl w:val="0"/>
          <w:lang w:val="en-US"/>
        </w:rPr>
        <w:t xml:space="preserve"> 41: see the re-edition of this text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"http://papyri.info/ddbdp/stud.pal%3B3%3B453"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SPP 3 2.5 453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 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 xml:space="preserve">: e.g.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ἀπο</w:t>
      </w:r>
      <w:r>
        <w:rPr>
          <w:rFonts w:ascii="IFAO-Grec Unicode" w:hAnsi="IFAO-Grec Unicode" w:hint="default"/>
          <w:rtl w:val="0"/>
          <w:lang w:val="en-US"/>
        </w:rPr>
        <w:t>γενο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l</w:t>
      </w:r>
      <w:r>
        <w:rPr>
          <w:rtl w:val="0"/>
          <w:lang w:val="en-US"/>
        </w:rPr>
        <w:t xml:space="preserve">.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tl w:val="0"/>
          <w:lang w:val="en-US"/>
        </w:rPr>
        <w:t>)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>, which would imply that Apia is a widow. For the confusion of</w:t>
      </w:r>
      <w:r>
        <w:rPr>
          <w:rFonts w:ascii="IFAO-Grec Unicode" w:hAnsi="IFAO-Grec Unicode"/>
          <w:rtl w:val="0"/>
          <w:lang w:val="en-US"/>
        </w:rPr>
        <w:t xml:space="preserve"> dative and genitive pronouns in the papyri</w:t>
      </w:r>
      <w:r>
        <w:rPr>
          <w:rtl w:val="0"/>
          <w:lang w:val="en-US"/>
        </w:rPr>
        <w:t>, see Stolk (2015) and Stolk (2017) 185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187, 190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194.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3 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αλεστ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 xml:space="preserve">: probably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 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αλὲς 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>. The trace before the break, a short upright (</w:t>
      </w:r>
      <w:r>
        <w:rPr>
          <w:rFonts w:ascii="IFAO-Grec Unicode" w:hAnsi="IFAO-Grec Unicode" w:hint="default"/>
          <w:rtl w:val="0"/>
          <w:lang w:val="en-US"/>
        </w:rPr>
        <w:t>η</w:t>
      </w:r>
      <w:r>
        <w:rPr>
          <w:rtl w:val="0"/>
          <w:lang w:val="en-US"/>
        </w:rPr>
        <w:t xml:space="preserve">?), excludes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ρ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 xml:space="preserve"> or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τ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#bibliography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"https://papyri.info/biblio/84497"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it-IT"/>
        </w:rPr>
        <w:t>Azzarello, G.</w:t>
      </w:r>
      <w:r>
        <w:rPr/>
        <w:fldChar w:fldCharType="end" w:fldLock="0"/>
      </w:r>
      <w:r>
        <w:rPr>
          <w:rtl w:val="0"/>
        </w:rPr>
        <w:t xml:space="preserve"> (2012</w:t>
      </w:r>
      <w:r>
        <w:rPr>
          <w:i w:val="1"/>
          <w:iCs w:val="1"/>
          <w:rtl w:val="0"/>
          <w:lang w:val="it-IT"/>
        </w:rPr>
        <w:t xml:space="preserve">). Il dossier della </w:t>
      </w:r>
      <w:r>
        <w:rPr>
          <w:i w:val="1"/>
          <w:iCs w:val="1"/>
          <w:rtl w:val="1"/>
        </w:rPr>
        <w:t>‘</w:t>
      </w:r>
      <w:r>
        <w:rPr>
          <w:i w:val="1"/>
          <w:iCs w:val="1"/>
          <w:rtl w:val="0"/>
          <w:lang w:val="it-IT"/>
        </w:rPr>
        <w:t>Domus divina</w:t>
      </w:r>
      <w:r>
        <w:rPr>
          <w:i w:val="1"/>
          <w:iCs w:val="1"/>
          <w:rtl w:val="1"/>
        </w:rPr>
        <w:t xml:space="preserve">’ </w:t>
      </w:r>
      <w:r>
        <w:rPr>
          <w:i w:val="1"/>
          <w:iCs w:val="1"/>
          <w:rtl w:val="0"/>
          <w:lang w:val="it-IT"/>
        </w:rPr>
        <w:t>in Egitto</w:t>
      </w:r>
      <w:r>
        <w:rPr>
          <w:rtl w:val="0"/>
          <w:lang w:val="de-DE"/>
        </w:rPr>
        <w:t>. Berlin</w:t>
      </w:r>
      <w:r>
        <w:rPr>
          <w:rtl w:val="0"/>
        </w:rPr>
        <w:t>–</w:t>
      </w:r>
      <w:r>
        <w:rPr>
          <w:rtl w:val="0"/>
          <w:lang w:val="en-US"/>
        </w:rPr>
        <w:t>Boston.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"https://doi.org/10.1515/9783110247190"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https://doi.org/10.1515/9783110247190</w:t>
      </w:r>
      <w:r>
        <w:rPr/>
        <w:fldChar w:fldCharType="end" w:fldLock="0"/>
      </w:r>
      <w:r>
        <w:rPr>
          <w:rtl w:val="0"/>
        </w:rPr>
        <w:t xml:space="preserve">)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Bagnall, R.S.</w:t>
      </w:r>
      <w:r>
        <w:rPr/>
        <w:fldChar w:fldCharType="end" w:fldLock="0"/>
      </w:r>
      <w:r>
        <w:rPr>
          <w:rtl w:val="0"/>
        </w:rPr>
        <w:t xml:space="preserve"> (2004)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Women</w:t>
      </w:r>
      <w:r>
        <w:rPr>
          <w:rtl w:val="1"/>
        </w:rPr>
        <w:t>’</w:t>
      </w:r>
      <w:r>
        <w:rPr>
          <w:rtl w:val="0"/>
          <w:lang w:val="fr-FR"/>
        </w:rPr>
        <w:t>s Petitions in Late Antique Egypt,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in D. Feissel and J. Gascou (eds.), </w:t>
      </w:r>
      <w:r>
        <w:rPr>
          <w:i w:val="1"/>
          <w:iCs w:val="1"/>
          <w:rtl w:val="0"/>
          <w:lang w:val="it-IT"/>
        </w:rPr>
        <w:t>La 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tition 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</w:rPr>
        <w:t xml:space="preserve">Byzance. </w:t>
      </w:r>
      <w:r>
        <w:rPr>
          <w:rtl w:val="0"/>
          <w:lang w:val="fr-FR"/>
        </w:rPr>
        <w:t>Paris: 53</w:t>
      </w:r>
      <w:r>
        <w:rPr>
          <w:rtl w:val="0"/>
        </w:rPr>
        <w:t>–</w:t>
      </w:r>
      <w:r>
        <w:rPr>
          <w:rtl w:val="0"/>
        </w:rPr>
        <w:t xml:space="preserve">60.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Benaissa, A.</w:t>
      </w:r>
      <w:r>
        <w:rPr/>
        <w:fldChar w:fldCharType="end" w:fldLock="0"/>
      </w:r>
      <w:r>
        <w:rPr>
          <w:rtl w:val="0"/>
          <w:lang w:val="en-US"/>
        </w:rPr>
        <w:t xml:space="preserve"> (2007)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Date of SB XII 10939 and Bishop Timotheus,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 xml:space="preserve">Tyche </w:t>
      </w:r>
      <w:r>
        <w:rPr>
          <w:rtl w:val="0"/>
          <w:lang w:val="en-US"/>
        </w:rPr>
        <w:t>22: 216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217.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"https://doi.org/10.15661/tyche.2007.022.00"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https://doi.org/10.15661/tyche.2007.022.00</w:t>
      </w:r>
      <w:r>
        <w:rPr/>
        <w:fldChar w:fldCharType="end" w:fldLock="0"/>
      </w:r>
      <w:r>
        <w:rPr>
          <w:rtl w:val="0"/>
          <w:lang w:val="en-US"/>
        </w:rPr>
        <w:t>)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Falivene, M.R.</w:t>
      </w:r>
      <w:r>
        <w:rPr/>
        <w:fldChar w:fldCharType="end" w:fldLock="0"/>
      </w:r>
      <w:r>
        <w:rPr>
          <w:rtl w:val="0"/>
          <w:lang w:val="en-US"/>
        </w:rPr>
        <w:t xml:space="preserve"> (1998). </w:t>
      </w:r>
      <w:r>
        <w:rPr>
          <w:i w:val="1"/>
          <w:iCs w:val="1"/>
          <w:rtl w:val="0"/>
          <w:lang w:val="en-US"/>
        </w:rPr>
        <w:t xml:space="preserve">The Herakleopolite Nome. </w:t>
      </w:r>
      <w:r>
        <w:rPr>
          <w:rtl w:val="0"/>
          <w:lang w:val="en-US"/>
        </w:rPr>
        <w:t xml:space="preserve">Atlanta. 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"http://sites.dlib.nyu.edu/viewer/books/isaw_asp000037/1"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http://sites.dlib.nyu.edu/viewer/books/isaw_asp000037/1</w:t>
      </w:r>
      <w:r>
        <w:rPr/>
        <w:fldChar w:fldCharType="end" w:fldLock="0"/>
      </w:r>
      <w:r>
        <w:rPr>
          <w:rtl w:val="0"/>
          <w:lang w:val="en-US"/>
        </w:rPr>
        <w:t xml:space="preserve">)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"https://papyri.info/biblio/73111"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Fournet, J.-L. and Gascou, J.</w:t>
      </w:r>
      <w:r>
        <w:rPr/>
        <w:fldChar w:fldCharType="end" w:fldLock="0"/>
      </w:r>
      <w:r>
        <w:rPr>
          <w:rtl w:val="0"/>
        </w:rPr>
        <w:t xml:space="preserve"> (2004),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Liste des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 sur papyrus des V</w:t>
      </w:r>
      <w:r>
        <w:rPr>
          <w:vertAlign w:val="superscript"/>
          <w:rtl w:val="0"/>
        </w:rPr>
        <w:t>e</w:t>
      </w:r>
      <w:r>
        <w:rPr>
          <w:rtl w:val="0"/>
          <w:lang w:val="de-DE"/>
        </w:rPr>
        <w:t>-VII</w:t>
      </w:r>
      <w:r>
        <w:rPr>
          <w:vertAlign w:val="superscript"/>
          <w:rtl w:val="0"/>
        </w:rPr>
        <w:t>e</w:t>
      </w:r>
      <w:r>
        <w:rPr>
          <w:rtl w:val="0"/>
        </w:rPr>
        <w:t xml:space="preserve"> si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cles,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in D. Feissel and J. Gascou (eds.), </w:t>
      </w:r>
      <w:r>
        <w:rPr>
          <w:i w:val="1"/>
          <w:iCs w:val="1"/>
          <w:rtl w:val="0"/>
          <w:lang w:val="it-IT"/>
        </w:rPr>
        <w:t>La 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tition </w:t>
      </w:r>
      <w:r>
        <w:rPr>
          <w:i w:val="1"/>
          <w:iCs w:val="1"/>
          <w:rtl w:val="0"/>
        </w:rPr>
        <w:t xml:space="preserve">à </w:t>
      </w:r>
      <w:r>
        <w:rPr>
          <w:i w:val="1"/>
          <w:iCs w:val="1"/>
          <w:rtl w:val="0"/>
        </w:rPr>
        <w:t xml:space="preserve">Byzance. </w:t>
      </w:r>
      <w:r>
        <w:rPr>
          <w:rtl w:val="0"/>
          <w:lang w:val="fr-FR"/>
        </w:rPr>
        <w:t>Paris: 141</w:t>
      </w:r>
      <w:r>
        <w:rPr>
          <w:rtl w:val="0"/>
        </w:rPr>
        <w:t>–</w:t>
      </w:r>
      <w:r>
        <w:rPr>
          <w:rtl w:val="0"/>
        </w:rPr>
        <w:t>196.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H. and Rom, B.</w:t>
      </w:r>
      <w:r>
        <w:rPr/>
        <w:fldChar w:fldCharType="end" w:fldLock="0"/>
      </w:r>
      <w:r>
        <w:rPr>
          <w:rtl w:val="0"/>
          <w:lang w:val="en-US"/>
        </w:rPr>
        <w:t xml:space="preserve"> (1984)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Drei byzantinische Papyri,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ZPE</w:t>
      </w:r>
      <w:r>
        <w:rPr>
          <w:rtl w:val="0"/>
          <w:lang w:val="en-US"/>
        </w:rPr>
        <w:t xml:space="preserve"> 54: 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100.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"https://papyri.info/biblio/20986"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Harrauer, H.</w:t>
      </w:r>
      <w:r>
        <w:rPr/>
        <w:fldChar w:fldCharType="end" w:fldLock="0"/>
      </w:r>
      <w:r>
        <w:rPr>
          <w:rtl w:val="0"/>
          <w:lang w:val="en-US"/>
        </w:rPr>
        <w:t xml:space="preserve"> (2010) </w:t>
      </w:r>
      <w:r>
        <w:rPr>
          <w:i w:val="1"/>
          <w:iCs w:val="1"/>
          <w:rtl w:val="0"/>
          <w:lang w:val="en-US"/>
        </w:rPr>
        <w:t>Handbuch der griechischen Pal</w:t>
      </w:r>
      <w:r>
        <w:rPr>
          <w:i w:val="1"/>
          <w:iCs w:val="1"/>
          <w:rtl w:val="0"/>
          <w:lang w:val="en-US"/>
        </w:rPr>
        <w:t>ä</w:t>
      </w:r>
      <w:r>
        <w:rPr>
          <w:i w:val="1"/>
          <w:iCs w:val="1"/>
          <w:rtl w:val="0"/>
          <w:lang w:val="en-US"/>
        </w:rPr>
        <w:t>ographie</w:t>
      </w:r>
      <w:r>
        <w:rPr>
          <w:rtl w:val="0"/>
          <w:lang w:val="en-US"/>
        </w:rPr>
        <w:t>. Stuttgart.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Palme, B.</w:t>
      </w:r>
      <w:r>
        <w:rPr/>
        <w:fldChar w:fldCharType="end" w:fldLock="0"/>
      </w:r>
      <w:r>
        <w:rPr>
          <w:rtl w:val="0"/>
          <w:lang w:val="en-US"/>
        </w:rPr>
        <w:t xml:space="preserve"> (1997)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SB VI 9239 und der Name der Provinz Arcadia,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Tyche</w:t>
      </w:r>
      <w:r>
        <w:rPr>
          <w:rtl w:val="0"/>
          <w:lang w:val="en-US"/>
        </w:rPr>
        <w:t xml:space="preserve"> 12: 258.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"https://doi.org/10.15661/tyche.1997.012.00"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https://doi.org/10.15661/tyche.1997.012.00</w:t>
      </w:r>
      <w:r>
        <w:rPr/>
        <w:fldChar w:fldCharType="end" w:fldLock="0"/>
      </w:r>
      <w:r>
        <w:rPr>
          <w:rtl w:val="0"/>
          <w:lang w:val="en-US"/>
        </w:rPr>
        <w:t>)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Palme, B.</w:t>
      </w:r>
      <w:r>
        <w:rPr/>
        <w:fldChar w:fldCharType="end" w:fldLock="0"/>
      </w:r>
      <w:r>
        <w:rPr>
          <w:rtl w:val="0"/>
        </w:rPr>
        <w:t xml:space="preserve"> (1998)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  <w:lang w:val="it-IT"/>
        </w:rPr>
        <w:t xml:space="preserve">Praesides </w:t>
      </w:r>
      <w:r>
        <w:rPr>
          <w:rtl w:val="0"/>
          <w:lang w:val="de-DE"/>
        </w:rPr>
        <w:t xml:space="preserve">und </w:t>
      </w:r>
      <w:r>
        <w:rPr>
          <w:i w:val="1"/>
          <w:iCs w:val="1"/>
          <w:rtl w:val="0"/>
          <w:lang w:val="es-ES_tradnl"/>
        </w:rPr>
        <w:t xml:space="preserve">correctores </w:t>
      </w:r>
      <w:r>
        <w:rPr>
          <w:rtl w:val="0"/>
          <w:lang w:val="de-DE"/>
        </w:rPr>
        <w:t xml:space="preserve">der </w:t>
      </w:r>
      <w:r>
        <w:rPr>
          <w:i w:val="1"/>
          <w:iCs w:val="1"/>
          <w:rtl w:val="0"/>
        </w:rPr>
        <w:t>Augustamnica</w:t>
      </w:r>
      <w:r>
        <w:rPr>
          <w:rtl w:val="0"/>
        </w:rPr>
        <w:t>,</w:t>
      </w:r>
      <w:r>
        <w:rPr>
          <w:rtl w:val="0"/>
        </w:rPr>
        <w:t xml:space="preserve">” </w:t>
      </w:r>
      <w:r>
        <w:rPr>
          <w:i w:val="1"/>
          <w:iCs w:val="1"/>
          <w:rtl w:val="0"/>
          <w:lang w:val="da-DK"/>
        </w:rPr>
        <w:t xml:space="preserve">AnTard </w:t>
      </w:r>
      <w:r>
        <w:rPr>
          <w:rtl w:val="0"/>
        </w:rPr>
        <w:t>6: 123</w:t>
      </w:r>
      <w:r>
        <w:rPr>
          <w:rtl w:val="0"/>
        </w:rPr>
        <w:t>–</w:t>
      </w:r>
      <w:r>
        <w:rPr>
          <w:rtl w:val="0"/>
        </w:rPr>
        <w:t>135.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"https://doi.org/10.1484/J.AT.2.300879"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https://doi.org/10.1484/J.AT.2.300879</w:t>
      </w:r>
      <w:r>
        <w:rPr/>
        <w:fldChar w:fldCharType="end" w:fldLock="0"/>
      </w:r>
      <w:r>
        <w:rPr>
          <w:rtl w:val="0"/>
        </w:rPr>
        <w:t xml:space="preserve">)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(2015)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by Genitive Replacement in the Greek Language of the Papyri: A Diachronic Account of Case Semantics,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 xml:space="preserve">Journal of Greek Linguistics </w:t>
      </w:r>
      <w:r>
        <w:rPr>
          <w:rtl w:val="0"/>
          <w:lang w:val="en-US"/>
        </w:rPr>
        <w:t>15: 91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121.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"https://doi.org/10.1163/15699846-01501001"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https://doi.org/10.1163/15699846-01501001</w:t>
      </w:r>
      <w:r>
        <w:rPr/>
        <w:fldChar w:fldCharType="end" w:fldLock="0"/>
      </w:r>
      <w:r>
        <w:rPr>
          <w:rtl w:val="0"/>
          <w:lang w:val="en-US"/>
        </w:rPr>
        <w:t xml:space="preserve">) 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 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"http://www.apple.com/uk"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(2017)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and Genitive Case Interchange in Greek Papyri from Roman-Byzantine Egypt,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 xml:space="preserve">Glotta </w:t>
      </w:r>
      <w:r>
        <w:rPr>
          <w:rtl w:val="0"/>
          <w:lang w:val="en-US"/>
        </w:rPr>
        <w:t>93: 182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212.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 thank Nikolaos Gonis for comments.</w:t>
      </w:r>
    </w:p>
  </w:footnote>
  <w:footnote w:id="2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Cf. 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introd., p. 53: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Man muss annehmen, dass auf den vorliegenden Vergleich zwischen Kyrillos und Serenianos eine Mitteilung an das Gericht folgte, die darauf hinausging, dass die beiden Prozessparteien sich miteinander verst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ndigt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tten und der 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ger (in diesem Falle beide Parteien) demgem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 die Klage fallen lasse. Damit hat allem Anschein nach jedes Gerichtsverfahren aufgeh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rt.</w:t>
      </w:r>
      <w:r>
        <w:rPr>
          <w:rtl w:val="0"/>
          <w:lang w:val="en-US"/>
        </w:rPr>
        <w:t>”</w:t>
      </w:r>
    </w:p>
  </w:footnote>
  <w:footnote w:id="3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these and other texts with a similar address, see B. Palme, CPR 24 17 introd. </w:t>
      </w:r>
    </w:p>
  </w:footnote>
  <w:footnote w:id="4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1880</w:t>
      </w:r>
      <w:r>
        <w:rPr/>
        <w:fldChar w:fldCharType="end" w:fldLock="0"/>
      </w:r>
      <w:r>
        <w:rPr>
          <w:rtl w:val="0"/>
          <w:lang w:val="en-US"/>
        </w:rPr>
        <w:t>.7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 xml:space="preserve">προσελθὼν τῇ αὐτῇ ἐξουσίᾳ διὰ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λι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βέλλου δόσεως ἤτοι ἐντυχ̣ίας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1881</w:t>
      </w:r>
      <w:r>
        <w:rPr/>
        <w:fldChar w:fldCharType="end" w:fldLock="0"/>
      </w:r>
      <w:r>
        <w:rPr>
          <w:rtl w:val="0"/>
          <w:lang w:val="en-US"/>
        </w:rPr>
        <w:t>.8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10 </w:t>
      </w:r>
      <w:r>
        <w:rPr>
          <w:rFonts w:ascii="IFAO-Grec Unicode" w:hAnsi="IFAO-Grec Unicode" w:hint="default"/>
          <w:rtl w:val="0"/>
          <w:lang w:val="en-US"/>
        </w:rPr>
        <w:t>Κύρου … διὰ λιβέλλου δόσεως προσελθόντος τῇ αὐτῇ ἐξουσίᾳ τοῦ αὐτοῦ κυρίου μου τοῦ λαμπροτάτου ἡγεμόνος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>.5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</w:t>
      </w:r>
      <w:r>
        <w:rPr>
          <w:rFonts w:ascii="IFAO-Grec Unicode" w:hAnsi="IFAO-Grec Unicode" w:hint="default"/>
          <w:rtl w:val="0"/>
          <w:lang w:val="en-US"/>
        </w:rPr>
        <w:t>προσελθὼ̣ν τ̣ῇ̣ ἐ̣ξ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ουσ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ί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 xml:space="preserve">ᾳ τοῦ αὐτοῦ κυρίου μου </w:t>
      </w:r>
      <w:r>
        <w:rPr>
          <w:rFonts w:ascii="IFAO-Grec Unicode" w:hAnsi="IFAO-Grec Unicode"/>
          <w:rtl w:val="0"/>
          <w:lang w:val="en-US"/>
        </w:rPr>
        <w:t xml:space="preserve">(?)] </w:t>
      </w:r>
      <w:r>
        <w:rPr>
          <w:rFonts w:ascii="IFAO-Grec Unicode" w:hAnsi="IFAO-Grec Unicode" w:hint="default"/>
          <w:rtl w:val="0"/>
          <w:lang w:val="en-US"/>
        </w:rPr>
        <w:t>ἄρχοντος ᾐτιασάμην κτλ</w:t>
      </w:r>
      <w:r>
        <w:rPr>
          <w:rtl w:val="0"/>
          <w:lang w:val="en-US"/>
        </w:rPr>
        <w:t>.</w:t>
      </w:r>
    </w:p>
  </w:footnote>
  <w:footnote w:id="5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P.Oxy. 1881.11 </w:t>
      </w:r>
      <w:r>
        <w:rPr>
          <w:rFonts w:ascii="IFAO-Grec Unicode" w:hAnsi="IFAO-Grec Unicode" w:hint="default"/>
          <w:rtl w:val="0"/>
          <w:lang w:val="en-US"/>
        </w:rPr>
        <w:t>καὶ τῆς ἀποφάσεως ἐμφανισθείσης ἡμῖν τῆς βουλομένης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.7 </w:t>
      </w:r>
      <w:r>
        <w:rPr>
          <w:rFonts w:ascii="IFAO-Grec Unicode" w:hAnsi="IFAO-Grec Unicode" w:hint="default"/>
          <w:rtl w:val="0"/>
          <w:lang w:val="en-US"/>
        </w:rPr>
        <w:t xml:space="preserve">καὶ ἀποφάσεως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tl w:val="0"/>
          <w:lang w:val="en-US"/>
        </w:rPr>
        <w:t>.</w:t>
      </w:r>
    </w:p>
  </w:footnote>
  <w:footnote w:id="6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"https://papyri.info/biblio/72883"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Bagnall (2004)</w:t>
      </w:r>
      <w:r>
        <w:rPr/>
        <w:fldChar w:fldCharType="end" w:fldLock="0"/>
      </w:r>
      <w:r>
        <w:rPr>
          <w:rtl w:val="0"/>
          <w:lang w:val="en-US"/>
        </w:rPr>
        <w:t xml:space="preserve"> 57.</w:t>
      </w:r>
    </w:p>
  </w:footnote>
  <w:footnote w:id="7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Of the 118 post fourth-century petitions catalogued in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"https://papyri.info/biblio/73111"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Fournet and Gascou (2004)</w:t>
      </w:r>
      <w:r>
        <w:rPr/>
        <w:fldChar w:fldCharType="end" w:fldLock="0"/>
      </w:r>
      <w:r>
        <w:rPr>
          <w:rtl w:val="0"/>
          <w:lang w:val="en-US"/>
        </w:rPr>
        <w:t xml:space="preserve">, only two are addressed by women to governors, viz. </w:t>
      </w:r>
      <w:r>
        <w:rPr>
          <w:rtl w:val="0"/>
          <w:lang w:val="en-US"/>
        </w:rPr>
        <w:t xml:space="preserve">P.Cair.Masp. I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"http://papyri.info/ddbdp/p.cair.masp%3B1%3B67005"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"http://papyri.info/ddbdp/p.cair.masp%3B1%3B67006r"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67006r</w:t>
      </w:r>
      <w:r>
        <w:rPr/>
        <w:fldChar w:fldCharType="end" w:fldLock="0"/>
      </w:r>
      <w:r>
        <w:rPr>
          <w:rtl w:val="0"/>
          <w:lang w:val="en-US"/>
        </w:rPr>
        <w:t xml:space="preserve"> (c. 568, Antinoopolis, BL 11.52), both directed to the </w:t>
      </w:r>
      <w:r>
        <w:rPr>
          <w:i w:val="1"/>
          <w:iCs w:val="1"/>
          <w:rtl w:val="0"/>
          <w:lang w:val="en-US"/>
        </w:rPr>
        <w:t>dux Thebaidis</w:t>
      </w:r>
      <w:r>
        <w:rPr>
          <w:rtl w:val="0"/>
          <w:lang w:val="en-US"/>
        </w:rPr>
        <w:t xml:space="preserve">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"http://papyri.info/ddbdp/p.muench%3B3.1%3B79"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P.M</w:t>
      </w:r>
      <w:r>
        <w:rPr>
          <w:rStyle w:val="Hyperlink.1"/>
          <w:rtl w:val="0"/>
          <w:lang w:val="en-US"/>
        </w:rPr>
        <w:t>ü</w:t>
      </w:r>
      <w:r>
        <w:rPr>
          <w:rStyle w:val="Hyperlink.1"/>
          <w:rtl w:val="0"/>
          <w:lang w:val="en-US"/>
        </w:rPr>
        <w:t>nch. 3 79</w:t>
      </w:r>
      <w:r>
        <w:rPr/>
        <w:fldChar w:fldCharType="end" w:fldLock="0"/>
      </w:r>
      <w:r>
        <w:rPr>
          <w:rtl w:val="0"/>
          <w:lang w:val="en-US"/>
        </w:rPr>
        <w:t xml:space="preserve"> (6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cent., unknown provenance) is addressed to an official with the titles of </w:t>
      </w:r>
      <w:r>
        <w:rPr>
          <w:i w:val="1"/>
          <w:iCs w:val="1"/>
          <w:rtl w:val="0"/>
          <w:lang w:val="en-US"/>
        </w:rPr>
        <w:t xml:space="preserve">gloriosissimus </w:t>
      </w:r>
      <w:r>
        <w:rPr>
          <w:rtl w:val="0"/>
          <w:lang w:val="en-US"/>
        </w:rPr>
        <w:t xml:space="preserve">and </w:t>
      </w:r>
      <w:r>
        <w:rPr>
          <w:i w:val="1"/>
          <w:iCs w:val="1"/>
          <w:rtl w:val="0"/>
          <w:lang w:val="en-US"/>
        </w:rPr>
        <w:t>illustris</w:t>
      </w:r>
      <w:r>
        <w:rPr>
          <w:rtl w:val="0"/>
          <w:lang w:val="en-US"/>
        </w:rPr>
        <w:t xml:space="preserve">, who must be a pagarch (this was probably a model text).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"http://papyri.info/ddbdp/p.oxy%3B63%3B4399"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P.Oxy. 63 4399</w:t>
      </w:r>
      <w:r>
        <w:rPr/>
        <w:fldChar w:fldCharType="end" w:fldLock="0"/>
      </w:r>
      <w:r>
        <w:rPr>
          <w:rtl w:val="0"/>
          <w:lang w:val="en-US"/>
        </w:rPr>
        <w:t xml:space="preserve"> (before 539, BL 13.166) implies a prior petition to the Augustal prefect.</w:t>
      </w:r>
    </w:p>
  </w:footnote>
  <w:footnote w:id="8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Palme (1998)</w:t>
      </w:r>
      <w:r>
        <w:rPr/>
        <w:fldChar w:fldCharType="end" w:fldLock="0"/>
      </w:r>
      <w:r>
        <w:rPr>
          <w:rtl w:val="0"/>
          <w:lang w:val="en-US"/>
        </w:rPr>
        <w:t xml:space="preserve"> 127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128, 130. Arcadia is first attested in the papyri in 398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"http://papyri.info/ddbdp/p.flor%3B1%3B66"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P.Flor. 1 66</w:t>
      </w:r>
      <w:r>
        <w:rPr/>
        <w:fldChar w:fldCharType="end" w:fldLock="0"/>
      </w:r>
      <w:r>
        <w:rPr>
          <w:rtl w:val="0"/>
          <w:lang w:val="en-US"/>
        </w:rPr>
        <w:t>.2).</w:t>
      </w:r>
    </w:p>
  </w:footnote>
  <w:footnote w:id="9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On this style, see Harrauer and Rom (1984) 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96 and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"https://papyri.info/biblio/20986"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Harrauer (2010)</w:t>
      </w:r>
      <w:r>
        <w:rPr/>
        <w:fldChar w:fldCharType="end" w:fldLock="0"/>
      </w:r>
      <w:r>
        <w:rPr>
          <w:rtl w:val="0"/>
          <w:lang w:val="en-US"/>
        </w:rPr>
        <w:t xml:space="preserve"> 77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78.</w:t>
      </w:r>
    </w:p>
  </w:footnote>
  <w:footnote w:id="10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To judge from a digital image of the papyrus kindly provided by Sophie Kovarik, </w:t>
      </w:r>
      <w:r>
        <w:rPr>
          <w:rtl w:val="0"/>
          <w:lang w:val="en-US"/>
        </w:rPr>
        <w:t>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anachronistic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πό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λ̣ε̣ω̣ς̣</w:t>
      </w:r>
      <w:r>
        <w:rPr>
          <w:rtl w:val="0"/>
          <w:lang w:val="en-US"/>
        </w:rPr>
        <w:t xml:space="preserve"> cannot be read after </w:t>
      </w:r>
      <w:r>
        <w:rPr>
          <w:rFonts w:ascii="IFAO-Grec Unicode" w:hAnsi="IFAO-Grec Unicode" w:hint="default"/>
          <w:rtl w:val="0"/>
          <w:lang w:val="en-US"/>
        </w:rPr>
        <w:t>Ἀνκυρ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ώνων</w:t>
      </w:r>
      <w:r>
        <w:rPr>
          <w:rFonts w:ascii="IFAO-Grec Unicode" w:hAnsi="IFAO-Grec Unicode"/>
          <w:rtl w:val="0"/>
          <w:lang w:val="en-US"/>
        </w:rPr>
        <w:t>)</w:t>
      </w:r>
      <w:r>
        <w:rPr>
          <w:rtl w:val="0"/>
          <w:lang w:val="en-US"/>
        </w:rPr>
        <w:t xml:space="preserve">, nor for that matter can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  <w:lang w:val="en-US"/>
        </w:rPr>
        <w:t>ώ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μ̣η̣ς̣</w:t>
      </w:r>
      <w:r>
        <w:rPr>
          <w:rtl w:val="0"/>
          <w:lang w:val="en-US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  <w:style w:type="character" w:styleId="Hyperlink.1">
    <w:name w:val="Hyperlink.1"/>
    <w:basedOn w:val="Link"/>
    <w:next w:val="Hyperlink.1"/>
    <w:rPr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Link"/>
    <w:next w:val="Hyperlink.2"/>
    <w:rPr>
      <w14:textFill>
        <w14:noFill/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