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lang w:val="de-DE"/>
        </w:rPr>
        <w:t>#articleTitle</w:t>
      </w:r>
    </w:p>
    <w:p>
      <w:pPr>
        <w:pStyle w:val="Body"/>
      </w:pPr>
      <w:r>
        <w:rPr>
          <w:rtl w:val="0"/>
          <w:lang w:val="en-US"/>
        </w:rPr>
        <w:t>Notes on Papyri from Roman Egypt II</w:t>
      </w:r>
    </w:p>
    <w:p>
      <w:pPr>
        <w:pStyle w:val="Body"/>
      </w:pPr>
    </w:p>
    <w:p>
      <w:pPr>
        <w:pStyle w:val="Body"/>
      </w:pPr>
      <w:r>
        <w:rPr>
          <w:rtl w:val="0"/>
          <w:lang w:val="de-DE"/>
        </w:rPr>
        <w:t>#author</w:t>
      </w:r>
    </w:p>
    <w:p>
      <w:pPr>
        <w:pStyle w:val="Body"/>
      </w:pPr>
      <w:r>
        <w:rPr>
          <w:rtl w:val="0"/>
          <w:lang w:val="de-DE"/>
        </w:rPr>
        <w:t>Claytor, W. Graham</w:t>
      </w:r>
    </w:p>
    <w:p>
      <w:pPr>
        <w:pStyle w:val="Body"/>
      </w:pPr>
      <w:r>
        <w:rPr>
          <w:rtl w:val="0"/>
          <w:lang w:val="de-DE"/>
        </w:rPr>
        <w:t>#affiliation</w:t>
      </w:r>
    </w:p>
    <w:p>
      <w:pPr>
        <w:pStyle w:val="Default"/>
        <w:bidi w:val="0"/>
        <w:spacing w:before="0" w:line="360" w:lineRule="auto"/>
        <w:ind w:left="0" w:right="0" w:firstLine="0"/>
        <w:jc w:val="left"/>
        <w:rPr>
          <w:rFonts w:ascii="Times New Roman" w:cs="Times New Roman" w:hAnsi="Times New Roman" w:eastAsia="Times New Roman"/>
          <w:u w:color="000000"/>
          <w:rtl w:val="0"/>
          <w:lang w:val="en-US"/>
        </w:rPr>
      </w:pPr>
      <w:r>
        <w:rPr>
          <w:rFonts w:ascii="IFAO-Grec Unicode" w:hAnsi="IFAO-Grec Unicode"/>
          <w:u w:color="000000"/>
          <w:rtl w:val="0"/>
          <w:lang w:val="en-US"/>
        </w:rPr>
        <w:t>Faculty of Archaeology Department of Papyrology, University of Warsaw</w:t>
      </w:r>
    </w:p>
    <w:p>
      <w:pPr>
        <w:pStyle w:val="Body"/>
      </w:pPr>
      <w:r>
        <w:rPr>
          <w:rtl w:val="0"/>
          <w:lang w:val="de-DE"/>
        </w:rPr>
        <w:t>#email</w:t>
      </w:r>
    </w:p>
    <w:p>
      <w:pPr>
        <w:pStyle w:val="Body"/>
      </w:pPr>
      <w:r>
        <w:rPr>
          <w:rtl w:val="0"/>
        </w:rPr>
        <w:t>gclaytor@gmail.com</w:t>
      </w:r>
    </w:p>
    <w:p>
      <w:pPr>
        <w:pStyle w:val="Body"/>
        <w:rPr>
          <w:b w:val="1"/>
          <w:bCs w:val="1"/>
          <w:outline w:val="0"/>
          <w:color w:val="000000"/>
          <w:u w:color="000000"/>
          <w14:textFill>
            <w14:solidFill>
              <w14:srgbClr w14:val="000000"/>
            </w14:solidFill>
          </w14:textFill>
        </w:rPr>
      </w:pPr>
    </w:p>
    <w:p>
      <w:pPr>
        <w:pStyle w:val="Body"/>
        <w:rPr>
          <w:b w:val="1"/>
          <w:bCs w:val="1"/>
          <w:outline w:val="0"/>
          <w:color w:val="000000"/>
          <w:u w:color="000000"/>
          <w14:textFill>
            <w14:solidFill>
              <w14:srgbClr w14:val="000000"/>
            </w14:solidFill>
          </w14:textFill>
        </w:rPr>
      </w:pPr>
      <w:r>
        <w:rPr>
          <w:rtl w:val="0"/>
          <w:lang w:val="de-DE"/>
        </w:rPr>
        <w:t>#articleHeader</w:t>
      </w:r>
    </w:p>
    <w:p>
      <w:pPr>
        <w:pStyle w:val="Body"/>
      </w:pPr>
      <w:r>
        <w:rPr>
          <w:rtl w:val="0"/>
          <w:lang w:val="de-DE"/>
        </w:rPr>
        <w:t>10</w:t>
      </w:r>
      <w:r>
        <w:rPr>
          <w:rtl w:val="0"/>
        </w:rPr>
        <w:t xml:space="preserve">. </w:t>
      </w:r>
      <w:r>
        <w:rPr>
          <w:rStyle w:val="Hyperlink.0"/>
        </w:rPr>
        <w:fldChar w:fldCharType="begin" w:fldLock="0"/>
      </w:r>
      <w:r>
        <w:rPr>
          <w:rStyle w:val="Hyperlink.0"/>
        </w:rPr>
        <w:instrText xml:space="preserve"> HYPERLINK "https://papyri.info/ddbdp/p.stras%3B4%3B210"</w:instrText>
      </w:r>
      <w:r>
        <w:rPr>
          <w:rStyle w:val="Hyperlink.0"/>
        </w:rPr>
        <w:fldChar w:fldCharType="separate" w:fldLock="0"/>
      </w:r>
      <w:r>
        <w:rPr>
          <w:rStyle w:val="Hyperlink.0"/>
          <w:rtl w:val="0"/>
          <w:lang w:val="pt-PT"/>
        </w:rPr>
        <w:t>P.Stras. 4 210</w:t>
      </w:r>
      <w:r>
        <w:rPr/>
        <w:fldChar w:fldCharType="end" w:fldLock="0"/>
      </w:r>
      <w:r>
        <w:rPr>
          <w:rtl w:val="0"/>
        </w:rPr>
        <w:t xml:space="preserve"> (Arsinoite, 90</w:t>
      </w:r>
      <w:r>
        <w:rPr>
          <w:rtl w:val="0"/>
        </w:rPr>
        <w:t>–</w:t>
      </w:r>
      <w:r>
        <w:rPr>
          <w:rtl w:val="0"/>
        </w:rPr>
        <w:t>95):</w:t>
      </w:r>
      <w:r>
        <w:rPr>
          <w:vertAlign w:val="superscript"/>
        </w:rPr>
        <w:footnoteReference w:id="1"/>
      </w:r>
      <w:r>
        <w:rPr>
          <w:rtl w:val="0"/>
        </w:rPr>
        <w:t xml:space="preserve"> </w:t>
      </w:r>
      <w:r>
        <w:rPr>
          <w:rFonts w:ascii="Times New Roman" w:hAnsi="Times New Roman"/>
          <w:i w:val="1"/>
          <w:iCs w:val="1"/>
          <w:rtl w:val="0"/>
          <w:lang w:val="it-IT"/>
        </w:rPr>
        <w:t xml:space="preserve">Paramone </w:t>
      </w:r>
      <w:r>
        <w:rPr>
          <w:rtl w:val="0"/>
          <w:lang w:val="de-DE"/>
        </w:rPr>
        <w:t>at an Imperial Oil Mill</w:t>
      </w:r>
    </w:p>
    <w:p>
      <w:pPr>
        <w:pStyle w:val="Body"/>
      </w:pPr>
    </w:p>
    <w:p>
      <w:pPr>
        <w:pStyle w:val="Body"/>
      </w:pPr>
      <w:r>
        <w:rPr>
          <w:rtl w:val="0"/>
          <w:lang w:val="en-US"/>
        </w:rPr>
        <w:tab/>
        <w:t>This petition hasn</w:t>
      </w:r>
      <w:r>
        <w:rPr>
          <w:rtl w:val="1"/>
        </w:rPr>
        <w:t>’</w:t>
      </w:r>
      <w:r>
        <w:rPr>
          <w:rtl w:val="0"/>
          <w:lang w:val="en-US"/>
        </w:rPr>
        <w:t xml:space="preserve">t entered into discussions of </w:t>
      </w:r>
      <w:r>
        <w:rPr>
          <w:rtl w:val="0"/>
          <w:lang w:val="it-IT"/>
        </w:rPr>
        <w:t xml:space="preserve">paramone </w:t>
      </w:r>
      <w:r>
        <w:rPr>
          <w:rtl w:val="0"/>
          <w:lang w:val="en-US"/>
        </w:rPr>
        <w:t>due to the simple fact that the word was not printed in line 8.</w:t>
      </w:r>
      <w:r>
        <w:rPr>
          <w:rFonts w:ascii="IFAO-Grec Unicode" w:cs="IFAO-Grec Unicode" w:hAnsi="IFAO-Grec Unicode" w:eastAsia="IFAO-Grec Unicode"/>
          <w:b w:val="0"/>
          <w:bCs w:val="0"/>
          <w:i w:val="0"/>
          <w:iCs w:val="0"/>
          <w:vertAlign w:val="superscript"/>
        </w:rPr>
        <w:footnoteReference w:id="2"/>
      </w:r>
      <w:r>
        <w:rPr>
          <w:rtl w:val="0"/>
          <w:lang w:val="en-US"/>
        </w:rPr>
        <w:t xml:space="preserve"> The passage runs </w:t>
      </w:r>
      <w:r>
        <w:rPr>
          <w:rtl w:val="0"/>
        </w:rPr>
        <w:t>ὁ σὺν ἐμοὶ ἐργαζ</w:t>
      </w:r>
      <w:r>
        <w:rPr>
          <w:rtl w:val="0"/>
          <w:lang w:val="pt-PT"/>
        </w:rPr>
        <w:t>[</w:t>
      </w:r>
      <w:r>
        <w:rPr>
          <w:rtl w:val="0"/>
        </w:rPr>
        <w:t>όμε</w:t>
      </w:r>
      <w:r>
        <w:rPr>
          <w:rtl w:val="0"/>
          <w:lang w:val="pt-PT"/>
        </w:rPr>
        <w:t>]</w:t>
      </w:r>
      <w:r>
        <w:rPr>
          <w:rtl w:val="0"/>
        </w:rPr>
        <w:t xml:space="preserve">νος ἐπὶ </w:t>
      </w:r>
      <w:r>
        <w:rPr>
          <w:rtl w:val="0"/>
        </w:rPr>
        <w:t xml:space="preserve">|  </w:t>
      </w:r>
      <w:r>
        <w:rPr>
          <w:rtl w:val="0"/>
        </w:rPr>
        <w:t>̣  ̣τ̣α̣μονῃ ἐργά</w:t>
      </w:r>
      <w:r>
        <w:rPr>
          <w:rtl w:val="0"/>
          <w:lang w:val="pt-PT"/>
        </w:rPr>
        <w:t>[</w:t>
      </w:r>
      <w:r>
        <w:rPr>
          <w:rtl w:val="0"/>
        </w:rPr>
        <w:t>τη</w:t>
      </w:r>
      <w:r>
        <w:rPr>
          <w:rtl w:val="0"/>
          <w:lang w:val="pt-PT"/>
        </w:rPr>
        <w:t>]</w:t>
      </w:r>
      <w:r>
        <w:rPr>
          <w:rtl w:val="0"/>
        </w:rPr>
        <w:t xml:space="preserve">ς Ἀγχορίμφις Μύσθου </w:t>
      </w:r>
      <w:r>
        <w:rPr>
          <w:rtl w:val="0"/>
          <w:lang w:val="pt-PT"/>
        </w:rPr>
        <w:t>(ll. 7</w:t>
      </w:r>
      <w:r>
        <w:rPr>
          <w:rtl w:val="0"/>
        </w:rPr>
        <w:t>–</w:t>
      </w:r>
      <w:r>
        <w:rPr>
          <w:rtl w:val="0"/>
          <w:lang w:val="en-US"/>
        </w:rPr>
        <w:t xml:space="preserve">8) and the editor comments, </w:t>
      </w:r>
      <w:r>
        <w:rPr>
          <w:rtl w:val="1"/>
          <w:lang w:val="ar-SA" w:bidi="ar-SA"/>
        </w:rPr>
        <w:t>“</w:t>
      </w:r>
      <w:r>
        <w:rPr>
          <w:rtl w:val="0"/>
          <w:lang w:val="fr-FR"/>
        </w:rPr>
        <w:t xml:space="preserve">la lecture la plus possible est </w:t>
      </w:r>
      <w:r>
        <w:rPr>
          <w:rtl w:val="0"/>
        </w:rPr>
        <w:t xml:space="preserve">κ̣α̣τ̣α̣μόνῃ” </w:t>
      </w:r>
      <w:r>
        <w:rPr>
          <w:rtl w:val="0"/>
          <w:lang w:val="en-US"/>
        </w:rPr>
        <w:t xml:space="preserve">(accented </w:t>
      </w:r>
      <w:r>
        <w:rPr>
          <w:rtl w:val="0"/>
          <w:lang w:val="de-DE"/>
        </w:rPr>
        <w:t>sic</w:t>
      </w:r>
      <w:r>
        <w:rPr>
          <w:rtl w:val="0"/>
          <w:lang w:val="en-US"/>
        </w:rPr>
        <w:t xml:space="preserve">). Examination of the image supplied to me by Paul Heilporn shows that the expected </w:t>
      </w:r>
      <w:r>
        <w:rPr>
          <w:rtl w:val="0"/>
        </w:rPr>
        <w:t xml:space="preserve">παρ̣αμονῇ </w:t>
      </w:r>
      <w:r>
        <w:rPr>
          <w:rtl w:val="0"/>
          <w:lang w:val="en-US"/>
        </w:rPr>
        <w:t xml:space="preserve">is agreeable: the pi is pointed at the top (just as that of </w:t>
      </w:r>
      <w:r>
        <w:rPr>
          <w:rtl w:val="0"/>
        </w:rPr>
        <w:t xml:space="preserve">Ἀπύγχεως </w:t>
      </w:r>
      <w:r>
        <w:rPr>
          <w:rtl w:val="0"/>
          <w:lang w:val="en-US"/>
        </w:rPr>
        <w:t>in l. 3) and ligatures into an alpha without a loop, which in turn ligatures into a small rho, partially obscured. The only hesitation may stem from an almost horizontal tick following rho, which I would explain as a connecting or errant stroke.</w:t>
      </w:r>
    </w:p>
    <w:p>
      <w:pPr>
        <w:pStyle w:val="Body"/>
      </w:pPr>
      <w:r>
        <w:rPr>
          <w:rtl w:val="0"/>
          <w:lang w:val="en-US"/>
        </w:rPr>
        <w:tab/>
        <w:t xml:space="preserve">The work took place in a leased oil mill, as line 9 makes clear:  </w:t>
      </w:r>
      <w:r>
        <w:rPr>
          <w:rtl w:val="0"/>
        </w:rPr>
        <w:t>̣  ̣ωι ε</w:t>
      </w:r>
      <w:r>
        <w:rPr>
          <w:rtl w:val="0"/>
        </w:rPr>
        <w:t xml:space="preserve">[  </w:t>
      </w:r>
      <w:r>
        <w:rPr>
          <w:rtl w:val="0"/>
        </w:rPr>
        <w:t>̣  ̣  ̣ ἐλ</w:t>
      </w:r>
      <w:r>
        <w:rPr>
          <w:rtl w:val="0"/>
          <w:lang w:val="pt-PT"/>
        </w:rPr>
        <w:t>]</w:t>
      </w:r>
      <w:r>
        <w:rPr>
          <w:rtl w:val="0"/>
        </w:rPr>
        <w:t>αιουργίωι ἐν μισθώσει</w:t>
      </w:r>
      <w:r>
        <w:rPr>
          <w:rtl w:val="0"/>
          <w:lang w:val="en-US"/>
        </w:rPr>
        <w:t xml:space="preserve">. Here the editor considered but ultimately abandoned the reading </w:t>
      </w:r>
      <w:r>
        <w:rPr>
          <w:rtl w:val="0"/>
        </w:rPr>
        <w:t>ἐ̣ν̣ ὧι ἔ</w:t>
      </w:r>
      <w:r>
        <w:rPr>
          <w:rtl w:val="0"/>
          <w:lang w:val="pt-PT"/>
        </w:rPr>
        <w:t>[</w:t>
      </w:r>
      <w:r>
        <w:rPr>
          <w:rtl w:val="0"/>
        </w:rPr>
        <w:t>χω ἐλ</w:t>
      </w:r>
      <w:r>
        <w:rPr>
          <w:rtl w:val="0"/>
          <w:lang w:val="pt-PT"/>
        </w:rPr>
        <w:t>]</w:t>
      </w:r>
      <w:r>
        <w:rPr>
          <w:rtl w:val="0"/>
        </w:rPr>
        <w:t xml:space="preserve">αιουργίωι </w:t>
      </w:r>
      <w:r>
        <w:rPr>
          <w:rtl w:val="0"/>
        </w:rPr>
        <w:t>(</w:t>
      </w:r>
      <w:r>
        <w:rPr>
          <w:rtl w:val="1"/>
          <w:lang w:val="ar-SA" w:bidi="ar-SA"/>
        </w:rPr>
        <w:t>“</w:t>
      </w:r>
      <w:r>
        <w:rPr>
          <w:rtl w:val="0"/>
          <w:lang w:val="fr-FR"/>
        </w:rPr>
        <w:t>impossible pal</w:t>
      </w:r>
      <w:r>
        <w:rPr>
          <w:rtl w:val="0"/>
          <w:lang w:val="fr-FR"/>
        </w:rPr>
        <w:t>é</w:t>
      </w:r>
      <w:r>
        <w:rPr>
          <w:rtl w:val="0"/>
          <w:lang w:val="fr-FR"/>
        </w:rPr>
        <w:t>ographiquement</w:t>
      </w:r>
      <w:r>
        <w:rPr>
          <w:rtl w:val="0"/>
        </w:rPr>
        <w:t>”</w:t>
      </w:r>
      <w:r>
        <w:rPr>
          <w:rtl w:val="0"/>
          <w:lang w:val="en-US"/>
        </w:rPr>
        <w:t xml:space="preserve">), but this is surely right: of </w:t>
      </w:r>
      <w:r>
        <w:rPr>
          <w:rtl w:val="0"/>
        </w:rPr>
        <w:t>ἐ̣ν̣</w:t>
      </w:r>
      <w:r>
        <w:rPr>
          <w:rtl w:val="0"/>
          <w:lang w:val="en-US"/>
        </w:rPr>
        <w:t xml:space="preserve">, the first stroke of epsilon is visible, nearly vertical as in the same preposition later in the line (though the ligature is not quite the same), while the horizontal of nu is where one would expect it; thereafter, the right side of omega can be seen connecting to final iota as in the first name of the </w:t>
      </w:r>
      <w:r>
        <w:rPr>
          <w:rtl w:val="0"/>
        </w:rPr>
        <w:t>strategos</w:t>
      </w:r>
      <w:r>
        <w:rPr>
          <w:rtl w:val="0"/>
          <w:lang w:val="it-IT"/>
        </w:rPr>
        <w:t xml:space="preserve"> in line 1.</w:t>
      </w:r>
    </w:p>
    <w:p>
      <w:pPr>
        <w:pStyle w:val="Body"/>
      </w:pPr>
      <w:r>
        <w:rPr>
          <w:rtl w:val="0"/>
          <w:lang w:val="en-US"/>
        </w:rPr>
        <w:tab/>
        <w:t xml:space="preserve">According to the next line, this oil mill belonged to an imperial estate and was located in the </w:t>
      </w:r>
      <w:r>
        <w:rPr>
          <w:rtl w:val="1"/>
          <w:lang w:val="ar-SA" w:bidi="ar-SA"/>
        </w:rPr>
        <w:t>“</w:t>
      </w:r>
      <w:r>
        <w:rPr>
          <w:rtl w:val="0"/>
          <w:lang w:val="en-US"/>
        </w:rPr>
        <w:t>aforementioned village,</w:t>
      </w:r>
      <w:r>
        <w:rPr>
          <w:rtl w:val="0"/>
        </w:rPr>
        <w:t xml:space="preserve">” </w:t>
      </w:r>
      <w:r>
        <w:rPr>
          <w:rtl w:val="0"/>
          <w:lang w:val="en-US"/>
        </w:rPr>
        <w:t xml:space="preserve">referring back to line 4, where the petitioner is said to be domiciled in </w:t>
      </w:r>
      <w:r>
        <w:rPr>
          <w:rtl w:val="0"/>
        </w:rPr>
        <w:t>ἐν κώμῃ Σε̣βε̣ρ̣  ̣</w:t>
      </w:r>
      <w:r>
        <w:rPr>
          <w:rtl w:val="0"/>
          <w:lang w:val="pt-PT"/>
        </w:rPr>
        <w:t>[</w:t>
      </w:r>
      <w:r>
        <w:rPr>
          <w:rFonts w:ascii="Times New Roman" w:hAnsi="Times New Roman"/>
          <w:rtl w:val="0"/>
        </w:rPr>
        <w:t xml:space="preserve">  </w:t>
      </w:r>
      <w:r>
        <w:rPr>
          <w:rtl w:val="0"/>
        </w:rPr>
        <w:t xml:space="preserve">]| </w:t>
      </w:r>
      <w:r>
        <w:rPr>
          <w:rtl w:val="0"/>
        </w:rPr>
        <w:t>̣ν</w:t>
      </w:r>
      <w:r>
        <w:rPr>
          <w:rtl w:val="0"/>
          <w:lang w:val="en-US"/>
        </w:rPr>
        <w:t xml:space="preserve">, as printed in the </w:t>
      </w:r>
      <w:r>
        <w:rPr>
          <w:rtl w:val="0"/>
        </w:rPr>
        <w:t xml:space="preserve">ed. pr. </w:t>
      </w:r>
      <w:r>
        <w:rPr>
          <w:rtl w:val="0"/>
          <w:lang w:val="en-US"/>
        </w:rPr>
        <w:t xml:space="preserve">The residence of the petitioner can be read as </w:t>
      </w:r>
      <w:r>
        <w:rPr>
          <w:rtl w:val="0"/>
        </w:rPr>
        <w:t>Σεβενν̣</w:t>
      </w:r>
      <w:r>
        <w:rPr>
          <w:rtl w:val="0"/>
          <w:lang w:val="pt-PT"/>
        </w:rPr>
        <w:t>[</w:t>
      </w:r>
      <w:r>
        <w:rPr>
          <w:rtl w:val="0"/>
        </w:rPr>
        <w:t>ύ</w:t>
      </w:r>
      <w:r>
        <w:rPr>
          <w:rtl w:val="0"/>
        </w:rPr>
        <w:t>]|</w:t>
      </w:r>
      <w:r>
        <w:rPr>
          <w:rtl w:val="0"/>
        </w:rPr>
        <w:t>τ̣ωι</w:t>
      </w:r>
      <w:r>
        <w:rPr>
          <w:rtl w:val="0"/>
          <w:lang w:val="en-US"/>
        </w:rPr>
        <w:t>, an identification anticipated by Calderini, Diz.geogr. 4.3, 252 and already recorded in Trismegistos (</w:t>
      </w:r>
      <w:r>
        <w:rPr>
          <w:rStyle w:val="Hyperlink.0"/>
        </w:rPr>
        <w:fldChar w:fldCharType="begin" w:fldLock="0"/>
      </w:r>
      <w:r>
        <w:rPr>
          <w:rStyle w:val="Hyperlink.0"/>
        </w:rPr>
        <w:instrText xml:space="preserve"> HYPERLINK "http://www.trismegistos.org/georef/5458"</w:instrText>
      </w:r>
      <w:r>
        <w:rPr>
          <w:rStyle w:val="Hyperlink.0"/>
        </w:rPr>
        <w:fldChar w:fldCharType="separate" w:fldLock="0"/>
      </w:r>
      <w:r>
        <w:rPr>
          <w:rStyle w:val="Hyperlink.0"/>
          <w:rtl w:val="0"/>
          <w:lang w:val="it-IT"/>
        </w:rPr>
        <w:t>TM GeoRef 5458</w:t>
      </w:r>
      <w:r>
        <w:rPr/>
        <w:fldChar w:fldCharType="end" w:fldLock="0"/>
      </w:r>
      <w:r>
        <w:rPr>
          <w:rtl w:val="0"/>
          <w:lang w:val="en-US"/>
        </w:rPr>
        <w:t>). The petitioner</w:t>
      </w:r>
      <w:r>
        <w:rPr>
          <w:rtl w:val="1"/>
        </w:rPr>
        <w:t>’</w:t>
      </w:r>
      <w:r>
        <w:rPr>
          <w:rtl w:val="0"/>
          <w:lang w:val="en-US"/>
        </w:rPr>
        <w:t>s name and patronym (Stotoetis son of Apynchis) are both typical of Soknopaiou Nesos, a connection suggested by the editor</w:t>
      </w:r>
      <w:r>
        <w:rPr>
          <w:rtl w:val="1"/>
        </w:rPr>
        <w:t>’</w:t>
      </w:r>
      <w:r>
        <w:rPr>
          <w:rtl w:val="0"/>
          <w:lang w:val="en-US"/>
        </w:rPr>
        <w:t>s note to l. 4, and this may indeed be where the papyrus was found.</w:t>
      </w:r>
    </w:p>
    <w:p>
      <w:pPr>
        <w:pStyle w:val="Body"/>
      </w:pPr>
      <w:r>
        <w:rPr>
          <w:rtl w:val="0"/>
          <w:lang w:val="en-US"/>
        </w:rPr>
        <w:tab/>
        <w:t>The final preserved lines are challenging due to abrasion. In lines 12</w:t>
      </w:r>
      <w:r>
        <w:rPr>
          <w:rtl w:val="0"/>
        </w:rPr>
        <w:t>–</w:t>
      </w:r>
      <w:r>
        <w:rPr>
          <w:rtl w:val="0"/>
          <w:lang w:val="en-US"/>
        </w:rPr>
        <w:t xml:space="preserve">13, the editor read </w:t>
      </w:r>
      <w:r>
        <w:rPr>
          <w:rtl w:val="0"/>
        </w:rPr>
        <w:t>κατε</w:t>
      </w:r>
      <w:r>
        <w:rPr>
          <w:rtl w:val="0"/>
        </w:rPr>
        <w:t>|</w:t>
      </w:r>
      <w:r>
        <w:rPr>
          <w:rtl w:val="0"/>
        </w:rPr>
        <w:t>φρ</w:t>
      </w:r>
      <w:r>
        <w:rPr>
          <w:rtl w:val="0"/>
          <w:lang w:val="pt-PT"/>
        </w:rPr>
        <w:t xml:space="preserve">[ </w:t>
      </w:r>
      <w:r>
        <w:rPr>
          <w:rtl w:val="0"/>
        </w:rPr>
        <w:t>̣  ̣  ̣  ̣  ̣  ̣</w:t>
      </w:r>
      <w:r>
        <w:rPr>
          <w:rtl w:val="0"/>
          <w:lang w:val="pt-PT"/>
        </w:rPr>
        <w:t>]</w:t>
      </w:r>
      <w:r>
        <w:rPr>
          <w:rtl w:val="0"/>
        </w:rPr>
        <w:t>ν̣α</w:t>
      </w:r>
      <w:r>
        <w:rPr>
          <w:rtl w:val="0"/>
          <w:lang w:val="en-US"/>
        </w:rPr>
        <w:t xml:space="preserve">[. Instead of the lower parts of </w:t>
      </w:r>
      <w:r>
        <w:rPr>
          <w:rtl w:val="0"/>
        </w:rPr>
        <w:t>φρ</w:t>
      </w:r>
      <w:r>
        <w:rPr>
          <w:rtl w:val="0"/>
          <w:lang w:val="en-US"/>
        </w:rPr>
        <w:t xml:space="preserve">, I see these two uprights as the legs of pi and suggest </w:t>
      </w:r>
      <w:r>
        <w:rPr>
          <w:rtl w:val="0"/>
        </w:rPr>
        <w:t xml:space="preserve">κατὰ̣ </w:t>
      </w:r>
      <w:r>
        <w:rPr>
          <w:rtl w:val="0"/>
        </w:rPr>
        <w:t xml:space="preserve">| </w:t>
      </w:r>
      <w:r>
        <w:rPr>
          <w:rtl w:val="0"/>
        </w:rPr>
        <w:t>π̣α̣ρ̣α̣μ̣ο̣ν̣ή̣ν̣</w:t>
      </w:r>
      <w:r>
        <w:rPr>
          <w:rtl w:val="0"/>
          <w:lang w:val="en-US"/>
        </w:rPr>
        <w:t>, mostly based on sense since the traces are exiguous, but also drawing on the editor</w:t>
      </w:r>
      <w:r>
        <w:rPr>
          <w:rtl w:val="1"/>
        </w:rPr>
        <w:t>’</w:t>
      </w:r>
      <w:r>
        <w:rPr>
          <w:rtl w:val="0"/>
          <w:lang w:val="en-US"/>
        </w:rPr>
        <w:t xml:space="preserve">s nu, which looks right. </w:t>
      </w:r>
    </w:p>
    <w:p>
      <w:pPr>
        <w:pStyle w:val="Body"/>
      </w:pPr>
      <w:r>
        <w:rPr>
          <w:rtl w:val="0"/>
          <w:lang w:val="en-US"/>
        </w:rPr>
        <w:tab/>
        <w:t xml:space="preserve">The petition is similar to the more frequently cited </w:t>
      </w:r>
      <w:r>
        <w:rPr>
          <w:rStyle w:val="Hyperlink.0"/>
        </w:rPr>
        <w:fldChar w:fldCharType="begin" w:fldLock="0"/>
      </w:r>
      <w:r>
        <w:rPr>
          <w:rStyle w:val="Hyperlink.0"/>
        </w:rPr>
        <w:instrText xml:space="preserve"> HYPERLINK "https://papyri.info/ddbdp/p.ryl%3B2%3B128"</w:instrText>
      </w:r>
      <w:r>
        <w:rPr>
          <w:rStyle w:val="Hyperlink.0"/>
        </w:rPr>
        <w:fldChar w:fldCharType="separate" w:fldLock="0"/>
      </w:r>
      <w:r>
        <w:rPr>
          <w:rStyle w:val="Hyperlink.0"/>
          <w:rtl w:val="0"/>
        </w:rPr>
        <w:t>P.Ryl. 2 128</w:t>
      </w:r>
      <w:r>
        <w:rPr/>
        <w:fldChar w:fldCharType="end" w:fldLock="0"/>
      </w:r>
      <w:r>
        <w:rPr>
          <w:rtl w:val="0"/>
        </w:rPr>
        <w:t xml:space="preserve"> (</w:t>
      </w:r>
      <w:r>
        <w:rPr>
          <w:rtl w:val="0"/>
        </w:rPr>
        <w:t>Ε</w:t>
      </w:r>
      <w:r>
        <w:rPr>
          <w:rtl w:val="0"/>
          <w:lang w:val="en-US"/>
        </w:rPr>
        <w:t xml:space="preserve">uhemeria, 30), which likewise narrates the flight of a paramonial worker, this time a girl, from an estate oil mill. Her position is described in comparable terms to the worker in the Strasbourg papyrus: </w:t>
      </w:r>
      <w:r>
        <w:rPr>
          <w:rtl w:val="0"/>
        </w:rPr>
        <w:t xml:space="preserve">ἡ παρʼ ἐμοὶ οὖσα ὑποσύνγραφος Σουῆρις Ἁρσύθμιος παρεμβ̣άλ̣λ̣ουσα </w:t>
      </w:r>
      <w:r>
        <w:rPr>
          <w:rtl w:val="0"/>
          <w:lang w:val="pt-PT"/>
        </w:rPr>
        <w:t>(ll. 7</w:t>
      </w:r>
      <w:r>
        <w:rPr>
          <w:rtl w:val="0"/>
        </w:rPr>
        <w:t>–</w:t>
      </w:r>
      <w:r>
        <w:rPr>
          <w:rtl w:val="0"/>
        </w:rPr>
        <w:t>10).</w:t>
      </w:r>
      <w:r>
        <w:rPr>
          <w:rFonts w:ascii="IFAO-Grec Unicode" w:cs="IFAO-Grec Unicode" w:hAnsi="IFAO-Grec Unicode" w:eastAsia="IFAO-Grec Unicode"/>
          <w:b w:val="0"/>
          <w:bCs w:val="0"/>
          <w:i w:val="0"/>
          <w:iCs w:val="0"/>
          <w:vertAlign w:val="superscript"/>
        </w:rPr>
        <w:footnoteReference w:id="3"/>
      </w:r>
      <w:r>
        <w:rPr>
          <w:rtl w:val="0"/>
          <w:lang w:val="en-US"/>
        </w:rPr>
        <w:t xml:space="preserve"> Both petitions underline the contractual basis of the employment, as does </w:t>
      </w:r>
      <w:r>
        <w:rPr>
          <w:rStyle w:val="Hyperlink.0"/>
        </w:rPr>
        <w:fldChar w:fldCharType="begin" w:fldLock="0"/>
      </w:r>
      <w:r>
        <w:rPr>
          <w:rStyle w:val="Hyperlink.0"/>
        </w:rPr>
        <w:instrText xml:space="preserve"> HYPERLINK "https://papyri.info/ddbdp/p.nyu%3B2%3B3"</w:instrText>
      </w:r>
      <w:r>
        <w:rPr>
          <w:rStyle w:val="Hyperlink.0"/>
        </w:rPr>
        <w:fldChar w:fldCharType="separate" w:fldLock="0"/>
      </w:r>
      <w:r>
        <w:rPr>
          <w:rStyle w:val="Hyperlink.0"/>
          <w:rtl w:val="0"/>
          <w:lang w:val="en-US"/>
        </w:rPr>
        <w:t>P.NYU 2 3</w:t>
      </w:r>
      <w:r>
        <w:rPr/>
        <w:fldChar w:fldCharType="end" w:fldLock="0"/>
      </w:r>
      <w:r>
        <w:rPr>
          <w:rtl w:val="0"/>
          <w:lang w:val="en-US"/>
        </w:rPr>
        <w:t xml:space="preserve">.15, in which the petitioner relates that his donkey driver </w:t>
      </w:r>
      <w:r>
        <w:rPr>
          <w:rtl w:val="1"/>
          <w:lang w:val="ar-SA" w:bidi="ar-SA"/>
        </w:rPr>
        <w:t>“</w:t>
      </w:r>
      <w:r>
        <w:rPr>
          <w:rtl w:val="0"/>
          <w:lang w:val="en-US"/>
        </w:rPr>
        <w:t>was in agreement</w:t>
      </w:r>
      <w:r>
        <w:rPr>
          <w:rtl w:val="0"/>
        </w:rPr>
        <w:t xml:space="preserve">” </w:t>
      </w:r>
      <w:r>
        <w:rPr>
          <w:rtl w:val="0"/>
        </w:rPr>
        <w:t>(</w:t>
      </w:r>
      <w:r>
        <w:rPr>
          <w:rtl w:val="0"/>
        </w:rPr>
        <w:t>συνγνοὺς ἦν</w:t>
      </w:r>
      <w:r>
        <w:rPr>
          <w:rtl w:val="0"/>
          <w:lang w:val="en-US"/>
        </w:rPr>
        <w:t>) with the terms of the contract.</w:t>
      </w:r>
      <w:r>
        <w:rPr>
          <w:rFonts w:ascii="IFAO-Grec Unicode" w:cs="IFAO-Grec Unicode" w:hAnsi="IFAO-Grec Unicode" w:eastAsia="IFAO-Grec Unicode"/>
          <w:b w:val="0"/>
          <w:bCs w:val="0"/>
          <w:i w:val="0"/>
          <w:iCs w:val="0"/>
          <w:vertAlign w:val="superscript"/>
        </w:rPr>
        <w:footnoteReference w:id="4"/>
      </w:r>
      <w:r>
        <w:rPr>
          <w:rtl w:val="0"/>
        </w:rPr>
        <w:t xml:space="preserve"> </w:t>
      </w:r>
    </w:p>
    <w:p>
      <w:pPr>
        <w:pStyle w:val="Body"/>
      </w:pPr>
    </w:p>
    <w:p>
      <w:pPr>
        <w:pStyle w:val="Body"/>
      </w:pPr>
      <w:r>
        <w:rPr>
          <w:rtl w:val="0"/>
          <w:lang w:val="de-DE"/>
        </w:rPr>
        <w:t>#articleHeader</w:t>
      </w:r>
    </w:p>
    <w:p>
      <w:pPr>
        <w:pStyle w:val="Body"/>
        <w:rPr>
          <w:rFonts w:ascii="Times New Roman" w:cs="Times New Roman" w:hAnsi="Times New Roman" w:eastAsia="Times New Roman"/>
          <w:i w:val="1"/>
          <w:iCs w:val="1"/>
        </w:rPr>
      </w:pPr>
      <w:r>
        <w:rPr>
          <w:rtl w:val="0"/>
        </w:rPr>
        <w:t>1</w:t>
      </w:r>
      <w:r>
        <w:rPr>
          <w:rtl w:val="0"/>
          <w:lang w:val="de-DE"/>
        </w:rPr>
        <w:t>1</w:t>
      </w:r>
      <w:r>
        <w:rPr>
          <w:rtl w:val="0"/>
        </w:rPr>
        <w:t xml:space="preserve">. </w:t>
      </w:r>
      <w:r>
        <w:rPr>
          <w:rStyle w:val="Hyperlink.0"/>
        </w:rPr>
        <w:fldChar w:fldCharType="begin" w:fldLock="0"/>
      </w:r>
      <w:r>
        <w:rPr>
          <w:rStyle w:val="Hyperlink.0"/>
        </w:rPr>
        <w:instrText xml:space="preserve"> HYPERLINK "https://papyri.info/ddbdp/sb%3B20%3B15033"</w:instrText>
      </w:r>
      <w:r>
        <w:rPr>
          <w:rStyle w:val="Hyperlink.0"/>
        </w:rPr>
        <w:fldChar w:fldCharType="separate" w:fldLock="0"/>
      </w:r>
      <w:r>
        <w:rPr>
          <w:rStyle w:val="Hyperlink.0"/>
          <w:rtl w:val="0"/>
        </w:rPr>
        <w:t>SB 20 15033</w:t>
      </w:r>
      <w:r>
        <w:rPr/>
        <w:fldChar w:fldCharType="end" w:fldLock="0"/>
      </w:r>
      <w:r>
        <w:rPr>
          <w:rtl w:val="0"/>
          <w:lang w:val="pt-PT"/>
        </w:rPr>
        <w:t xml:space="preserve"> (= P.Oxy. 2 364 descr., 94)</w:t>
      </w:r>
    </w:p>
    <w:p>
      <w:pPr>
        <w:pStyle w:val="Body"/>
      </w:pPr>
    </w:p>
    <w:p>
      <w:pPr>
        <w:pStyle w:val="Body"/>
      </w:pPr>
      <w:r>
        <w:rPr>
          <w:rtl w:val="0"/>
          <w:lang w:val="en-US"/>
        </w:rPr>
        <w:t xml:space="preserve">Described in the second volume of P.Oxy., this papyrus was sent to Trinity College Dublin and published in </w:t>
      </w:r>
      <w:r>
        <w:rPr>
          <w:rStyle w:val="Hyperlink.0"/>
        </w:rPr>
        <w:fldChar w:fldCharType="begin" w:fldLock="0"/>
      </w:r>
      <w:r>
        <w:rPr>
          <w:rStyle w:val="Hyperlink.0"/>
        </w:rPr>
        <w:instrText xml:space="preserve"> HYPERLINK "https://papyri.info/biblio/59800"</w:instrText>
      </w:r>
      <w:r>
        <w:rPr>
          <w:rStyle w:val="Hyperlink.0"/>
        </w:rPr>
        <w:fldChar w:fldCharType="separate" w:fldLock="0"/>
      </w:r>
      <w:r>
        <w:rPr>
          <w:rStyle w:val="Hyperlink.0"/>
          <w:rtl w:val="0"/>
          <w:lang w:val="fr-FR"/>
        </w:rPr>
        <w:t>Daris 1989</w:t>
      </w:r>
      <w:r>
        <w:rPr/>
        <w:fldChar w:fldCharType="end" w:fldLock="0"/>
      </w:r>
      <w:r>
        <w:rPr>
          <w:rtl w:val="0"/>
          <w:lang w:val="en-US"/>
        </w:rPr>
        <w:t xml:space="preserve">. It is a mandate drawn up in Oxyrhynchos in 94 </w:t>
      </w:r>
      <w:r>
        <w:rPr>
          <w:rtl w:val="0"/>
          <w:lang w:val="de-DE"/>
        </w:rPr>
        <w:t>through</w:t>
      </w:r>
      <w:r>
        <w:rPr>
          <w:rtl w:val="0"/>
          <w:lang w:val="en-US"/>
        </w:rPr>
        <w:t xml:space="preserve"> which Ti. Claudius Sarapion, former </w:t>
      </w:r>
      <w:r>
        <w:rPr>
          <w:rtl w:val="0"/>
          <w:lang w:val="pt-PT"/>
        </w:rPr>
        <w:t xml:space="preserve">agoranomos </w:t>
      </w:r>
      <w:r>
        <w:rPr>
          <w:rtl w:val="0"/>
          <w:lang w:val="en-US"/>
        </w:rPr>
        <w:t xml:space="preserve">of Alexandria, authorizes a local to collect the debts owed to a woman whom he represented in some way (the editor supplies </w:t>
      </w:r>
      <w:r>
        <w:rPr>
          <w:rtl w:val="0"/>
        </w:rPr>
        <w:t xml:space="preserve">ἐπίτροπος </w:t>
      </w:r>
      <w:r>
        <w:rPr>
          <w:rtl w:val="0"/>
          <w:lang w:val="en-US"/>
        </w:rPr>
        <w:t>(?) where the papyrus breaks off). Digital images have revealed a small piece folded onto the back of the papyrus, which went unnoticed in the ed. pr., and provide the woman</w:t>
      </w:r>
      <w:r>
        <w:rPr>
          <w:rtl w:val="1"/>
        </w:rPr>
        <w:t>’</w:t>
      </w:r>
      <w:r>
        <w:rPr>
          <w:rtl w:val="0"/>
          <w:lang w:val="de-DE"/>
        </w:rPr>
        <w:t xml:space="preserve">s </w:t>
      </w:r>
      <w:r>
        <w:rPr>
          <w:rtl w:val="0"/>
          <w:lang w:val="it-IT"/>
        </w:rPr>
        <w:t>full name, Octavia Politta. Lines 14</w:t>
      </w:r>
      <w:r>
        <w:rPr>
          <w:rtl w:val="0"/>
        </w:rPr>
        <w:t>–</w:t>
      </w:r>
      <w:r>
        <w:rPr>
          <w:rtl w:val="0"/>
          <w:lang w:val="en-US"/>
        </w:rPr>
        <w:t>15 can be read as follows:</w:t>
      </w:r>
    </w:p>
    <w:p>
      <w:pPr>
        <w:pStyle w:val="Body"/>
      </w:pPr>
    </w:p>
    <w:p>
      <w:pPr>
        <w:pStyle w:val="Body"/>
      </w:pPr>
      <w:r>
        <w:rPr>
          <w:rtl w:val="0"/>
        </w:rPr>
        <w:tab/>
        <w:t xml:space="preserve">ἀπαιτήσον¦τα π̣¦άντα τὰ </w:t>
      </w:r>
      <w:r>
        <w:rPr>
          <w:rtl w:val="0"/>
          <w:lang w:val="pt-PT"/>
        </w:rPr>
        <w:t>[</w:t>
      </w:r>
      <w:r>
        <w:rPr>
          <w:rtl w:val="0"/>
        </w:rPr>
        <w:t>ὀφ</w:t>
      </w:r>
      <w:r>
        <w:rPr>
          <w:rtl w:val="0"/>
          <w:lang w:val="pt-PT"/>
        </w:rPr>
        <w:t>]</w:t>
      </w:r>
      <w:r>
        <w:rPr>
          <w:rtl w:val="0"/>
        </w:rPr>
        <w:t>ε̣ιλόμε</w:t>
      </w:r>
      <w:r>
        <w:rPr>
          <w:rtl w:val="0"/>
        </w:rPr>
        <w:t>-</w:t>
      </w:r>
    </w:p>
    <w:p>
      <w:pPr>
        <w:pStyle w:val="Body"/>
        <w:ind w:firstLine="720"/>
      </w:pPr>
      <w:r>
        <w:rPr>
          <w:rtl w:val="0"/>
        </w:rPr>
        <w:t>να Ὀκτ̣άιᾳ Π¦ολίτ¦τ̣ᾳ</w:t>
      </w:r>
      <w:r>
        <w:rPr>
          <w:rtl w:val="0"/>
        </w:rPr>
        <w:t xml:space="preserve">, </w:t>
      </w:r>
      <w:r>
        <w:rPr>
          <w:rtl w:val="0"/>
        </w:rPr>
        <w:t>ἧς ἐστιν̣ ὁ ὁμολο</w:t>
      </w:r>
      <w:r>
        <w:rPr>
          <w:rtl w:val="0"/>
        </w:rPr>
        <w:t>-</w:t>
      </w:r>
    </w:p>
    <w:p>
      <w:pPr>
        <w:pStyle w:val="Body"/>
        <w:ind w:firstLine="720"/>
      </w:pPr>
      <w:r>
        <w:rPr>
          <w:rtl w:val="0"/>
          <w:lang w:val="pt-PT"/>
        </w:rPr>
        <w:t>[</w:t>
      </w:r>
      <w:r>
        <w:rPr>
          <w:rtl w:val="0"/>
        </w:rPr>
        <w:t xml:space="preserve">γῶν ἐπίτροπος </w:t>
      </w:r>
      <w:r>
        <w:rPr>
          <w:rtl w:val="0"/>
          <w:lang w:val="pt-PT" w:eastAsia="zh-TW"/>
        </w:rPr>
        <w:t>(?)</w:t>
        <w:tab/>
        <w:tab/>
        <w:tab/>
        <w:t>]</w:t>
      </w:r>
    </w:p>
    <w:p>
      <w:pPr>
        <w:pStyle w:val="Body"/>
      </w:pPr>
    </w:p>
    <w:p>
      <w:pPr>
        <w:pStyle w:val="Body"/>
      </w:pPr>
      <w:r>
        <w:rPr>
          <w:rtl w:val="0"/>
          <w:lang w:val="de-DE"/>
        </w:rPr>
        <w:t>#articleHeader</w:t>
      </w:r>
    </w:p>
    <w:p>
      <w:pPr>
        <w:pStyle w:val="Body"/>
      </w:pPr>
      <w:r>
        <w:rPr>
          <w:rtl w:val="0"/>
        </w:rPr>
        <w:t>1</w:t>
      </w:r>
      <w:r>
        <w:rPr>
          <w:rtl w:val="0"/>
          <w:lang w:val="de-DE"/>
        </w:rPr>
        <w:t>2</w:t>
      </w:r>
      <w:r>
        <w:rPr>
          <w:rtl w:val="0"/>
        </w:rPr>
        <w:t xml:space="preserve">. </w:t>
      </w:r>
      <w:r>
        <w:rPr>
          <w:rStyle w:val="Hyperlink.0"/>
        </w:rPr>
        <w:fldChar w:fldCharType="begin" w:fldLock="0"/>
      </w:r>
      <w:r>
        <w:rPr>
          <w:rStyle w:val="Hyperlink.0"/>
        </w:rPr>
        <w:instrText xml:space="preserve"> HYPERLINK "https://papyri.info/ddbdp/bgu%3B2%3B515"</w:instrText>
      </w:r>
      <w:r>
        <w:rPr>
          <w:rStyle w:val="Hyperlink.0"/>
        </w:rPr>
        <w:fldChar w:fldCharType="separate" w:fldLock="0"/>
      </w:r>
      <w:r>
        <w:rPr>
          <w:rStyle w:val="Hyperlink.0"/>
          <w:rtl w:val="0"/>
        </w:rPr>
        <w:t>Sel.Pap. 2</w:t>
      </w:r>
      <w:r>
        <w:rPr>
          <w:rStyle w:val="Hyperlink.0"/>
          <w:rtl w:val="0"/>
        </w:rPr>
        <w:t> </w:t>
      </w:r>
      <w:r>
        <w:rPr>
          <w:rStyle w:val="Hyperlink.0"/>
          <w:rtl w:val="0"/>
        </w:rPr>
        <w:t>286</w:t>
      </w:r>
      <w:r>
        <w:rPr/>
        <w:fldChar w:fldCharType="end" w:fldLock="0"/>
      </w:r>
      <w:r>
        <w:rPr>
          <w:rtl w:val="0"/>
        </w:rPr>
        <w:t xml:space="preserve"> = W.Chr. 268 = BGU 2 515 (Karanis, 193)</w:t>
      </w:r>
    </w:p>
    <w:p>
      <w:pPr>
        <w:pStyle w:val="Body"/>
        <w:jc w:val="center"/>
      </w:pPr>
    </w:p>
    <w:p>
      <w:pPr>
        <w:pStyle w:val="Body"/>
      </w:pPr>
      <w:r>
        <w:rPr>
          <w:rtl w:val="0"/>
          <w:lang w:val="en-US"/>
        </w:rPr>
        <w:tab/>
        <w:t xml:space="preserve">This petition narrates the aggressive methods of a pair of </w:t>
      </w:r>
      <w:r>
        <w:rPr>
          <w:rtl w:val="0"/>
        </w:rPr>
        <w:t>πράκτορες σιτικῶν</w:t>
      </w:r>
      <w:r>
        <w:rPr>
          <w:rtl w:val="0"/>
          <w:lang w:val="en-US"/>
        </w:rPr>
        <w:t>, together with their secretary and assistant, to collect a single artaba owed by the petitioner and his brother, resulting in assault on their mother. Originally published as BGU 2 515, the document was improved in Wilcken</w:t>
      </w:r>
      <w:r>
        <w:rPr>
          <w:rtl w:val="1"/>
        </w:rPr>
        <w:t>’</w:t>
      </w:r>
      <w:r>
        <w:rPr>
          <w:rtl w:val="0"/>
        </w:rPr>
        <w:t xml:space="preserve">s </w:t>
      </w:r>
      <w:r>
        <w:rPr>
          <w:rtl w:val="0"/>
          <w:lang w:val="da-DK"/>
        </w:rPr>
        <w:t>Chrestomathie</w:t>
      </w:r>
      <w:r>
        <w:rPr>
          <w:rtl w:val="0"/>
          <w:lang w:val="en-US"/>
        </w:rPr>
        <w:t xml:space="preserve"> and further refined in Sel. Pap. 2 286.</w:t>
      </w:r>
      <w:r>
        <w:rPr>
          <w:rFonts w:ascii="IFAO-Grec Unicode" w:cs="IFAO-Grec Unicode" w:hAnsi="IFAO-Grec Unicode" w:eastAsia="IFAO-Grec Unicode"/>
          <w:b w:val="0"/>
          <w:bCs w:val="0"/>
          <w:i w:val="0"/>
          <w:iCs w:val="0"/>
          <w:vertAlign w:val="superscript"/>
        </w:rPr>
        <w:footnoteReference w:id="5"/>
      </w:r>
    </w:p>
    <w:p>
      <w:pPr>
        <w:pStyle w:val="Body"/>
        <w:ind w:firstLine="720"/>
      </w:pPr>
      <w:r>
        <w:rPr>
          <w:rtl w:val="0"/>
          <w:lang w:val="en-US"/>
        </w:rPr>
        <w:t>Combined efforts have improved the understanding of the end of the narrative and details of the alleged attack, which began when the tax collectors burst into the petitioner</w:t>
      </w:r>
      <w:r>
        <w:rPr>
          <w:rtl w:val="1"/>
        </w:rPr>
        <w:t>’</w:t>
      </w:r>
      <w:r>
        <w:rPr>
          <w:rtl w:val="0"/>
          <w:lang w:val="en-US"/>
        </w:rPr>
        <w:t>s home while he was out in the fields and violently removed his mother</w:t>
      </w:r>
      <w:r>
        <w:rPr>
          <w:rtl w:val="1"/>
        </w:rPr>
        <w:t>’</w:t>
      </w:r>
      <w:r>
        <w:rPr>
          <w:rtl w:val="0"/>
          <w:lang w:val="en-US"/>
        </w:rPr>
        <w:t xml:space="preserve">s cloak: </w:t>
      </w:r>
      <w:r>
        <w:rPr>
          <w:rtl w:val="0"/>
        </w:rPr>
        <w:t>ἐπε</w:t>
      </w:r>
      <w:r>
        <w:rPr>
          <w:rtl w:val="0"/>
          <w:lang w:val="pt-PT"/>
        </w:rPr>
        <w:t>[</w:t>
      </w:r>
      <w:r>
        <w:rPr>
          <w:rtl w:val="0"/>
        </w:rPr>
        <w:t>ι</w:t>
      </w:r>
      <w:r>
        <w:rPr>
          <w:rtl w:val="0"/>
        </w:rPr>
        <w:t>]|</w:t>
      </w:r>
      <w:r>
        <w:rPr>
          <w:rtl w:val="0"/>
        </w:rPr>
        <w:t>σῆλθαν τῇ ο</w:t>
      </w:r>
      <w:r>
        <w:rPr>
          <w:rtl w:val="0"/>
          <w:lang w:val="pt-PT"/>
        </w:rPr>
        <w:t>[</w:t>
      </w:r>
      <w:r>
        <w:rPr>
          <w:rtl w:val="0"/>
        </w:rPr>
        <w:t>ἰ</w:t>
      </w:r>
      <w:r>
        <w:rPr>
          <w:rtl w:val="0"/>
          <w:lang w:val="pt-PT"/>
        </w:rPr>
        <w:t>]</w:t>
      </w:r>
      <w:r>
        <w:rPr>
          <w:rtl w:val="0"/>
        </w:rPr>
        <w:t xml:space="preserve">κίᾳ μου … </w:t>
      </w:r>
      <w:r>
        <w:rPr>
          <w:rtl w:val="0"/>
          <w:lang w:val="pt-PT"/>
        </w:rPr>
        <w:t>[</w:t>
      </w:r>
      <w:r>
        <w:rPr>
          <w:rtl w:val="0"/>
        </w:rPr>
        <w:t>κ</w:t>
      </w:r>
      <w:r>
        <w:rPr>
          <w:rtl w:val="0"/>
          <w:lang w:val="pt-PT"/>
        </w:rPr>
        <w:t>]</w:t>
      </w:r>
      <w:r>
        <w:rPr>
          <w:rtl w:val="0"/>
        </w:rPr>
        <w:t>αὶ ἀφήρπα</w:t>
      </w:r>
      <w:r>
        <w:rPr>
          <w:rtl w:val="0"/>
        </w:rPr>
        <w:t>|</w:t>
      </w:r>
      <w:r>
        <w:rPr>
          <w:rtl w:val="0"/>
        </w:rPr>
        <w:t>σα</w:t>
      </w:r>
      <w:r>
        <w:rPr>
          <w:rtl w:val="0"/>
          <w:lang w:val="pt-PT"/>
        </w:rPr>
        <w:t>[</w:t>
      </w:r>
      <w:r>
        <w:rPr>
          <w:rtl w:val="0"/>
        </w:rPr>
        <w:t>ν</w:t>
      </w:r>
      <w:r>
        <w:rPr>
          <w:rtl w:val="0"/>
          <w:lang w:val="pt-PT"/>
        </w:rPr>
        <w:t xml:space="preserve">] </w:t>
      </w:r>
      <w:r>
        <w:rPr>
          <w:rtl w:val="0"/>
        </w:rPr>
        <w:t xml:space="preserve">ἀπὸ τῆς </w:t>
      </w:r>
      <w:r>
        <w:rPr>
          <w:rtl w:val="0"/>
          <w:lang w:val="pt-PT"/>
        </w:rPr>
        <w:t>[</w:t>
      </w:r>
      <w:r>
        <w:rPr>
          <w:rtl w:val="0"/>
        </w:rPr>
        <w:t>μη</w:t>
      </w:r>
      <w:r>
        <w:rPr>
          <w:rtl w:val="0"/>
          <w:lang w:val="pt-PT"/>
        </w:rPr>
        <w:t>]</w:t>
      </w:r>
      <w:r>
        <w:rPr>
          <w:rtl w:val="0"/>
        </w:rPr>
        <w:t>τρός μου ἱμά</w:t>
      </w:r>
      <w:r>
        <w:rPr>
          <w:rtl w:val="0"/>
        </w:rPr>
        <w:t>|[</w:t>
      </w:r>
      <w:r>
        <w:rPr>
          <w:rtl w:val="0"/>
        </w:rPr>
        <w:t>τιο</w:t>
      </w:r>
      <w:r>
        <w:rPr>
          <w:rtl w:val="0"/>
          <w:lang w:val="pt-PT"/>
        </w:rPr>
        <w:t>]</w:t>
      </w:r>
      <w:r>
        <w:rPr>
          <w:rtl w:val="0"/>
        </w:rPr>
        <w:t xml:space="preserve">ν </w:t>
      </w:r>
      <w:r>
        <w:rPr>
          <w:rtl w:val="0"/>
          <w:lang w:val="pt-PT"/>
        </w:rPr>
        <w:t>(ll. 13</w:t>
      </w:r>
      <w:r>
        <w:rPr>
          <w:rtl w:val="0"/>
        </w:rPr>
        <w:t>–</w:t>
      </w:r>
      <w:r>
        <w:rPr>
          <w:rtl w:val="0"/>
          <w:lang w:val="en-US"/>
        </w:rPr>
        <w:t>20). Schubart has so far offered the most attractive solution to what follows in ll. 20</w:t>
      </w:r>
      <w:r>
        <w:rPr>
          <w:rtl w:val="0"/>
        </w:rPr>
        <w:t>–</w:t>
      </w:r>
      <w:r>
        <w:rPr>
          <w:rtl w:val="0"/>
        </w:rPr>
        <w:t xml:space="preserve">21: </w:t>
      </w:r>
      <w:r>
        <w:rPr>
          <w:rtl w:val="0"/>
        </w:rPr>
        <w:t>καὶ λ̣α̣κ̣</w:t>
      </w:r>
      <w:r>
        <w:rPr>
          <w:rtl w:val="0"/>
          <w:lang w:val="pt-PT"/>
        </w:rPr>
        <w:t>[</w:t>
      </w:r>
      <w:r>
        <w:rPr>
          <w:rtl w:val="0"/>
        </w:rPr>
        <w:t>τί</w:t>
      </w:r>
      <w:r>
        <w:rPr>
          <w:rtl w:val="0"/>
          <w:lang w:val="pt-PT"/>
        </w:rPr>
        <w:t>]</w:t>
      </w:r>
      <w:r>
        <w:rPr>
          <w:rtl w:val="0"/>
        </w:rPr>
        <w:t xml:space="preserve">σμασιν αὐτὴν </w:t>
      </w:r>
      <w:r>
        <w:rPr>
          <w:rtl w:val="0"/>
        </w:rPr>
        <w:t>| [</w:t>
      </w:r>
      <w:r>
        <w:rPr>
          <w:rtl w:val="0"/>
        </w:rPr>
        <w:t>ἐξ</w:t>
      </w:r>
      <w:r>
        <w:rPr>
          <w:rtl w:val="0"/>
          <w:lang w:val="pt-PT"/>
        </w:rPr>
        <w:t>]</w:t>
      </w:r>
      <w:r>
        <w:rPr>
          <w:rtl w:val="0"/>
        </w:rPr>
        <w:t xml:space="preserve">έβαλον </w:t>
      </w:r>
      <w:r>
        <w:rPr>
          <w:rtl w:val="0"/>
        </w:rPr>
        <w:t>(</w:t>
      </w:r>
      <w:r>
        <w:rPr>
          <w:rtl w:val="0"/>
          <w:lang w:val="de-DE"/>
        </w:rPr>
        <w:t>BL 2.2 18 = BL 3 13</w:t>
      </w:r>
      <w:r>
        <w:rPr>
          <w:rtl w:val="0"/>
        </w:rPr>
        <w:t>).</w:t>
      </w:r>
      <w:r>
        <w:rPr>
          <w:vertAlign w:val="superscript"/>
        </w:rPr>
        <w:footnoteReference w:id="6"/>
      </w:r>
    </w:p>
    <w:p>
      <w:pPr>
        <w:pStyle w:val="Body"/>
        <w:ind w:firstLine="720"/>
      </w:pPr>
      <w:r>
        <w:rPr>
          <w:rtl w:val="0"/>
        </w:rPr>
        <w:t>Α</w:t>
      </w:r>
      <w:r>
        <w:rPr>
          <w:rtl w:val="0"/>
          <w:lang w:val="en-US"/>
        </w:rPr>
        <w:t>s a result of this attack, the petitioner continues, his mother was bedridden: [</w:t>
      </w:r>
      <w:r>
        <w:rPr>
          <w:rtl w:val="0"/>
        </w:rPr>
        <w:t>διὸ ἐκ τ</w:t>
      </w:r>
      <w:r>
        <w:rPr>
          <w:rtl w:val="0"/>
          <w:lang w:val="pt-PT"/>
        </w:rPr>
        <w:t>]</w:t>
      </w:r>
      <w:r>
        <w:rPr>
          <w:rtl w:val="0"/>
        </w:rPr>
        <w:t>ούτου τε κλει</w:t>
      </w:r>
      <w:r>
        <w:rPr>
          <w:rtl w:val="0"/>
        </w:rPr>
        <w:t>|[</w:t>
      </w:r>
      <w:r>
        <w:rPr>
          <w:rtl w:val="0"/>
        </w:rPr>
        <w:t>νήρου</w:t>
      </w:r>
      <w:r>
        <w:rPr>
          <w:rtl w:val="0"/>
          <w:lang w:val="pt-PT"/>
        </w:rPr>
        <w:t>]</w:t>
      </w:r>
      <w:r>
        <w:rPr>
          <w:rtl w:val="0"/>
        </w:rPr>
        <w:t>ς α</w:t>
      </w:r>
      <w:r>
        <w:rPr>
          <w:rtl w:val="0"/>
          <w:lang w:val="pt-PT"/>
        </w:rPr>
        <w:t>[</w:t>
      </w:r>
      <w:r>
        <w:rPr>
          <w:rtl w:val="0"/>
        </w:rPr>
        <w:t>ὐτῆς γ</w:t>
      </w:r>
      <w:r>
        <w:rPr>
          <w:rtl w:val="0"/>
          <w:lang w:val="pt-PT"/>
        </w:rPr>
        <w:t>]</w:t>
      </w:r>
      <w:r>
        <w:rPr>
          <w:rtl w:val="0"/>
        </w:rPr>
        <w:t xml:space="preserve">ενομένης </w:t>
      </w:r>
      <w:r>
        <w:rPr>
          <w:rtl w:val="0"/>
        </w:rPr>
        <w:t>| [</w:t>
      </w:r>
      <w:r>
        <w:rPr>
          <w:rtl w:val="0"/>
        </w:rPr>
        <w:t xml:space="preserve">τε </w:t>
      </w:r>
      <w:r>
        <w:rPr>
          <w:rtl w:val="0"/>
          <w:lang w:val="zh-TW" w:eastAsia="zh-TW"/>
        </w:rPr>
        <w:t xml:space="preserve">(?) </w:t>
      </w:r>
      <w:r>
        <w:rPr>
          <w:rtl w:val="0"/>
        </w:rPr>
        <w:t>καὶ μ</w:t>
      </w:r>
      <w:r>
        <w:rPr>
          <w:rtl w:val="0"/>
          <w:lang w:val="pt-PT"/>
        </w:rPr>
        <w:t>]</w:t>
      </w:r>
      <w:r>
        <w:rPr>
          <w:rtl w:val="0"/>
        </w:rPr>
        <w:t>ὴ δυν</w:t>
      </w:r>
      <w:r>
        <w:rPr>
          <w:rtl w:val="0"/>
          <w:lang w:val="pt-PT"/>
        </w:rPr>
        <w:t>[</w:t>
      </w:r>
      <w:r>
        <w:rPr>
          <w:rtl w:val="0"/>
        </w:rPr>
        <w:t>αμέ</w:t>
      </w:r>
      <w:r>
        <w:rPr>
          <w:rtl w:val="0"/>
          <w:lang w:val="pt-PT"/>
        </w:rPr>
        <w:t>]</w:t>
      </w:r>
      <w:r>
        <w:rPr>
          <w:rtl w:val="0"/>
        </w:rPr>
        <w:t>ν̣ης τω</w:t>
      </w:r>
      <w:r>
        <w:rPr>
          <w:rtl w:val="0"/>
        </w:rPr>
        <w:t xml:space="preserve">|[  </w:t>
      </w:r>
      <w:r>
        <w:rPr>
          <w:rtl w:val="0"/>
        </w:rPr>
        <w:t>̣  ̣  ̣  ̣</w:t>
      </w:r>
      <w:r>
        <w:rPr>
          <w:rtl w:val="0"/>
          <w:lang w:val="pt-PT"/>
        </w:rPr>
        <w:t>]</w:t>
      </w:r>
      <w:r>
        <w:rPr>
          <w:rtl w:val="0"/>
        </w:rPr>
        <w:t>ν</w:t>
      </w:r>
      <w:r>
        <w:rPr>
          <w:rtl w:val="0"/>
          <w:lang w:val="en-US"/>
        </w:rPr>
        <w:t>, as printed in W.Chr. 268.21</w:t>
      </w:r>
      <w:r>
        <w:rPr>
          <w:rtl w:val="0"/>
        </w:rPr>
        <w:t>–</w:t>
      </w:r>
      <w:r>
        <w:rPr>
          <w:rtl w:val="0"/>
          <w:lang w:val="en-US"/>
        </w:rPr>
        <w:t xml:space="preserve">23. Commentators sought an infinitive beginning </w:t>
      </w:r>
      <w:r>
        <w:rPr>
          <w:rtl w:val="0"/>
        </w:rPr>
        <w:t>τω</w:t>
      </w:r>
      <w:r>
        <w:rPr>
          <w:rtl w:val="0"/>
          <w:lang w:val="en-US"/>
        </w:rPr>
        <w:t xml:space="preserve">- to complement </w:t>
      </w:r>
      <w:r>
        <w:rPr>
          <w:rtl w:val="0"/>
        </w:rPr>
        <w:t>δυν</w:t>
      </w:r>
      <w:r>
        <w:rPr>
          <w:rtl w:val="0"/>
          <w:lang w:val="pt-PT"/>
        </w:rPr>
        <w:t>[</w:t>
      </w:r>
      <w:r>
        <w:rPr>
          <w:rtl w:val="0"/>
        </w:rPr>
        <w:t>αμέ</w:t>
      </w:r>
      <w:r>
        <w:rPr>
          <w:rtl w:val="0"/>
          <w:lang w:val="pt-PT"/>
        </w:rPr>
        <w:t>]</w:t>
      </w:r>
      <w:r>
        <w:rPr>
          <w:rtl w:val="0"/>
        </w:rPr>
        <w:t xml:space="preserve">ν̣ης </w:t>
      </w:r>
      <w:r>
        <w:rPr>
          <w:rtl w:val="0"/>
        </w:rPr>
        <w:t>(e.g. BL 5 11),</w:t>
      </w:r>
      <w:r>
        <w:rPr>
          <w:vertAlign w:val="superscript"/>
          <w:rtl w:val="0"/>
        </w:rPr>
        <w:t xml:space="preserve"> </w:t>
      </w:r>
      <w:r>
        <w:rPr>
          <w:rtl w:val="0"/>
          <w:lang w:val="en-US"/>
        </w:rPr>
        <w:t xml:space="preserve">but the editors of Sel. Pap. II 286 took the next step by printing [ </w:t>
      </w:r>
      <w:r>
        <w:rPr>
          <w:rtl w:val="0"/>
        </w:rPr>
        <w:t>̣  ̣  ̣  ̣  ̣ μ</w:t>
      </w:r>
      <w:r>
        <w:rPr>
          <w:rtl w:val="0"/>
          <w:lang w:val="pt-PT"/>
        </w:rPr>
        <w:t>]</w:t>
      </w:r>
      <w:r>
        <w:rPr>
          <w:rtl w:val="0"/>
        </w:rPr>
        <w:t>ὴ δυν</w:t>
      </w:r>
      <w:r>
        <w:rPr>
          <w:rtl w:val="0"/>
          <w:lang w:val="pt-PT"/>
        </w:rPr>
        <w:t>[</w:t>
      </w:r>
      <w:r>
        <w:rPr>
          <w:rtl w:val="0"/>
        </w:rPr>
        <w:t>αμέ</w:t>
      </w:r>
      <w:r>
        <w:rPr>
          <w:rtl w:val="0"/>
          <w:lang w:val="pt-PT"/>
        </w:rPr>
        <w:t>]</w:t>
      </w:r>
      <w:r>
        <w:rPr>
          <w:rtl w:val="0"/>
        </w:rPr>
        <w:t xml:space="preserve">νης τῷ </w:t>
      </w:r>
      <w:r>
        <w:rPr>
          <w:rtl w:val="0"/>
        </w:rPr>
        <w:t xml:space="preserve">| [  </w:t>
      </w:r>
      <w:r>
        <w:rPr>
          <w:rtl w:val="0"/>
        </w:rPr>
        <w:t>̣  ̣  ̣  ̣</w:t>
      </w:r>
      <w:r>
        <w:rPr>
          <w:rtl w:val="0"/>
          <w:lang w:val="pt-PT"/>
        </w:rPr>
        <w:t>]</w:t>
      </w:r>
      <w:r>
        <w:rPr>
          <w:rtl w:val="0"/>
        </w:rPr>
        <w:t>ν</w:t>
      </w:r>
      <w:r>
        <w:rPr>
          <w:rtl w:val="0"/>
          <w:lang w:val="en-US"/>
        </w:rPr>
        <w:t xml:space="preserve">, recognizing an articular infinitive with an instrumental use of the dative and leaving space for an infinitive complement of </w:t>
      </w:r>
      <w:r>
        <w:rPr>
          <w:rtl w:val="0"/>
        </w:rPr>
        <w:t>δυν</w:t>
      </w:r>
      <w:r>
        <w:rPr>
          <w:rtl w:val="0"/>
          <w:lang w:val="pt-PT"/>
        </w:rPr>
        <w:t>[</w:t>
      </w:r>
      <w:r>
        <w:rPr>
          <w:rtl w:val="0"/>
        </w:rPr>
        <w:t>αμέ</w:t>
      </w:r>
      <w:r>
        <w:rPr>
          <w:rtl w:val="0"/>
          <w:lang w:val="pt-PT"/>
        </w:rPr>
        <w:t>]</w:t>
      </w:r>
      <w:r>
        <w:rPr>
          <w:rtl w:val="0"/>
        </w:rPr>
        <w:t>νης</w:t>
      </w:r>
      <w:r>
        <w:rPr>
          <w:rtl w:val="0"/>
        </w:rPr>
        <w:t>.</w:t>
      </w:r>
    </w:p>
    <w:p>
      <w:pPr>
        <w:pStyle w:val="Body"/>
        <w:ind w:firstLine="720"/>
      </w:pPr>
      <w:r>
        <w:rPr>
          <w:rtl w:val="0"/>
          <w:lang w:val="en-US"/>
        </w:rPr>
        <w:t>An examination of the image, however, reveals an issue with the ending -</w:t>
      </w:r>
      <w:r>
        <w:rPr>
          <w:rtl w:val="0"/>
        </w:rPr>
        <w:t>νης</w:t>
      </w:r>
      <w:r>
        <w:rPr>
          <w:rtl w:val="0"/>
          <w:lang w:val="en-US"/>
        </w:rPr>
        <w:t xml:space="preserve">, namely a clear curving stroke before the eta that is not likely to come from nu. It is rather a sigma with the same shape as the final letter, which leads to the participle </w:t>
      </w:r>
      <w:r>
        <w:rPr>
          <w:rtl w:val="0"/>
        </w:rPr>
        <w:t>κι</w:t>
      </w:r>
      <w:r>
        <w:rPr>
          <w:rtl w:val="0"/>
          <w:lang w:val="pt-PT"/>
        </w:rPr>
        <w:t>]</w:t>
      </w:r>
      <w:r>
        <w:rPr>
          <w:rtl w:val="0"/>
        </w:rPr>
        <w:t>νδυν</w:t>
      </w:r>
      <w:r>
        <w:rPr>
          <w:rtl w:val="0"/>
          <w:lang w:val="pt-PT"/>
        </w:rPr>
        <w:t>[</w:t>
      </w:r>
      <w:r>
        <w:rPr>
          <w:rtl w:val="0"/>
        </w:rPr>
        <w:t>ε</w:t>
      </w:r>
      <w:r>
        <w:rPr>
          <w:rtl w:val="0"/>
          <w:lang w:val="pt-PT"/>
        </w:rPr>
        <w:t>]</w:t>
      </w:r>
      <w:r>
        <w:rPr>
          <w:rtl w:val="0"/>
        </w:rPr>
        <w:t>υ̣ο̣ύ̣σης</w:t>
      </w:r>
      <w:r>
        <w:rPr>
          <w:rtl w:val="0"/>
          <w:lang w:val="en-US"/>
        </w:rPr>
        <w:t>. The line can be filled out with [</w:t>
      </w:r>
      <w:r>
        <w:rPr>
          <w:rtl w:val="0"/>
        </w:rPr>
        <w:t>καὶ κι</w:t>
      </w:r>
      <w:r>
        <w:rPr>
          <w:rtl w:val="0"/>
          <w:lang w:val="pt-PT"/>
        </w:rPr>
        <w:t>]</w:t>
      </w:r>
      <w:r>
        <w:rPr>
          <w:rtl w:val="0"/>
        </w:rPr>
        <w:t>νδυν</w:t>
      </w:r>
      <w:r>
        <w:rPr>
          <w:rtl w:val="0"/>
          <w:lang w:val="pt-PT"/>
        </w:rPr>
        <w:t>[</w:t>
      </w:r>
      <w:r>
        <w:rPr>
          <w:rtl w:val="0"/>
        </w:rPr>
        <w:t>ε</w:t>
      </w:r>
      <w:r>
        <w:rPr>
          <w:rtl w:val="0"/>
          <w:lang w:val="pt-PT"/>
        </w:rPr>
        <w:t>]</w:t>
      </w:r>
      <w:r>
        <w:rPr>
          <w:rtl w:val="0"/>
        </w:rPr>
        <w:t>υ̣ο̣ύ̣σης</w:t>
      </w:r>
      <w:r>
        <w:rPr>
          <w:rtl w:val="0"/>
          <w:lang w:val="en-US"/>
        </w:rPr>
        <w:t xml:space="preserve">, producing a proper </w:t>
      </w:r>
      <w:r>
        <w:rPr>
          <w:rtl w:val="0"/>
        </w:rPr>
        <w:t xml:space="preserve">τε … καί </w:t>
      </w:r>
      <w:r>
        <w:rPr>
          <w:rtl w:val="0"/>
          <w:lang w:val="en-US"/>
        </w:rPr>
        <w:t xml:space="preserve">correlation in place of the awkward </w:t>
      </w:r>
      <w:r>
        <w:rPr>
          <w:rtl w:val="0"/>
        </w:rPr>
        <w:t xml:space="preserve">τε … τε </w:t>
      </w:r>
      <w:r>
        <w:rPr>
          <w:rtl w:val="0"/>
          <w:lang w:val="zh-TW" w:eastAsia="zh-TW"/>
        </w:rPr>
        <w:t xml:space="preserve">(?) </w:t>
      </w:r>
      <w:r>
        <w:rPr>
          <w:rtl w:val="0"/>
        </w:rPr>
        <w:t xml:space="preserve">καί </w:t>
      </w:r>
      <w:r>
        <w:rPr>
          <w:rtl w:val="0"/>
          <w:lang w:val="en-US"/>
        </w:rPr>
        <w:t>of W.Chr. The articular infinitive is then easily supplied, as we have come upon a stock phrase of petitions: [</w:t>
      </w:r>
      <w:r>
        <w:rPr>
          <w:rtl w:val="0"/>
        </w:rPr>
        <w:t>καὶ κι</w:t>
      </w:r>
      <w:r>
        <w:rPr>
          <w:rtl w:val="0"/>
          <w:lang w:val="pt-PT"/>
        </w:rPr>
        <w:t>]</w:t>
      </w:r>
      <w:r>
        <w:rPr>
          <w:rtl w:val="0"/>
        </w:rPr>
        <w:t>νδυν</w:t>
      </w:r>
      <w:r>
        <w:rPr>
          <w:rtl w:val="0"/>
          <w:lang w:val="pt-PT"/>
        </w:rPr>
        <w:t>[</w:t>
      </w:r>
      <w:r>
        <w:rPr>
          <w:rtl w:val="0"/>
        </w:rPr>
        <w:t>ε</w:t>
      </w:r>
      <w:r>
        <w:rPr>
          <w:rtl w:val="0"/>
          <w:lang w:val="pt-PT"/>
        </w:rPr>
        <w:t>]</w:t>
      </w:r>
      <w:r>
        <w:rPr>
          <w:rtl w:val="0"/>
        </w:rPr>
        <w:t xml:space="preserve">υ̣ο̣ύ̣σης τῷ </w:t>
      </w:r>
      <w:r>
        <w:rPr>
          <w:rtl w:val="0"/>
          <w:lang w:val="de-DE"/>
        </w:rPr>
        <w:t xml:space="preserve">| </w:t>
      </w:r>
      <w:r>
        <w:rPr>
          <w:rtl w:val="0"/>
          <w:lang w:val="pt-PT"/>
        </w:rPr>
        <w:t>[</w:t>
      </w:r>
      <w:r>
        <w:rPr>
          <w:rtl w:val="0"/>
        </w:rPr>
        <w:t>ζ</w:t>
      </w:r>
      <w:r>
        <w:rPr>
          <w:rtl w:val="0"/>
          <w:lang w:val="pt-PT"/>
        </w:rPr>
        <w:t>]</w:t>
      </w:r>
      <w:r>
        <w:rPr>
          <w:rtl w:val="0"/>
        </w:rPr>
        <w:t>ῆ̣ν</w:t>
      </w:r>
      <w:r>
        <w:rPr>
          <w:rtl w:val="0"/>
          <w:lang w:val="en-US"/>
        </w:rPr>
        <w:t xml:space="preserve">, which is often paired with </w:t>
      </w:r>
      <w:r>
        <w:rPr>
          <w:rtl w:val="0"/>
        </w:rPr>
        <w:t xml:space="preserve">κατακλινής </w:t>
      </w:r>
      <w:r>
        <w:rPr>
          <w:rtl w:val="0"/>
        </w:rPr>
        <w:t xml:space="preserve">or </w:t>
      </w:r>
      <w:r>
        <w:rPr>
          <w:rtl w:val="0"/>
        </w:rPr>
        <w:t>κλινήρης</w:t>
      </w:r>
      <w:r>
        <w:rPr>
          <w:rtl w:val="0"/>
          <w:lang w:val="en-US"/>
        </w:rPr>
        <w:t>, as here.</w:t>
      </w:r>
      <w:r>
        <w:rPr>
          <w:vertAlign w:val="superscript"/>
        </w:rPr>
        <w:footnoteReference w:id="7"/>
      </w:r>
      <w:r>
        <w:rPr>
          <w:rtl w:val="0"/>
        </w:rPr>
        <w:t xml:space="preserve"> </w:t>
      </w:r>
    </w:p>
    <w:p>
      <w:pPr>
        <w:pStyle w:val="Body"/>
        <w:ind w:firstLine="720"/>
      </w:pPr>
      <w:r>
        <w:rPr>
          <w:rtl w:val="0"/>
          <w:lang w:val="en-US"/>
        </w:rPr>
        <w:t xml:space="preserve">Finally, the name of the first </w:t>
      </w:r>
      <w:r>
        <w:rPr>
          <w:rtl w:val="0"/>
        </w:rPr>
        <w:t xml:space="preserve">πράκτωρ </w:t>
      </w:r>
      <w:r>
        <w:rPr>
          <w:rtl w:val="0"/>
          <w:lang w:val="es-ES_tradnl"/>
        </w:rPr>
        <w:t>in ll. 14</w:t>
      </w:r>
      <w:r>
        <w:rPr>
          <w:rtl w:val="0"/>
        </w:rPr>
        <w:t>–</w:t>
      </w:r>
      <w:r>
        <w:rPr>
          <w:rtl w:val="0"/>
          <w:lang w:val="en-US"/>
        </w:rPr>
        <w:t xml:space="preserve">15 can be read as </w:t>
      </w:r>
      <w:r>
        <w:rPr>
          <w:rtl w:val="0"/>
        </w:rPr>
        <w:t>Πετε</w:t>
      </w:r>
      <w:r>
        <w:rPr>
          <w:rtl w:val="0"/>
        </w:rPr>
        <w:t>|</w:t>
      </w:r>
      <w:r>
        <w:rPr>
          <w:rtl w:val="0"/>
        </w:rPr>
        <w:t xml:space="preserve">εύ̣ς </w:t>
      </w:r>
      <w:r>
        <w:rPr>
          <w:rtl w:val="0"/>
        </w:rPr>
        <w:t>(</w:t>
      </w:r>
      <w:r>
        <w:rPr>
          <w:rtl w:val="0"/>
        </w:rPr>
        <w:t>Πετε</w:t>
      </w:r>
      <w:r>
        <w:rPr>
          <w:rtl w:val="0"/>
        </w:rPr>
        <w:t xml:space="preserve">| </w:t>
      </w:r>
      <w:r>
        <w:rPr>
          <w:rtl w:val="0"/>
        </w:rPr>
        <w:t>̣σ̣ι</w:t>
      </w:r>
      <w:r>
        <w:rPr>
          <w:rtl w:val="0"/>
          <w:lang w:val="pt-PT"/>
        </w:rPr>
        <w:t>[</w:t>
      </w:r>
      <w:r>
        <w:rPr>
          <w:rtl w:val="0"/>
        </w:rPr>
        <w:t>ο</w:t>
      </w:r>
      <w:r>
        <w:rPr>
          <w:rtl w:val="0"/>
          <w:lang w:val="pt-PT"/>
        </w:rPr>
        <w:t>]</w:t>
      </w:r>
      <w:r>
        <w:rPr>
          <w:rtl w:val="0"/>
        </w:rPr>
        <w:t>ς</w:t>
      </w:r>
      <w:r>
        <w:rPr>
          <w:rtl w:val="0"/>
          <w:lang w:val="it-IT"/>
        </w:rPr>
        <w:t xml:space="preserve">: W.Chr., </w:t>
      </w:r>
      <w:r>
        <w:rPr>
          <w:rtl w:val="0"/>
        </w:rPr>
        <w:t>Πετε</w:t>
      </w:r>
      <w:r>
        <w:rPr>
          <w:rtl w:val="0"/>
        </w:rPr>
        <w:t>|</w:t>
      </w:r>
      <w:r>
        <w:rPr>
          <w:rtl w:val="0"/>
        </w:rPr>
        <w:t>ήσι</w:t>
      </w:r>
      <w:r>
        <w:rPr>
          <w:rtl w:val="0"/>
          <w:lang w:val="pt-PT"/>
        </w:rPr>
        <w:t>[</w:t>
      </w:r>
      <w:r>
        <w:rPr>
          <w:rtl w:val="0"/>
        </w:rPr>
        <w:t>ο</w:t>
      </w:r>
      <w:r>
        <w:rPr>
          <w:rtl w:val="0"/>
          <w:lang w:val="pt-PT"/>
        </w:rPr>
        <w:t>]</w:t>
      </w:r>
      <w:r>
        <w:rPr>
          <w:rtl w:val="0"/>
        </w:rPr>
        <w:t>ς</w:t>
      </w:r>
      <w:r>
        <w:rPr>
          <w:rtl w:val="0"/>
        </w:rPr>
        <w:t>: Sel.Pap.).</w:t>
      </w:r>
    </w:p>
    <w:p>
      <w:pPr>
        <w:pStyle w:val="Body"/>
        <w:ind w:firstLine="720"/>
      </w:pPr>
    </w:p>
    <w:p>
      <w:pPr>
        <w:pStyle w:val="Body"/>
      </w:pPr>
      <w:r>
        <w:rPr>
          <w:rtl w:val="0"/>
          <w:lang w:val="de-DE"/>
        </w:rPr>
        <w:t>#articleHeader</w:t>
      </w:r>
    </w:p>
    <w:p>
      <w:pPr>
        <w:pStyle w:val="Body"/>
      </w:pPr>
      <w:r>
        <w:rPr>
          <w:rtl w:val="0"/>
        </w:rPr>
        <w:t>1</w:t>
      </w:r>
      <w:r>
        <w:rPr>
          <w:rtl w:val="0"/>
          <w:lang w:val="de-DE"/>
        </w:rPr>
        <w:t>3</w:t>
      </w:r>
      <w:r>
        <w:rPr>
          <w:rtl w:val="0"/>
        </w:rPr>
        <w:t xml:space="preserve">. </w:t>
      </w:r>
      <w:r>
        <w:rPr>
          <w:rStyle w:val="Hyperlink.0"/>
        </w:rPr>
        <w:fldChar w:fldCharType="begin" w:fldLock="0"/>
      </w:r>
      <w:r>
        <w:rPr>
          <w:rStyle w:val="Hyperlink.0"/>
        </w:rPr>
        <w:instrText xml:space="preserve"> HYPERLINK "https://papyri.info/ddbdp/p.athen%3B%3B29"</w:instrText>
      </w:r>
      <w:r>
        <w:rPr>
          <w:rStyle w:val="Hyperlink.0"/>
        </w:rPr>
        <w:fldChar w:fldCharType="separate" w:fldLock="0"/>
      </w:r>
      <w:r>
        <w:rPr>
          <w:rStyle w:val="Hyperlink.0"/>
          <w:rtl w:val="0"/>
        </w:rPr>
        <w:t>P.Athen. 29</w:t>
      </w:r>
      <w:r>
        <w:rPr/>
        <w:fldChar w:fldCharType="end" w:fldLock="0"/>
      </w:r>
      <w:r>
        <w:rPr>
          <w:rtl w:val="0"/>
        </w:rPr>
        <w:t xml:space="preserve"> (29 March, 121)</w:t>
      </w:r>
    </w:p>
    <w:p>
      <w:pPr>
        <w:pStyle w:val="Body"/>
      </w:pPr>
    </w:p>
    <w:p>
      <w:pPr>
        <w:pStyle w:val="Body"/>
      </w:pPr>
      <w:r>
        <w:rPr>
          <w:rtl w:val="0"/>
          <w:lang w:val="en-US"/>
        </w:rPr>
        <w:t xml:space="preserve">The place of writing of this contract has been lost along with the entire right side of the papyrus. The editor supplied </w:t>
      </w:r>
      <w:r>
        <w:rPr>
          <w:rtl w:val="0"/>
        </w:rPr>
        <w:t xml:space="preserve">ἐν </w:t>
      </w:r>
      <w:r>
        <w:rPr>
          <w:rtl w:val="0"/>
          <w:lang w:val="pt-PT"/>
        </w:rPr>
        <w:t>[</w:t>
      </w:r>
      <w:r>
        <w:rPr>
          <w:rtl w:val="0"/>
        </w:rPr>
        <w:t>Θεαδελφείᾳ τῆς Θεμίστου</w:t>
      </w:r>
      <w:r>
        <w:rPr>
          <w:rtl w:val="0"/>
        </w:rPr>
        <w:t xml:space="preserve">] | </w:t>
      </w:r>
      <w:r>
        <w:rPr>
          <w:rtl w:val="0"/>
        </w:rPr>
        <w:t xml:space="preserve">μερίδος </w:t>
      </w:r>
      <w:r>
        <w:rPr>
          <w:rtl w:val="0"/>
          <w:lang w:val="en-US"/>
        </w:rPr>
        <w:t>based on a note found with the papyrus and the word of the donor (l. 2 n.), rather than internal evidence. Two points speak against the idea, without disproving it: 1) the name and patronym of the creditor, Paouetis (</w:t>
      </w:r>
      <w:r>
        <w:rPr>
          <w:rStyle w:val="Hyperlink.0"/>
        </w:rPr>
        <w:fldChar w:fldCharType="begin" w:fldLock="0"/>
      </w:r>
      <w:r>
        <w:rPr>
          <w:rStyle w:val="Hyperlink.0"/>
        </w:rPr>
        <w:instrText xml:space="preserve"> HYPERLINK "http://www.trismegistos.org/name/11187"</w:instrText>
      </w:r>
      <w:r>
        <w:rPr>
          <w:rStyle w:val="Hyperlink.0"/>
        </w:rPr>
        <w:fldChar w:fldCharType="separate" w:fldLock="0"/>
      </w:r>
      <w:r>
        <w:rPr>
          <w:rStyle w:val="Hyperlink.0"/>
          <w:rtl w:val="0"/>
        </w:rPr>
        <w:t>TM Nam 11187</w:t>
      </w:r>
      <w:r>
        <w:rPr/>
        <w:fldChar w:fldCharType="end" w:fldLock="0"/>
      </w:r>
      <w:r>
        <w:rPr>
          <w:rtl w:val="0"/>
          <w:lang w:val="en-US"/>
        </w:rPr>
        <w:t>) son of Tanephremmis (</w:t>
      </w:r>
      <w:r>
        <w:rPr>
          <w:rStyle w:val="Hyperlink.2"/>
        </w:rPr>
        <w:fldChar w:fldCharType="begin" w:fldLock="0"/>
      </w:r>
      <w:r>
        <w:rPr>
          <w:rStyle w:val="Hyperlink.2"/>
        </w:rPr>
        <w:instrText xml:space="preserve"> HYPERLINK "http://www.trismegistos.org/name/7701"</w:instrText>
      </w:r>
      <w:r>
        <w:rPr>
          <w:rStyle w:val="Hyperlink.2"/>
        </w:rPr>
        <w:fldChar w:fldCharType="separate" w:fldLock="0"/>
      </w:r>
      <w:r>
        <w:rPr>
          <w:rStyle w:val="Hyperlink.2"/>
          <w:rtl w:val="0"/>
        </w:rPr>
        <w:t>TM Nam 7701</w:t>
      </w:r>
      <w:r>
        <w:rPr/>
        <w:fldChar w:fldCharType="end" w:fldLock="0"/>
      </w:r>
      <w:r>
        <w:rPr>
          <w:rtl w:val="0"/>
          <w:lang w:val="de-DE"/>
        </w:rPr>
        <w:t>)</w:t>
      </w:r>
      <w:r>
        <w:rPr>
          <w:rtl w:val="0"/>
          <w:lang w:val="en-US"/>
        </w:rPr>
        <w:t xml:space="preserve">, had little currency in Theadelphia but are strongly associated with Soknopaiou Nesos and, to a lesser extent, Karanis; 2) the main hand cannot be identified with those associated with the </w:t>
      </w:r>
      <w:r>
        <w:rPr>
          <w:rtl w:val="0"/>
          <w:lang w:val="pt-PT"/>
        </w:rPr>
        <w:t xml:space="preserve">grapheion </w:t>
      </w:r>
      <w:r>
        <w:rPr>
          <w:rtl w:val="0"/>
          <w:lang w:val="en-US"/>
        </w:rPr>
        <w:t xml:space="preserve">of Theadelphia at the time (see Iannace 2023). </w:t>
      </w:r>
    </w:p>
    <w:p>
      <w:pPr>
        <w:pStyle w:val="Body"/>
        <w:ind w:firstLine="720"/>
      </w:pPr>
      <w:r>
        <w:rPr>
          <w:rtl w:val="0"/>
          <w:lang w:val="en-US"/>
        </w:rPr>
        <w:t xml:space="preserve">The solution is provided by </w:t>
      </w:r>
      <w:r>
        <w:rPr>
          <w:rStyle w:val="Hyperlink.0"/>
        </w:rPr>
        <w:fldChar w:fldCharType="begin" w:fldLock="0"/>
      </w:r>
      <w:r>
        <w:rPr>
          <w:rStyle w:val="Hyperlink.0"/>
        </w:rPr>
        <w:instrText xml:space="preserve"> HYPERLINK "https://papyri.info/ddbdp/ddbdp%3B2021%3B3"</w:instrText>
      </w:r>
      <w:r>
        <w:rPr>
          <w:rStyle w:val="Hyperlink.0"/>
        </w:rPr>
        <w:fldChar w:fldCharType="separate" w:fldLock="0"/>
      </w:r>
      <w:r>
        <w:rPr>
          <w:rStyle w:val="Hyperlink.0"/>
          <w:rtl w:val="0"/>
        </w:rPr>
        <w:t>P.Haun. inv. 28</w:t>
      </w:r>
      <w:r>
        <w:rPr/>
        <w:fldChar w:fldCharType="end" w:fldLock="0"/>
      </w:r>
      <w:r>
        <w:rPr>
          <w:rtl w:val="0"/>
          <w:lang w:val="en-US"/>
        </w:rPr>
        <w:t xml:space="preserve">, dated just seven months later (24 Oct., 121), which is unmistakably written in the same main notarial hand: the Athens contract can thus likewise be attributed to Karanis and the second line read and restored </w:t>
      </w:r>
      <w:r>
        <w:rPr>
          <w:rtl w:val="0"/>
        </w:rPr>
        <w:t>ἐν Κ̣</w:t>
      </w:r>
      <w:r>
        <w:rPr>
          <w:rtl w:val="0"/>
          <w:lang w:val="pt-PT"/>
        </w:rPr>
        <w:t>[</w:t>
      </w:r>
      <w:r>
        <w:rPr>
          <w:rtl w:val="0"/>
        </w:rPr>
        <w:t>αρανίδι τῆς Ἡρακλείδου</w:t>
      </w:r>
      <w:r>
        <w:rPr>
          <w:rtl w:val="0"/>
          <w:lang w:val="pt-PT"/>
        </w:rPr>
        <w:t xml:space="preserve">] </w:t>
      </w:r>
      <w:r>
        <w:rPr>
          <w:rtl w:val="0"/>
          <w:lang w:val="de-DE"/>
        </w:rPr>
        <w:t>|</w:t>
      </w:r>
      <w:r>
        <w:rPr>
          <w:rtl w:val="0"/>
        </w:rPr>
        <w:t xml:space="preserve"> μερίδος</w:t>
      </w:r>
      <w:r>
        <w:rPr>
          <w:rtl w:val="0"/>
          <w:lang w:val="en-US"/>
        </w:rPr>
        <w:t xml:space="preserve">. It joins a growing group of texts in the Archaeological Society collection that relate to this village, all more likely than not to have been found there: </w:t>
      </w:r>
      <w:r>
        <w:rPr>
          <w:rStyle w:val="Hyperlink.0"/>
        </w:rPr>
        <w:fldChar w:fldCharType="begin" w:fldLock="0"/>
      </w:r>
      <w:r>
        <w:rPr>
          <w:rStyle w:val="Hyperlink.0"/>
        </w:rPr>
        <w:instrText xml:space="preserve"> HYPERLINK "https://papyri.info/ddbdp/p.athen%3B%3B21"</w:instrText>
      </w:r>
      <w:r>
        <w:rPr>
          <w:rStyle w:val="Hyperlink.0"/>
        </w:rPr>
        <w:fldChar w:fldCharType="separate" w:fldLock="0"/>
      </w:r>
      <w:r>
        <w:rPr>
          <w:rStyle w:val="Hyperlink.0"/>
          <w:rtl w:val="0"/>
        </w:rPr>
        <w:t>P.Athen. 21</w:t>
      </w:r>
      <w:r>
        <w:rPr/>
        <w:fldChar w:fldCharType="end" w:fldLock="0"/>
      </w:r>
      <w:r>
        <w:rPr>
          <w:rtl w:val="0"/>
        </w:rPr>
        <w:t xml:space="preserve">, </w:t>
      </w:r>
      <w:r>
        <w:rPr>
          <w:rStyle w:val="Hyperlink.0"/>
        </w:rPr>
        <w:fldChar w:fldCharType="begin" w:fldLock="0"/>
      </w:r>
      <w:r>
        <w:rPr>
          <w:rStyle w:val="Hyperlink.0"/>
        </w:rPr>
        <w:instrText xml:space="preserve"> HYPERLINK "https://papyri.info/ddbdp/p.athen%3B%3B25"</w:instrText>
      </w:r>
      <w:r>
        <w:rPr>
          <w:rStyle w:val="Hyperlink.0"/>
        </w:rPr>
        <w:fldChar w:fldCharType="separate" w:fldLock="0"/>
      </w:r>
      <w:r>
        <w:rPr>
          <w:rStyle w:val="Hyperlink.0"/>
          <w:rtl w:val="0"/>
        </w:rPr>
        <w:t>25</w:t>
      </w:r>
      <w:r>
        <w:rPr/>
        <w:fldChar w:fldCharType="end" w:fldLock="0"/>
      </w:r>
      <w:r>
        <w:rPr>
          <w:rtl w:val="0"/>
          <w:lang w:val="en-US"/>
        </w:rPr>
        <w:t xml:space="preserve">, and </w:t>
      </w:r>
      <w:r>
        <w:rPr>
          <w:rStyle w:val="Hyperlink.0"/>
        </w:rPr>
        <w:fldChar w:fldCharType="begin" w:fldLock="0"/>
      </w:r>
      <w:r>
        <w:rPr>
          <w:rStyle w:val="Hyperlink.0"/>
        </w:rPr>
        <w:instrText xml:space="preserve"> HYPERLINK "https://papyri.info/ddbdp/p.athen%3B%3B27"</w:instrText>
      </w:r>
      <w:r>
        <w:rPr>
          <w:rStyle w:val="Hyperlink.0"/>
        </w:rPr>
        <w:fldChar w:fldCharType="separate" w:fldLock="0"/>
      </w:r>
      <w:r>
        <w:rPr>
          <w:rStyle w:val="Hyperlink.0"/>
          <w:rtl w:val="0"/>
        </w:rPr>
        <w:t>27</w:t>
      </w:r>
      <w:r>
        <w:rPr/>
        <w:fldChar w:fldCharType="end" w:fldLock="0"/>
      </w:r>
      <w:r>
        <w:rPr>
          <w:rtl w:val="0"/>
          <w:lang w:val="en-US"/>
        </w:rPr>
        <w:t xml:space="preserve"> are also notarial contracts written there, </w:t>
      </w:r>
      <w:r>
        <w:rPr>
          <w:rStyle w:val="Hyperlink.0"/>
        </w:rPr>
        <w:fldChar w:fldCharType="begin" w:fldLock="0"/>
      </w:r>
      <w:r>
        <w:rPr>
          <w:rStyle w:val="Hyperlink.0"/>
        </w:rPr>
        <w:instrText xml:space="preserve"> HYPERLINK "https://papyri.info/ddbdp/p.athen%3B%3B32"</w:instrText>
      </w:r>
      <w:r>
        <w:rPr>
          <w:rStyle w:val="Hyperlink.0"/>
        </w:rPr>
        <w:fldChar w:fldCharType="separate" w:fldLock="0"/>
      </w:r>
      <w:r>
        <w:rPr>
          <w:rStyle w:val="Hyperlink.0"/>
          <w:rtl w:val="0"/>
        </w:rPr>
        <w:t>32</w:t>
      </w:r>
      <w:r>
        <w:rPr/>
        <w:fldChar w:fldCharType="end" w:fldLock="0"/>
      </w:r>
      <w:r>
        <w:rPr>
          <w:rtl w:val="0"/>
          <w:lang w:val="en-US"/>
        </w:rPr>
        <w:t xml:space="preserve"> and 37+39 (= </w:t>
      </w:r>
      <w:r>
        <w:rPr>
          <w:rStyle w:val="Hyperlink.0"/>
        </w:rPr>
        <w:fldChar w:fldCharType="begin" w:fldLock="0"/>
      </w:r>
      <w:r>
        <w:rPr>
          <w:rStyle w:val="Hyperlink.0"/>
        </w:rPr>
        <w:instrText xml:space="preserve"> HYPERLINK "https://papyri.info/ddbdp/sb%3B10%3B10757"</w:instrText>
      </w:r>
      <w:r>
        <w:rPr>
          <w:rStyle w:val="Hyperlink.0"/>
        </w:rPr>
        <w:fldChar w:fldCharType="separate" w:fldLock="0"/>
      </w:r>
      <w:r>
        <w:rPr>
          <w:rStyle w:val="Hyperlink.0"/>
          <w:rtl w:val="0"/>
        </w:rPr>
        <w:t>SB 10 10757</w:t>
      </w:r>
      <w:r>
        <w:rPr/>
        <w:fldChar w:fldCharType="end" w:fldLock="0"/>
      </w:r>
      <w:r>
        <w:rPr>
          <w:rtl w:val="0"/>
          <w:lang w:val="en-US"/>
        </w:rPr>
        <w:t xml:space="preserve">) petitions from Karanis residents, 42 (= </w:t>
      </w:r>
      <w:r>
        <w:rPr>
          <w:rStyle w:val="Hyperlink.0"/>
        </w:rPr>
        <w:fldChar w:fldCharType="begin" w:fldLock="0"/>
      </w:r>
      <w:r>
        <w:rPr>
          <w:rStyle w:val="Hyperlink.0"/>
        </w:rPr>
        <w:instrText xml:space="preserve"> HYPERLINK "https://papyri.info/ddbdp/sb%3B14%3B11912"</w:instrText>
      </w:r>
      <w:r>
        <w:rPr>
          <w:rStyle w:val="Hyperlink.0"/>
        </w:rPr>
        <w:fldChar w:fldCharType="separate" w:fldLock="0"/>
      </w:r>
      <w:r>
        <w:rPr>
          <w:rStyle w:val="Hyperlink.0"/>
          <w:rtl w:val="0"/>
          <w:lang w:val="de-DE"/>
        </w:rPr>
        <w:t>SB 14 11912</w:t>
      </w:r>
      <w:r>
        <w:rPr/>
        <w:fldChar w:fldCharType="end" w:fldLock="0"/>
      </w:r>
      <w:r>
        <w:rPr>
          <w:rtl w:val="0"/>
          <w:lang w:val="en-US"/>
        </w:rPr>
        <w:t xml:space="preserve">) a declaration of unwatered land near the village, and </w:t>
      </w:r>
      <w:r>
        <w:rPr>
          <w:rStyle w:val="Hyperlink.0"/>
        </w:rPr>
        <w:fldChar w:fldCharType="begin" w:fldLock="0"/>
      </w:r>
      <w:r>
        <w:rPr>
          <w:rStyle w:val="Hyperlink.0"/>
        </w:rPr>
        <w:instrText xml:space="preserve"> HYPERLINK "https://papyri.info/ddbdp/p.athen%3B%3B66"</w:instrText>
      </w:r>
      <w:r>
        <w:rPr>
          <w:rStyle w:val="Hyperlink.0"/>
        </w:rPr>
        <w:fldChar w:fldCharType="separate" w:fldLock="0"/>
      </w:r>
      <w:r>
        <w:rPr>
          <w:rStyle w:val="Hyperlink.0"/>
          <w:rtl w:val="0"/>
        </w:rPr>
        <w:t>66</w:t>
      </w:r>
      <w:r>
        <w:rPr/>
        <w:fldChar w:fldCharType="end" w:fldLock="0"/>
      </w:r>
      <w:r>
        <w:rPr>
          <w:rtl w:val="0"/>
          <w:lang w:val="en-US"/>
        </w:rPr>
        <w:t xml:space="preserve"> a letter to be delivered there. More recently, Nikolaos Gonis has connected </w:t>
      </w:r>
      <w:r>
        <w:rPr>
          <w:rStyle w:val="Hyperlink.0"/>
        </w:rPr>
        <w:fldChar w:fldCharType="begin" w:fldLock="0"/>
      </w:r>
      <w:r>
        <w:rPr>
          <w:rStyle w:val="Hyperlink.0"/>
        </w:rPr>
        <w:instrText xml:space="preserve"> HYPERLINK "https://papyri.info/ddbdp/p.athen%3B%3B19"</w:instrText>
      </w:r>
      <w:r>
        <w:rPr>
          <w:rStyle w:val="Hyperlink.0"/>
        </w:rPr>
        <w:fldChar w:fldCharType="separate" w:fldLock="0"/>
      </w:r>
      <w:r>
        <w:rPr>
          <w:rStyle w:val="Hyperlink.0"/>
          <w:rtl w:val="0"/>
        </w:rPr>
        <w:t>P.Athen. 19</w:t>
      </w:r>
      <w:r>
        <w:rPr/>
        <w:fldChar w:fldCharType="end" w:fldLock="0"/>
      </w:r>
      <w:r>
        <w:rPr>
          <w:rtl w:val="0"/>
          <w:lang w:val="en-US"/>
        </w:rPr>
        <w:t xml:space="preserve"> (a lease of ousiac land)</w:t>
      </w:r>
      <w:r>
        <w:rPr>
          <w:vertAlign w:val="superscript"/>
        </w:rPr>
        <w:footnoteReference w:id="8"/>
      </w:r>
      <w:r>
        <w:rPr>
          <w:rtl w:val="0"/>
          <w:lang w:val="en-US"/>
        </w:rPr>
        <w:t xml:space="preserve"> and the tax registers </w:t>
      </w:r>
      <w:r>
        <w:rPr>
          <w:rStyle w:val="Hyperlink.0"/>
        </w:rPr>
        <w:fldChar w:fldCharType="begin" w:fldLock="0"/>
      </w:r>
      <w:r>
        <w:rPr>
          <w:rStyle w:val="Hyperlink.0"/>
        </w:rPr>
        <w:instrText xml:space="preserve"> HYPERLINK "https://papyri.info/ddbdp/p.athen%3B%3B48"</w:instrText>
      </w:r>
      <w:r>
        <w:rPr>
          <w:rStyle w:val="Hyperlink.0"/>
        </w:rPr>
        <w:fldChar w:fldCharType="separate" w:fldLock="0"/>
      </w:r>
      <w:r>
        <w:rPr>
          <w:rStyle w:val="Hyperlink.0"/>
          <w:rtl w:val="0"/>
        </w:rPr>
        <w:t>P.Athen. 48</w:t>
      </w:r>
      <w:r>
        <w:rPr/>
        <w:fldChar w:fldCharType="end" w:fldLock="0"/>
      </w:r>
      <w:r>
        <w:rPr>
          <w:vertAlign w:val="superscript"/>
        </w:rPr>
        <w:footnoteReference w:id="9"/>
      </w:r>
      <w:r>
        <w:rPr>
          <w:rtl w:val="0"/>
          <w:lang w:val="en-US"/>
        </w:rPr>
        <w:t xml:space="preserve"> and </w:t>
      </w:r>
      <w:r>
        <w:rPr>
          <w:rStyle w:val="Hyperlink.0"/>
        </w:rPr>
        <w:fldChar w:fldCharType="begin" w:fldLock="0"/>
      </w:r>
      <w:r>
        <w:rPr>
          <w:rStyle w:val="Hyperlink.0"/>
        </w:rPr>
        <w:instrText xml:space="preserve"> HYPERLINK "https://papyri.info/ddbdp/p.athen%3B%3B49"</w:instrText>
      </w:r>
      <w:r>
        <w:rPr>
          <w:rStyle w:val="Hyperlink.0"/>
        </w:rPr>
        <w:fldChar w:fldCharType="separate" w:fldLock="0"/>
      </w:r>
      <w:r>
        <w:rPr>
          <w:rStyle w:val="Hyperlink.0"/>
          <w:rtl w:val="0"/>
        </w:rPr>
        <w:t>49</w:t>
      </w:r>
      <w:r>
        <w:rPr/>
        <w:fldChar w:fldCharType="end" w:fldLock="0"/>
      </w:r>
      <w:r>
        <w:rPr>
          <w:vertAlign w:val="superscript"/>
        </w:rPr>
        <w:footnoteReference w:id="10"/>
      </w:r>
      <w:r>
        <w:rPr>
          <w:rtl w:val="0"/>
          <w:lang w:val="en-US"/>
        </w:rPr>
        <w:t xml:space="preserve"> to Karanis through internal clues.</w:t>
      </w:r>
    </w:p>
    <w:p>
      <w:pPr>
        <w:pStyle w:val="Body"/>
        <w:ind w:firstLine="720"/>
      </w:pPr>
      <w:r>
        <w:rPr>
          <w:rtl w:val="0"/>
          <w:lang w:val="en-US"/>
        </w:rPr>
        <w:t xml:space="preserve">The end of line 30 and all of line 31 were left unread in the edition. This is the short subscription of the second party, which following parallels can be read and restored as </w:t>
      </w:r>
      <w:r>
        <w:rPr>
          <w:rtl w:val="0"/>
        </w:rPr>
        <w:t>γέγον</w:t>
      </w:r>
      <w:r>
        <w:rPr>
          <w:rtl w:val="0"/>
          <w:lang w:val="pt-PT"/>
        </w:rPr>
        <w:t>[</w:t>
      </w:r>
      <w:r>
        <w:rPr>
          <w:rtl w:val="0"/>
        </w:rPr>
        <w:t>ε εἴς με ἡ ἀπόχη καθὼς πρόκειται</w:t>
      </w:r>
      <w:r>
        <w:rPr>
          <w:rtl w:val="0"/>
          <w:lang w:val="pt-PT"/>
        </w:rPr>
        <w:t>],</w:t>
      </w:r>
      <w:r>
        <w:rPr>
          <w:vertAlign w:val="superscript"/>
        </w:rPr>
        <w:footnoteReference w:id="11"/>
      </w:r>
      <w:r>
        <w:rPr>
          <w:rtl w:val="0"/>
          <w:lang w:val="en-US"/>
        </w:rPr>
        <w:t xml:space="preserve"> as the editor was already thinking (l. 31 n.). The next line contains the illiteracy clause, although</w:t>
      </w:r>
      <w:r>
        <w:rPr>
          <w:rtl w:val="0"/>
          <w:lang w:val="de-DE"/>
        </w:rPr>
        <w:t>Verschleifung</w:t>
      </w:r>
      <w:r>
        <w:rPr>
          <w:rtl w:val="0"/>
          <w:lang w:val="en-US"/>
        </w:rPr>
        <w:t xml:space="preserve"> has obscured its exact rendition. </w:t>
      </w:r>
      <w:r>
        <w:rPr>
          <w:rtl w:val="0"/>
        </w:rPr>
        <w:t xml:space="preserve">ἔγραψεν </w:t>
      </w:r>
      <w:r>
        <w:rPr>
          <w:rtl w:val="0"/>
          <w:lang w:val="en-US"/>
        </w:rPr>
        <w:t xml:space="preserve">can be read at the beginning (the clearest letter is psi), which makes </w:t>
      </w:r>
      <w:r>
        <w:rPr>
          <w:rtl w:val="0"/>
        </w:rPr>
        <w:t xml:space="preserve">ὑπὲρ αὐτοῦ </w:t>
      </w:r>
      <w:r>
        <w:rPr>
          <w:rtl w:val="0"/>
          <w:lang w:val="en-US"/>
        </w:rPr>
        <w:t xml:space="preserve">(possibly abbreviated) more-or-less inevitable, even if not readily apparent. Moving to the end of the line, I see </w:t>
      </w:r>
      <w:r>
        <w:rPr>
          <w:rtl w:val="0"/>
        </w:rPr>
        <w:t>γράμματ̣</w:t>
      </w:r>
      <w:r>
        <w:rPr>
          <w:rtl w:val="0"/>
        </w:rPr>
        <w:t>(</w:t>
      </w:r>
      <w:r>
        <w:rPr>
          <w:rtl w:val="0"/>
        </w:rPr>
        <w:t>α</w:t>
      </w:r>
      <w:r>
        <w:rPr>
          <w:rtl w:val="0"/>
          <w:lang w:val="en-US"/>
        </w:rPr>
        <w:t xml:space="preserve">), concluding with a partially-lost tau raised in abbreviation, before which </w:t>
      </w:r>
      <w:r>
        <w:rPr>
          <w:rtl w:val="0"/>
        </w:rPr>
        <w:t>μὴ εἰδό</w:t>
      </w:r>
      <w:r>
        <w:rPr>
          <w:rtl w:val="0"/>
        </w:rPr>
        <w:t>(</w:t>
      </w:r>
      <w:r>
        <w:rPr>
          <w:rtl w:val="0"/>
        </w:rPr>
        <w:t>τος</w:t>
      </w:r>
      <w:r>
        <w:rPr>
          <w:rtl w:val="0"/>
          <w:lang w:val="en-US"/>
        </w:rPr>
        <w:t xml:space="preserve">) can be read, all in ligature, except between </w:t>
      </w:r>
      <w:r>
        <w:rPr>
          <w:rtl w:val="0"/>
        </w:rPr>
        <w:t>ει</w:t>
      </w:r>
      <w:r>
        <w:rPr>
          <w:rtl w:val="0"/>
          <w:lang w:val="en-US"/>
        </w:rPr>
        <w:t>- and -</w:t>
      </w:r>
      <w:r>
        <w:rPr>
          <w:rtl w:val="0"/>
        </w:rPr>
        <w:t>δο</w:t>
      </w:r>
      <w:r>
        <w:rPr>
          <w:rtl w:val="0"/>
          <w:lang w:val="en-US"/>
        </w:rPr>
        <w:t xml:space="preserve">. The middle of the line escapes me. It is hard to see all of it as a drawn out </w:t>
      </w:r>
      <w:r>
        <w:rPr>
          <w:rtl w:val="0"/>
        </w:rPr>
        <w:t>ὑπὲρ αὐτοῦ</w:t>
      </w:r>
      <w:r>
        <w:rPr>
          <w:rtl w:val="0"/>
          <w:lang w:val="en-US"/>
        </w:rPr>
        <w:t>, so perhaps we have the name and patronym of the subscriber, which can come in this position. I don</w:t>
      </w:r>
      <w:r>
        <w:rPr>
          <w:rtl w:val="1"/>
        </w:rPr>
        <w:t>’</w:t>
      </w:r>
      <w:r>
        <w:rPr>
          <w:rtl w:val="0"/>
          <w:lang w:val="en-US"/>
        </w:rPr>
        <w:t xml:space="preserve">t have a good solution other than to suggest the possibility that this is another subscription written by the well-attested </w:t>
      </w:r>
      <w:r>
        <w:rPr>
          <w:rtl w:val="0"/>
          <w:lang w:val="fr-FR"/>
        </w:rPr>
        <w:t>hypographeus</w:t>
      </w:r>
      <w:r>
        <w:rPr>
          <w:rtl w:val="0"/>
          <w:lang w:val="en-US"/>
        </w:rPr>
        <w:t xml:space="preserve"> Heron son of Satyros, who was active in Karanis</w:t>
      </w:r>
      <w:r>
        <w:rPr>
          <w:rtl w:val="1"/>
        </w:rPr>
        <w:t xml:space="preserve">’ </w:t>
      </w:r>
      <w:r>
        <w:rPr>
          <w:rtl w:val="0"/>
          <w:lang w:val="pt-PT"/>
        </w:rPr>
        <w:t xml:space="preserve">grapheion </w:t>
      </w:r>
      <w:r>
        <w:rPr>
          <w:rtl w:val="0"/>
          <w:lang w:val="en-US"/>
        </w:rPr>
        <w:t>at the time.</w:t>
      </w:r>
      <w:r>
        <w:rPr>
          <w:vertAlign w:val="superscript"/>
        </w:rPr>
        <w:footnoteReference w:id="12"/>
      </w:r>
    </w:p>
    <w:p>
      <w:pPr>
        <w:pStyle w:val="Body"/>
        <w:ind w:firstLine="720"/>
      </w:pPr>
    </w:p>
    <w:p>
      <w:pPr>
        <w:pStyle w:val="Body"/>
      </w:pPr>
      <w:r>
        <w:rPr>
          <w:rtl w:val="0"/>
          <w:lang w:val="de-DE"/>
        </w:rPr>
        <w:t>#articleHeader</w:t>
      </w:r>
    </w:p>
    <w:p>
      <w:pPr>
        <w:pStyle w:val="Body"/>
      </w:pPr>
      <w:r>
        <w:rPr>
          <w:rtl w:val="0"/>
        </w:rPr>
        <w:t>1</w:t>
      </w:r>
      <w:r>
        <w:rPr>
          <w:rtl w:val="0"/>
          <w:lang w:val="de-DE"/>
        </w:rPr>
        <w:t>4</w:t>
      </w:r>
      <w:r>
        <w:rPr>
          <w:rtl w:val="0"/>
        </w:rPr>
        <w:t xml:space="preserve">. </w:t>
      </w:r>
      <w:r>
        <w:rPr>
          <w:rStyle w:val="Hyperlink.0"/>
        </w:rPr>
        <w:fldChar w:fldCharType="begin" w:fldLock="0"/>
      </w:r>
      <w:r>
        <w:rPr>
          <w:rStyle w:val="Hyperlink.0"/>
        </w:rPr>
        <w:instrText xml:space="preserve"> HYPERLINK "http://papyri.info/trismegistos/9383"</w:instrText>
      </w:r>
      <w:r>
        <w:rPr>
          <w:rStyle w:val="Hyperlink.0"/>
        </w:rPr>
        <w:fldChar w:fldCharType="separate" w:fldLock="0"/>
      </w:r>
      <w:r>
        <w:rPr>
          <w:rStyle w:val="Hyperlink.0"/>
          <w:rtl w:val="0"/>
          <w:lang w:val="de-DE"/>
        </w:rPr>
        <w:t>BGU 3 855</w:t>
      </w:r>
      <w:r>
        <w:rPr/>
        <w:fldChar w:fldCharType="end" w:fldLock="0"/>
      </w:r>
      <w:r>
        <w:rPr>
          <w:rtl w:val="0"/>
          <w:lang w:val="pt-PT"/>
        </w:rPr>
        <w:t xml:space="preserve"> (Soknopaiou Nesos, 157)</w:t>
      </w:r>
    </w:p>
    <w:p>
      <w:pPr>
        <w:pStyle w:val="Body"/>
      </w:pPr>
    </w:p>
    <w:p>
      <w:pPr>
        <w:pStyle w:val="Body"/>
        <w:ind w:firstLine="720"/>
      </w:pPr>
      <w:r>
        <w:rPr>
          <w:rtl w:val="0"/>
          <w:lang w:val="en-US"/>
        </w:rPr>
        <w:t xml:space="preserve">This short document is an abstract or draft of a contract concerning a slave girl, evidently arranging for her to work or serve an apprenticeship for one-and-a-half years (with a weaver: see below). It is written against the fibers on the back of an unpublished document described as a </w:t>
      </w:r>
      <w:r>
        <w:rPr>
          <w:rFonts w:ascii="Times New Roman" w:hAnsi="Times New Roman" w:hint="default"/>
          <w:rtl w:val="0"/>
          <w:lang w:val="en-US"/>
        </w:rPr>
        <w:t>“</w:t>
      </w:r>
      <w:r>
        <w:rPr>
          <w:rtl w:val="0"/>
          <w:lang w:val="de-DE"/>
        </w:rPr>
        <w:t>Heuerquittung aus der Zeit des Antoninus</w:t>
      </w:r>
      <w:r>
        <w:rPr>
          <w:rtl w:val="0"/>
        </w:rPr>
        <w:t xml:space="preserve">” </w:t>
      </w:r>
      <w:r>
        <w:rPr>
          <w:rtl w:val="0"/>
        </w:rPr>
        <w:t xml:space="preserve">in </w:t>
      </w:r>
      <w:r>
        <w:rPr>
          <w:rFonts w:ascii="Times New Roman" w:hAnsi="Times New Roman"/>
          <w:rtl w:val="0"/>
          <w:lang w:val="en-US"/>
        </w:rPr>
        <w:t>the Berlin inventory.</w:t>
      </w:r>
      <w:r>
        <w:rPr>
          <w:rFonts w:ascii="Times New Roman" w:cs="Times New Roman" w:hAnsi="Times New Roman" w:eastAsia="Times New Roman"/>
          <w:vertAlign w:val="superscript"/>
        </w:rPr>
        <w:footnoteReference w:id="13"/>
      </w:r>
      <w:r>
        <w:rPr>
          <w:rtl w:val="0"/>
        </w:rPr>
        <w:t xml:space="preserve"> </w:t>
      </w:r>
      <w:r>
        <w:rPr>
          <w:rFonts w:ascii="Times New Roman" w:hAnsi="Times New Roman"/>
          <w:rtl w:val="0"/>
          <w:lang w:val="de-DE"/>
        </w:rPr>
        <w:t xml:space="preserve">The contract, presumably written later, opens with the full titulature of this same emperor, with the day of the month squeezed in before the main verb </w:t>
      </w:r>
      <w:r>
        <w:rPr>
          <w:rFonts w:ascii="Times New Roman" w:hAnsi="Times New Roman" w:hint="default"/>
          <w:rtl w:val="0"/>
        </w:rPr>
        <w:t>ὁμολογεῖ</w:t>
      </w:r>
      <w:r>
        <w:rPr>
          <w:rFonts w:ascii="Times New Roman" w:hAnsi="Times New Roman"/>
          <w:rtl w:val="0"/>
          <w:lang w:val="de-DE"/>
        </w:rPr>
        <w:t xml:space="preserve"> (no place of writing is recorded). Rather than </w:t>
      </w:r>
      <w:r>
        <w:rPr>
          <w:rtl w:val="0"/>
          <w:lang w:val="de-DE"/>
        </w:rPr>
        <w:t xml:space="preserve">year </w:t>
      </w:r>
      <w:r>
        <w:rPr>
          <w:rtl w:val="0"/>
        </w:rPr>
        <w:t>ια</w:t>
      </w:r>
      <w:r>
        <w:rPr>
          <w:rtl w:val="0"/>
          <w:lang w:val="de-DE"/>
        </w:rPr>
        <w:t>, we</w:t>
      </w:r>
      <w:r>
        <w:rPr>
          <w:rtl w:val="0"/>
          <w:lang w:val="de-DE"/>
        </w:rPr>
        <w:t xml:space="preserve"> should be read </w:t>
      </w:r>
      <w:r>
        <w:rPr>
          <w:rtl w:val="0"/>
        </w:rPr>
        <w:t xml:space="preserve">κα </w:t>
      </w:r>
      <w:r>
        <w:rPr>
          <w:rtl w:val="0"/>
          <w:lang w:val="en-US"/>
        </w:rPr>
        <w:t>(so too already in the Berlin inventory) due to the stroke connecting the two numerals: the date, then, was 7 November, 157.</w:t>
      </w:r>
    </w:p>
    <w:p>
      <w:pPr>
        <w:pStyle w:val="Body"/>
        <w:ind w:firstLine="720"/>
      </w:pPr>
      <w:r>
        <w:rPr>
          <w:rtl w:val="0"/>
          <w:lang w:val="en-US"/>
        </w:rPr>
        <w:t>The name of the first contracting party in l. 3 was printed as [</w:t>
      </w:r>
      <w:r>
        <w:rPr>
          <w:rtl w:val="0"/>
        </w:rPr>
        <w:t>Τ</w:t>
      </w:r>
      <w:r>
        <w:rPr>
          <w:rtl w:val="0"/>
          <w:lang w:val="pt-PT"/>
        </w:rPr>
        <w:t>]</w:t>
      </w:r>
      <w:r>
        <w:rPr>
          <w:rtl w:val="0"/>
        </w:rPr>
        <w:t>α̣ούητις</w:t>
      </w:r>
      <w:r>
        <w:rPr>
          <w:rtl w:val="0"/>
          <w:lang w:val="de-DE"/>
        </w:rPr>
        <w:t>,</w:t>
      </w:r>
      <w:r>
        <w:rPr>
          <w:rtl w:val="0"/>
          <w:lang w:val="en-US"/>
        </w:rPr>
        <w:t xml:space="preserve"> but since this is a female name and no </w:t>
      </w:r>
      <w:r>
        <w:rPr>
          <w:rtl w:val="0"/>
          <w:lang w:val="sv-SE"/>
        </w:rPr>
        <w:t>kyrios</w:t>
      </w:r>
      <w:r>
        <w:rPr>
          <w:rtl w:val="0"/>
          <w:lang w:val="en-US"/>
        </w:rPr>
        <w:t xml:space="preserve"> is recorded, it is better to read the male name </w:t>
      </w:r>
      <w:r>
        <w:rPr>
          <w:rtl w:val="0"/>
        </w:rPr>
        <w:t xml:space="preserve">Π̣α̣ούητις </w:t>
      </w:r>
      <w:r>
        <w:rPr>
          <w:rtl w:val="0"/>
          <w:lang w:val="en-US"/>
        </w:rPr>
        <w:t xml:space="preserve">(the traces are too meager to be decisive on their own). </w:t>
      </w:r>
      <w:r>
        <w:rPr>
          <w:rtl w:val="0"/>
          <w:lang w:val="de-DE"/>
        </w:rPr>
        <w:t xml:space="preserve">Some caution is in order, however, </w:t>
      </w:r>
      <w:r>
        <w:rPr>
          <w:rtl w:val="0"/>
          <w:lang w:val="en-US"/>
        </w:rPr>
        <w:t>since mention of the</w:t>
      </w:r>
      <w:r>
        <w:rPr>
          <w:rtl w:val="0"/>
          <w:lang w:val="de-DE"/>
        </w:rPr>
        <w:t xml:space="preserve"> </w:t>
      </w:r>
      <w:r>
        <w:rPr>
          <w:rtl w:val="0"/>
          <w:lang w:val="de-DE"/>
        </w:rPr>
        <w:t xml:space="preserve">kyrios </w:t>
      </w:r>
      <w:r>
        <w:rPr>
          <w:rtl w:val="0"/>
          <w:lang w:val="de-DE"/>
        </w:rPr>
        <w:t>may simply have been omitted in this version. Another clue to the gender may have stood at the end of the line, but the reading isn</w:t>
      </w:r>
      <w:r>
        <w:rPr>
          <w:rtl w:val="0"/>
          <w:lang w:val="de-DE"/>
        </w:rPr>
        <w:t>’</w:t>
      </w:r>
      <w:r>
        <w:rPr>
          <w:rtl w:val="0"/>
          <w:lang w:val="de-DE"/>
        </w:rPr>
        <w:t xml:space="preserve">t obvious: any of </w:t>
      </w:r>
      <w:r>
        <w:rPr>
          <w:rtl w:val="0"/>
        </w:rPr>
        <w:t>ἱερε̣ύ̣ς̣</w:t>
      </w:r>
      <w:r>
        <w:rPr>
          <w:rtl w:val="0"/>
          <w:lang w:val="de-DE"/>
        </w:rPr>
        <w:t xml:space="preserve">, </w:t>
      </w:r>
      <w:r>
        <w:rPr>
          <w:rtl w:val="0"/>
        </w:rPr>
        <w:t xml:space="preserve">ἱερέ̣ω̣ς̣ </w:t>
      </w:r>
      <w:r>
        <w:rPr>
          <w:rtl w:val="0"/>
          <w:lang w:val="en-US"/>
        </w:rPr>
        <w:t xml:space="preserve">(as the editor has it), or </w:t>
      </w:r>
      <w:r>
        <w:rPr>
          <w:rtl w:val="0"/>
        </w:rPr>
        <w:t xml:space="preserve">ἱερέ̣ο̣ς̣ </w:t>
      </w:r>
      <w:r>
        <w:rPr>
          <w:rtl w:val="0"/>
          <w:lang w:val="en-US"/>
        </w:rPr>
        <w:t xml:space="preserve">would seem possible, the latter two of which could stand for a nominative. </w:t>
      </w:r>
    </w:p>
    <w:p>
      <w:pPr>
        <w:pStyle w:val="Body"/>
        <w:ind w:firstLine="720"/>
        <w:rPr>
          <w:lang w:val="de-DE"/>
        </w:rPr>
      </w:pPr>
      <w:r>
        <w:rPr>
          <w:rtl w:val="0"/>
          <w:lang w:val="en-US"/>
        </w:rPr>
        <w:t xml:space="preserve">At the beginning of line 5, I read </w:t>
      </w:r>
      <w:r>
        <w:rPr>
          <w:rtl w:val="0"/>
        </w:rPr>
        <w:t>γ̣</w:t>
      </w:r>
      <w:r>
        <w:rPr>
          <w:rtl w:val="0"/>
          <w:lang w:val="pt-PT"/>
        </w:rPr>
        <w:t>[</w:t>
      </w:r>
      <w:r>
        <w:rPr>
          <w:rtl w:val="0"/>
        </w:rPr>
        <w:t>ε</w:t>
      </w:r>
      <w:r>
        <w:rPr>
          <w:rtl w:val="0"/>
          <w:lang w:val="pt-PT"/>
        </w:rPr>
        <w:t>]</w:t>
      </w:r>
      <w:r>
        <w:rPr>
          <w:rtl w:val="0"/>
        </w:rPr>
        <w:t>ρδί̣ῳ̣</w:t>
      </w:r>
      <w:r>
        <w:rPr>
          <w:rtl w:val="0"/>
          <w:lang w:val="en-US"/>
        </w:rPr>
        <w:t xml:space="preserve">, showing that the second party was a weaver. What follows is the major crux, still unsolved. We expect a verb dependent on </w:t>
      </w:r>
      <w:r>
        <w:rPr>
          <w:rtl w:val="0"/>
        </w:rPr>
        <w:t>ὁμολογεῖ</w:t>
      </w:r>
      <w:r>
        <w:rPr>
          <w:rtl w:val="0"/>
          <w:lang w:val="en-US"/>
        </w:rPr>
        <w:t xml:space="preserve">, but </w:t>
      </w:r>
      <w:r>
        <w:rPr>
          <w:rtl w:val="0"/>
          <w:lang w:val="de-DE"/>
        </w:rPr>
        <w:t>one can barely quibble with</w:t>
      </w:r>
      <w:r>
        <w:rPr>
          <w:rtl w:val="0"/>
          <w:lang w:val="en-US"/>
        </w:rPr>
        <w:t xml:space="preserve"> the editor</w:t>
      </w:r>
      <w:r>
        <w:rPr>
          <w:rtl w:val="1"/>
        </w:rPr>
        <w:t>’</w:t>
      </w:r>
      <w:r>
        <w:rPr>
          <w:rtl w:val="0"/>
          <w:lang w:val="de-DE"/>
        </w:rPr>
        <w:t xml:space="preserve">s </w:t>
      </w:r>
      <w:r>
        <w:rPr>
          <w:rtl w:val="0"/>
        </w:rPr>
        <w:t>επ</w:t>
      </w:r>
      <w:r>
        <w:rPr>
          <w:rtl w:val="0"/>
          <w:lang w:val="pt-PT"/>
        </w:rPr>
        <w:t xml:space="preserve">[ </w:t>
      </w:r>
      <w:r>
        <w:rPr>
          <w:rtl w:val="0"/>
        </w:rPr>
        <w:t>̣  ̣</w:t>
      </w:r>
      <w:r>
        <w:rPr>
          <w:rtl w:val="0"/>
          <w:lang w:val="pt-PT"/>
        </w:rPr>
        <w:t>]</w:t>
      </w:r>
      <w:r>
        <w:rPr>
          <w:rtl w:val="0"/>
        </w:rPr>
        <w:t>ω̣σμου</w:t>
      </w:r>
      <w:r>
        <w:rPr>
          <w:rtl w:val="0"/>
        </w:rPr>
        <w:t xml:space="preserve">. </w:t>
      </w:r>
      <w:r>
        <w:rPr>
          <w:rtl w:val="0"/>
          <w:lang w:val="de-DE"/>
        </w:rPr>
        <w:t xml:space="preserve">Perhaps </w:t>
      </w:r>
      <w:r>
        <w:rPr>
          <w:rtl w:val="0"/>
        </w:rPr>
        <w:t xml:space="preserve">μου </w:t>
      </w:r>
      <w:r>
        <w:rPr>
          <w:rtl w:val="0"/>
          <w:lang w:val="en-US"/>
        </w:rPr>
        <w:t xml:space="preserve">can be separated as the pronoun (cf. </w:t>
      </w:r>
      <w:r>
        <w:rPr>
          <w:rtl w:val="0"/>
          <w:lang w:val="de-DE"/>
        </w:rPr>
        <w:t xml:space="preserve">the following </w:t>
      </w:r>
      <w:r>
        <w:rPr>
          <w:rtl w:val="0"/>
        </w:rPr>
        <w:t>τὴν παιδίσκιν</w:t>
      </w:r>
      <w:r>
        <w:rPr>
          <w:rtl w:val="0"/>
          <w:lang w:val="de-DE"/>
        </w:rPr>
        <w:t xml:space="preserve"> </w:t>
      </w:r>
      <w:r>
        <w:rPr>
          <w:rtl w:val="0"/>
        </w:rPr>
        <w:t>μου</w:t>
      </w:r>
      <w:r>
        <w:rPr>
          <w:rtl w:val="0"/>
        </w:rPr>
        <w:t>)</w:t>
      </w:r>
      <w:r>
        <w:rPr>
          <w:rtl w:val="0"/>
          <w:lang w:val="de-DE"/>
        </w:rPr>
        <w:t xml:space="preserve">, but this does not get us any closer to a verb, which perhaps was simply omitted by mistake. No doubt the weaver was to be entrusted with the girl (whose name at the end of l. 5 is </w:t>
      </w:r>
      <w:r>
        <w:rPr>
          <w:rtl w:val="0"/>
        </w:rPr>
        <w:t xml:space="preserve">Τασοῦς </w:t>
      </w:r>
      <w:r>
        <w:rPr>
          <w:rtl w:val="0"/>
          <w:lang w:val="pt-PT"/>
        </w:rPr>
        <w:t xml:space="preserve">[l. </w:t>
      </w:r>
      <w:r>
        <w:rPr>
          <w:rtl w:val="0"/>
        </w:rPr>
        <w:t>Τασοῦν</w:t>
      </w:r>
      <w:r>
        <w:rPr>
          <w:rtl w:val="0"/>
          <w:lang w:val="pt-PT"/>
        </w:rPr>
        <w:t>]</w:t>
      </w:r>
      <w:r>
        <w:rPr>
          <w:rtl w:val="0"/>
          <w:lang w:val="de-DE"/>
        </w:rPr>
        <w:t xml:space="preserve">, not </w:t>
      </w:r>
      <w:r>
        <w:rPr>
          <w:rtl w:val="0"/>
        </w:rPr>
        <w:t>Τασεύς</w:t>
      </w:r>
      <w:r>
        <w:rPr>
          <w:rtl w:val="0"/>
          <w:lang w:val="de-DE"/>
        </w:rPr>
        <w:t xml:space="preserve">), but the precise arrangement remains unclear. </w:t>
      </w:r>
    </w:p>
    <w:p>
      <w:pPr>
        <w:pStyle w:val="Body"/>
        <w:ind w:firstLine="720"/>
      </w:pPr>
    </w:p>
    <w:p>
      <w:pPr>
        <w:pStyle w:val="Body"/>
      </w:pPr>
      <w:r>
        <w:rPr>
          <w:rtl w:val="0"/>
          <w:lang w:val="de-DE"/>
        </w:rPr>
        <w:t>#articleHeader</w:t>
      </w:r>
    </w:p>
    <w:p>
      <w:pPr>
        <w:pStyle w:val="Body"/>
      </w:pPr>
      <w:r>
        <w:rPr>
          <w:rtl w:val="0"/>
        </w:rPr>
        <w:t>1</w:t>
      </w:r>
      <w:r>
        <w:rPr>
          <w:rtl w:val="0"/>
          <w:lang w:val="de-DE"/>
        </w:rPr>
        <w:t>5</w:t>
      </w:r>
      <w:r>
        <w:rPr>
          <w:rtl w:val="0"/>
        </w:rPr>
        <w:t xml:space="preserve">. </w:t>
      </w:r>
      <w:r>
        <w:rPr>
          <w:rStyle w:val="Hyperlink.0"/>
        </w:rPr>
        <w:fldChar w:fldCharType="begin" w:fldLock="0"/>
      </w:r>
      <w:r>
        <w:rPr>
          <w:rStyle w:val="Hyperlink.0"/>
        </w:rPr>
        <w:instrText xml:space="preserve"> HYPERLINK "https://papyri.info/ddbdp/p.graux%3B2%3B21"</w:instrText>
      </w:r>
      <w:r>
        <w:rPr>
          <w:rStyle w:val="Hyperlink.0"/>
        </w:rPr>
        <w:fldChar w:fldCharType="separate" w:fldLock="0"/>
      </w:r>
      <w:r>
        <w:rPr>
          <w:rStyle w:val="Hyperlink.0"/>
          <w:rtl w:val="0"/>
          <w:lang w:val="fr-FR"/>
        </w:rPr>
        <w:t>P.Graux 2 21</w:t>
      </w:r>
      <w:r>
        <w:rPr/>
        <w:fldChar w:fldCharType="end" w:fldLock="0"/>
      </w:r>
      <w:r>
        <w:rPr>
          <w:rtl w:val="0"/>
          <w:lang w:val="pt-PT"/>
        </w:rPr>
        <w:t xml:space="preserve"> (Apias, 151 CE)</w:t>
      </w:r>
    </w:p>
    <w:p>
      <w:pPr>
        <w:pStyle w:val="Body"/>
      </w:pPr>
    </w:p>
    <w:p>
      <w:pPr>
        <w:pStyle w:val="Body"/>
      </w:pPr>
      <w:r>
        <w:rPr>
          <w:rtl w:val="0"/>
          <w:lang w:val="en-US"/>
        </w:rPr>
        <w:tab/>
        <w:t xml:space="preserve">This is the latest papyrus in the archive of Hermas, son of Heron </w:t>
      </w:r>
      <w:r>
        <w:rPr>
          <w:rStyle w:val="Hyperlink.0"/>
        </w:rPr>
        <w:fldChar w:fldCharType="begin" w:fldLock="0"/>
      </w:r>
      <w:r>
        <w:rPr>
          <w:rStyle w:val="Hyperlink.0"/>
        </w:rPr>
        <w:instrText xml:space="preserve"> HYPERLINK "http://www.trismegistos.org/archive/569"</w:instrText>
      </w:r>
      <w:r>
        <w:rPr>
          <w:rStyle w:val="Hyperlink.0"/>
        </w:rPr>
        <w:fldChar w:fldCharType="separate" w:fldLock="0"/>
      </w:r>
      <w:r>
        <w:rPr>
          <w:rStyle w:val="Hyperlink.0"/>
          <w:rtl w:val="0"/>
          <w:lang w:val="it-IT"/>
        </w:rPr>
        <w:t>(TM Arch 569)</w:t>
      </w:r>
      <w:r>
        <w:rPr/>
        <w:fldChar w:fldCharType="end" w:fldLock="0"/>
      </w:r>
      <w:r>
        <w:rPr>
          <w:rtl w:val="0"/>
          <w:lang w:val="en-US"/>
        </w:rPr>
        <w:t xml:space="preserve">. The reading in l. 2, where </w:t>
      </w:r>
      <w:r>
        <w:rPr>
          <w:rtl w:val="0"/>
        </w:rPr>
        <w:t xml:space="preserve">ταριχοπωλικῆς </w:t>
      </w:r>
      <w:r>
        <w:rPr>
          <w:rtl w:val="0"/>
        </w:rPr>
        <w:t>vel sim.</w:t>
      </w:r>
      <w:r>
        <w:rPr>
          <w:rtl w:val="0"/>
          <w:lang w:val="en-US"/>
        </w:rPr>
        <w:t xml:space="preserve"> is expected (cf. l. 8), still perplexes, but a minor improvement can be made in the notary</w:t>
      </w:r>
      <w:r>
        <w:rPr>
          <w:rtl w:val="1"/>
        </w:rPr>
        <w:t>’</w:t>
      </w:r>
      <w:r>
        <w:rPr>
          <w:rtl w:val="0"/>
          <w:lang w:val="en-US"/>
        </w:rPr>
        <w:t>s subscription in ll. 22-23:</w:t>
      </w:r>
    </w:p>
    <w:p>
      <w:pPr>
        <w:pStyle w:val="Body"/>
      </w:pPr>
    </w:p>
    <w:p>
      <w:pPr>
        <w:pStyle w:val="Body"/>
      </w:pPr>
      <w:r>
        <w:rPr>
          <w:rtl w:val="0"/>
        </w:rPr>
        <w:t>ἐγράφη δι</w:t>
      </w:r>
      <w:r>
        <w:rPr>
          <w:rtl w:val="0"/>
        </w:rPr>
        <w:t>(</w:t>
      </w:r>
      <w:r>
        <w:rPr>
          <w:rtl w:val="0"/>
        </w:rPr>
        <w:t>ὰ</w:t>
      </w:r>
      <w:r>
        <w:rPr>
          <w:rtl w:val="0"/>
        </w:rPr>
        <w:t xml:space="preserve">) </w:t>
      </w:r>
      <w:r>
        <w:rPr>
          <w:rtl w:val="0"/>
        </w:rPr>
        <w:t xml:space="preserve">τοῦ τε  ̣  ̣  ̣  ̣ </w:t>
      </w:r>
      <w:r>
        <w:rPr>
          <w:rtl w:val="0"/>
        </w:rPr>
        <w:t xml:space="preserve">| </w:t>
      </w:r>
      <w:r>
        <w:rPr>
          <w:rtl w:val="0"/>
        </w:rPr>
        <w:t xml:space="preserve">νομογράφου </w:t>
      </w:r>
      <w:r>
        <w:rPr>
          <w:rFonts w:ascii="Wingdings" w:hAnsi="Wingdings" w:hint="default"/>
          <w:rtl w:val="0"/>
        </w:rPr>
        <w:sym w:font="Wingdings" w:char="F0E0"/>
      </w:r>
      <w:r>
        <w:rPr>
          <w:rtl w:val="0"/>
        </w:rPr>
        <w:t xml:space="preserve"> ἐγράφη δι</w:t>
      </w:r>
      <w:r>
        <w:rPr>
          <w:rtl w:val="0"/>
        </w:rPr>
        <w:t>(</w:t>
      </w:r>
      <w:r>
        <w:rPr>
          <w:rtl w:val="0"/>
        </w:rPr>
        <w:t>ὰ</w:t>
      </w:r>
      <w:r>
        <w:rPr>
          <w:rtl w:val="0"/>
        </w:rPr>
        <w:t xml:space="preserve">) </w:t>
      </w:r>
      <w:r>
        <w:rPr>
          <w:rtl w:val="0"/>
        </w:rPr>
        <w:t xml:space="preserve">τοῦ τῆ̣ς̣ κ̣ώ̣μη̣ς̣ </w:t>
      </w:r>
      <w:r>
        <w:rPr>
          <w:rtl w:val="0"/>
        </w:rPr>
        <w:t xml:space="preserve">| </w:t>
      </w:r>
      <w:r>
        <w:rPr>
          <w:rtl w:val="0"/>
        </w:rPr>
        <w:t>νομογράφου</w:t>
      </w:r>
    </w:p>
    <w:p>
      <w:pPr>
        <w:pStyle w:val="Body"/>
      </w:pPr>
    </w:p>
    <w:p>
      <w:pPr>
        <w:pStyle w:val="Body"/>
      </w:pPr>
      <w:r>
        <w:rPr>
          <w:rtl w:val="0"/>
          <w:lang w:val="en-US"/>
        </w:rPr>
        <w:t>The editor</w:t>
      </w:r>
      <w:r>
        <w:rPr>
          <w:rtl w:val="1"/>
        </w:rPr>
        <w:t>’</w:t>
      </w:r>
      <w:r>
        <w:rPr>
          <w:rtl w:val="0"/>
          <w:lang w:val="en-US"/>
        </w:rPr>
        <w:t xml:space="preserve">s epsilon is rather the left half of a partially effaced eta; the remaining traces fit the reading well (for the sigma-kappa ligature just after the lacuna, cf. the next line). </w:t>
      </w:r>
      <w:r>
        <w:rPr>
          <w:rtl w:val="1"/>
          <w:lang w:val="ar-SA" w:bidi="ar-SA"/>
        </w:rPr>
        <w:t>“</w:t>
      </w:r>
      <w:r>
        <w:rPr>
          <w:rtl w:val="0"/>
          <w:lang w:val="en-US"/>
        </w:rPr>
        <w:t>The village</w:t>
      </w:r>
      <w:r>
        <w:rPr>
          <w:rtl w:val="0"/>
        </w:rPr>
        <w:t xml:space="preserve">” </w:t>
      </w:r>
      <w:r>
        <w:rPr>
          <w:rtl w:val="0"/>
          <w:lang w:val="en-US"/>
        </w:rPr>
        <w:t xml:space="preserve">refers to Apias, mentioned twice above. In </w:t>
      </w:r>
      <w:r>
        <w:rPr>
          <w:rtl w:val="0"/>
        </w:rPr>
        <w:t xml:space="preserve">hypomnemata </w:t>
      </w:r>
      <w:r>
        <w:rPr>
          <w:rtl w:val="0"/>
          <w:lang w:val="en-US"/>
        </w:rPr>
        <w:t xml:space="preserve">and </w:t>
      </w:r>
      <w:r>
        <w:rPr>
          <w:rtl w:val="0"/>
          <w:lang w:val="pt-PT"/>
        </w:rPr>
        <w:t>cheirographiai</w:t>
      </w:r>
      <w:r>
        <w:rPr>
          <w:rtl w:val="0"/>
          <w:lang w:val="en-US"/>
        </w:rPr>
        <w:t xml:space="preserve">, village notaries usually sign with their name (in contrast to contract registrations, which allowed for anonymity), but cf. </w:t>
      </w:r>
      <w:r>
        <w:rPr>
          <w:rStyle w:val="Hyperlink.0"/>
        </w:rPr>
        <w:fldChar w:fldCharType="begin" w:fldLock="0"/>
      </w:r>
      <w:r>
        <w:rPr>
          <w:rStyle w:val="Hyperlink.0"/>
        </w:rPr>
        <w:instrText xml:space="preserve"> HYPERLINK "https://papyri.info/ddbdp/symboslo%3B78%3B24"</w:instrText>
      </w:r>
      <w:r>
        <w:rPr>
          <w:rStyle w:val="Hyperlink.0"/>
        </w:rPr>
        <w:fldChar w:fldCharType="separate" w:fldLock="0"/>
      </w:r>
      <w:r>
        <w:rPr>
          <w:rStyle w:val="Hyperlink.0"/>
          <w:rtl w:val="0"/>
        </w:rPr>
        <w:t>P.Oslo inv. 1468</w:t>
      </w:r>
      <w:r>
        <w:rPr/>
        <w:fldChar w:fldCharType="end" w:fldLock="0"/>
      </w:r>
      <w:r>
        <w:rPr>
          <w:rtl w:val="0"/>
          <w:lang w:val="en-US"/>
        </w:rPr>
        <w:t xml:space="preserve">.16-17 (54), where the same anonymous identification is used: </w:t>
      </w:r>
      <w:r>
        <w:rPr>
          <w:rtl w:val="0"/>
        </w:rPr>
        <w:t>ἔγραψεν ὑπὲρ αὐτῶν ὁ τῆς κώμης νομογράφος</w:t>
      </w:r>
      <w:r>
        <w:rPr>
          <w:rtl w:val="0"/>
        </w:rPr>
        <w:t xml:space="preserve">. </w:t>
      </w:r>
      <w:r>
        <w:rPr>
          <w:rStyle w:val="Hyperlink.0"/>
        </w:rPr>
        <w:fldChar w:fldCharType="begin" w:fldLock="0"/>
      </w:r>
      <w:r>
        <w:rPr>
          <w:rStyle w:val="Hyperlink.0"/>
        </w:rPr>
        <w:instrText xml:space="preserve"> HYPERLINK "https://papyri.info/ddbdp/p.mich%3B5%3B233"</w:instrText>
      </w:r>
      <w:r>
        <w:rPr>
          <w:rStyle w:val="Hyperlink.0"/>
        </w:rPr>
        <w:fldChar w:fldCharType="separate" w:fldLock="0"/>
      </w:r>
      <w:r>
        <w:rPr>
          <w:rStyle w:val="Hyperlink.0"/>
          <w:rtl w:val="0"/>
        </w:rPr>
        <w:t>P.Mich. 5</w:t>
      </w:r>
      <w:r>
        <w:rPr>
          <w:rStyle w:val="Hyperlink.0"/>
          <w:rtl w:val="0"/>
        </w:rPr>
        <w:t> </w:t>
      </w:r>
      <w:r>
        <w:rPr>
          <w:rStyle w:val="Hyperlink.0"/>
          <w:rtl w:val="0"/>
        </w:rPr>
        <w:t>233</w:t>
      </w:r>
      <w:r>
        <w:rPr/>
        <w:fldChar w:fldCharType="end" w:fldLock="0"/>
      </w:r>
      <w:r>
        <w:rPr>
          <w:rtl w:val="0"/>
          <w:lang w:val="en-US"/>
        </w:rPr>
        <w:t xml:space="preserve">.23 (24) and </w:t>
      </w:r>
      <w:r>
        <w:rPr>
          <w:rStyle w:val="Hyperlink.0"/>
        </w:rPr>
        <w:fldChar w:fldCharType="begin" w:fldLock="0"/>
      </w:r>
      <w:r>
        <w:rPr>
          <w:rStyle w:val="Hyperlink.0"/>
        </w:rPr>
        <w:instrText xml:space="preserve"> HYPERLINK "https://papyri.info/ddbdp/bgu%3B11%3B2085"</w:instrText>
      </w:r>
      <w:r>
        <w:rPr>
          <w:rStyle w:val="Hyperlink.0"/>
        </w:rPr>
        <w:fldChar w:fldCharType="separate" w:fldLock="0"/>
      </w:r>
      <w:r>
        <w:rPr>
          <w:rStyle w:val="Hyperlink.0"/>
          <w:rtl w:val="0"/>
        </w:rPr>
        <w:t>BGU 11 2085</w:t>
      </w:r>
      <w:r>
        <w:rPr/>
        <w:fldChar w:fldCharType="end" w:fldLock="0"/>
      </w:r>
      <w:r>
        <w:rPr>
          <w:rtl w:val="0"/>
          <w:lang w:val="en-US"/>
        </w:rPr>
        <w:t xml:space="preserve">.16 (119) also make use of the formula </w:t>
      </w:r>
      <w:r>
        <w:rPr>
          <w:rtl w:val="0"/>
        </w:rPr>
        <w:t>ὁ τῆς κώμης νομογράφος</w:t>
      </w:r>
      <w:r>
        <w:rPr>
          <w:rtl w:val="0"/>
          <w:lang w:val="de-DE"/>
        </w:rPr>
        <w:t xml:space="preserve"> after the notar</w:t>
      </w:r>
      <w:r>
        <w:rPr>
          <w:rtl w:val="0"/>
        </w:rPr>
        <w:t>y</w:t>
      </w:r>
      <w:r>
        <w:rPr>
          <w:rtl w:val="1"/>
        </w:rPr>
        <w:t>’</w:t>
      </w:r>
      <w:r>
        <w:rPr>
          <w:rtl w:val="0"/>
        </w:rPr>
        <w:t>s</w:t>
      </w:r>
      <w:r>
        <w:rPr>
          <w:rtl w:val="0"/>
          <w:lang w:val="de-DE"/>
        </w:rPr>
        <w:t xml:space="preserve"> name.</w:t>
      </w:r>
    </w:p>
    <w:p>
      <w:pPr>
        <w:pStyle w:val="Heading 2"/>
        <w:jc w:val="left"/>
      </w:pPr>
    </w:p>
    <w:p>
      <w:pPr>
        <w:pStyle w:val="Body"/>
      </w:pPr>
      <w:r>
        <w:rPr>
          <w:rtl w:val="0"/>
          <w:lang w:val="de-DE"/>
        </w:rPr>
        <w:t>#bibliography</w:t>
      </w:r>
    </w:p>
    <w:p>
      <w:pPr>
        <w:pStyle w:val="Body"/>
      </w:pPr>
      <w:r>
        <w:rPr>
          <w:rStyle w:val="Hyperlink.0"/>
        </w:rPr>
        <w:fldChar w:fldCharType="begin" w:fldLock="0"/>
      </w:r>
      <w:r>
        <w:rPr>
          <w:rStyle w:val="Hyperlink.0"/>
        </w:rPr>
        <w:instrText xml:space="preserve"> HYPERLINK "https://papyri.info/biblio/86823"</w:instrText>
      </w:r>
      <w:r>
        <w:rPr>
          <w:rStyle w:val="Hyperlink.0"/>
        </w:rPr>
        <w:fldChar w:fldCharType="separate" w:fldLock="0"/>
      </w:r>
      <w:r>
        <w:rPr>
          <w:rStyle w:val="Hyperlink.0"/>
          <w:rtl w:val="0"/>
        </w:rPr>
        <w:t>Claytor, W.G. (2014)</w:t>
      </w:r>
      <w:r>
        <w:rPr/>
        <w:fldChar w:fldCharType="end" w:fldLock="0"/>
      </w:r>
      <w:r>
        <w:rPr>
          <w:rtl w:val="0"/>
        </w:rPr>
        <w:t xml:space="preserve"> </w:t>
      </w:r>
      <w:r>
        <w:rPr>
          <w:rtl w:val="0"/>
          <w:lang w:val="de-DE"/>
        </w:rPr>
        <w:t>“</w:t>
      </w:r>
      <w:r>
        <w:rPr>
          <w:rtl w:val="0"/>
          <w:lang w:val="en-US"/>
        </w:rPr>
        <w:t xml:space="preserve">Heron, Son of Satyros: a Scribe in the </w:t>
      </w:r>
      <w:r>
        <w:rPr>
          <w:rtl w:val="0"/>
          <w:lang w:val="pt-PT"/>
        </w:rPr>
        <w:t>grapheion</w:t>
      </w:r>
      <w:r>
        <w:rPr>
          <w:rtl w:val="0"/>
          <w:lang w:val="en-US"/>
        </w:rPr>
        <w:t xml:space="preserve"> of Karanis,</w:t>
      </w:r>
      <w:r>
        <w:rPr>
          <w:rtl w:val="0"/>
        </w:rPr>
        <w:t xml:space="preserve">” </w:t>
      </w:r>
      <w:r>
        <w:rPr>
          <w:rtl w:val="0"/>
        </w:rPr>
        <w:t>ZPE 190, 199</w:t>
      </w:r>
      <w:r>
        <w:rPr>
          <w:rtl w:val="0"/>
        </w:rPr>
        <w:t>–</w:t>
      </w:r>
      <w:r>
        <w:rPr>
          <w:rtl w:val="0"/>
        </w:rPr>
        <w:t xml:space="preserve">202. </w:t>
      </w:r>
    </w:p>
    <w:p>
      <w:pPr>
        <w:pStyle w:val="Body"/>
      </w:pPr>
      <w:r>
        <w:rPr>
          <w:rStyle w:val="Hyperlink.2"/>
        </w:rPr>
        <w:fldChar w:fldCharType="begin" w:fldLock="0"/>
      </w:r>
      <w:r>
        <w:rPr>
          <w:rStyle w:val="Hyperlink.2"/>
        </w:rPr>
        <w:instrText xml:space="preserve"> HYPERLINK "https://papyri.info/biblio/95713"</w:instrText>
      </w:r>
      <w:r>
        <w:rPr>
          <w:rStyle w:val="Hyperlink.2"/>
        </w:rPr>
        <w:fldChar w:fldCharType="separate" w:fldLock="0"/>
      </w:r>
      <w:r>
        <w:rPr>
          <w:rStyle w:val="Hyperlink.2"/>
          <w:rtl w:val="0"/>
        </w:rPr>
        <w:t>Claytor, W.G., N. Litinas, E. Nabney (2016)</w:t>
      </w:r>
      <w:r>
        <w:rPr/>
        <w:fldChar w:fldCharType="end" w:fldLock="0"/>
      </w:r>
      <w:r>
        <w:rPr>
          <w:rtl w:val="0"/>
          <w:lang w:val="de-DE"/>
        </w:rPr>
        <w:t xml:space="preserve"> “</w:t>
      </w:r>
      <w:r>
        <w:rPr>
          <w:rtl w:val="0"/>
          <w:lang w:val="de-DE"/>
        </w:rPr>
        <w:t>Labor Contracts from the Harthotes Archive,</w:t>
      </w:r>
      <w:r>
        <w:rPr>
          <w:rtl w:val="0"/>
        </w:rPr>
        <w:t xml:space="preserve">” </w:t>
      </w:r>
      <w:r>
        <w:rPr>
          <w:rtl w:val="0"/>
        </w:rPr>
        <w:t>BASP 53, 79</w:t>
      </w:r>
      <w:r>
        <w:rPr>
          <w:rtl w:val="0"/>
        </w:rPr>
        <w:t>–</w:t>
      </w:r>
      <w:r>
        <w:rPr>
          <w:rtl w:val="0"/>
        </w:rPr>
        <w:t>119.</w:t>
      </w:r>
    </w:p>
    <w:p>
      <w:pPr>
        <w:pStyle w:val="Body"/>
      </w:pPr>
      <w:r>
        <w:rPr>
          <w:rStyle w:val="Hyperlink.2"/>
        </w:rPr>
        <w:fldChar w:fldCharType="begin" w:fldLock="0"/>
      </w:r>
      <w:r>
        <w:rPr>
          <w:rStyle w:val="Hyperlink.2"/>
        </w:rPr>
        <w:instrText xml:space="preserve"> HYPERLINK "https://papyri.info/biblio/59800"</w:instrText>
      </w:r>
      <w:r>
        <w:rPr>
          <w:rStyle w:val="Hyperlink.2"/>
        </w:rPr>
        <w:fldChar w:fldCharType="separate" w:fldLock="0"/>
      </w:r>
      <w:r>
        <w:rPr>
          <w:rStyle w:val="Hyperlink.2"/>
          <w:rtl w:val="0"/>
        </w:rPr>
        <w:t>Daris, S. (1989)</w:t>
      </w:r>
      <w:r>
        <w:rPr/>
        <w:fldChar w:fldCharType="end" w:fldLock="0"/>
      </w:r>
      <w:r>
        <w:rPr>
          <w:rtl w:val="0"/>
          <w:lang w:val="de-DE"/>
        </w:rPr>
        <w:t xml:space="preserve"> “</w:t>
      </w:r>
      <w:r>
        <w:rPr>
          <w:rtl w:val="0"/>
          <w:lang w:val="de-DE"/>
        </w:rPr>
        <w:t>P. Oxy. II 364 e 365,</w:t>
      </w:r>
      <w:r>
        <w:rPr>
          <w:rtl w:val="0"/>
        </w:rPr>
        <w:t xml:space="preserve">” </w:t>
      </w:r>
      <w:r>
        <w:rPr>
          <w:rtl w:val="0"/>
        </w:rPr>
        <w:t>ZPE 79, 197</w:t>
      </w:r>
      <w:r>
        <w:rPr>
          <w:rtl w:val="0"/>
        </w:rPr>
        <w:t>–</w:t>
      </w:r>
      <w:r>
        <w:rPr>
          <w:rtl w:val="0"/>
        </w:rPr>
        <w:t>199.</w:t>
      </w:r>
    </w:p>
    <w:p>
      <w:pPr>
        <w:pStyle w:val="Body"/>
      </w:pPr>
      <w:r>
        <w:rPr>
          <w:rStyle w:val="Hyperlink.2"/>
        </w:rPr>
        <w:fldChar w:fldCharType="begin" w:fldLock="0"/>
      </w:r>
      <w:r>
        <w:rPr>
          <w:rStyle w:val="Hyperlink.2"/>
        </w:rPr>
        <w:instrText xml:space="preserve"> HYPERLINK "https://papyri.info/biblio/78821"</w:instrText>
      </w:r>
      <w:r>
        <w:rPr>
          <w:rStyle w:val="Hyperlink.2"/>
        </w:rPr>
        <w:fldChar w:fldCharType="separate" w:fldLock="0"/>
      </w:r>
      <w:r>
        <w:rPr>
          <w:rStyle w:val="Hyperlink.2"/>
          <w:rtl w:val="0"/>
        </w:rPr>
        <w:t>Depauw, M. (2011)</w:t>
      </w:r>
      <w:r>
        <w:rPr/>
        <w:fldChar w:fldCharType="end" w:fldLock="0"/>
      </w:r>
      <w:r>
        <w:rPr>
          <w:rtl w:val="0"/>
          <w:lang w:val="de-DE"/>
        </w:rPr>
        <w:t xml:space="preserve"> “</w:t>
      </w:r>
      <w:r>
        <w:rPr>
          <w:rtl w:val="0"/>
          <w:lang w:val="de-DE"/>
        </w:rPr>
        <w:t xml:space="preserve">Physical Descriptions, Registration and </w:t>
      </w:r>
      <w:r>
        <w:rPr>
          <w:rtl w:val="0"/>
          <w:lang w:val="de-DE"/>
        </w:rPr>
        <w:t>εἰκονίζειν</w:t>
      </w:r>
      <w:r>
        <w:rPr>
          <w:rtl w:val="0"/>
          <w:lang w:val="de-DE"/>
        </w:rPr>
        <w:t>. With New Interpretations for P. Par. 65 and P. Oxy. I 34,</w:t>
      </w:r>
      <w:r>
        <w:rPr>
          <w:rtl w:val="0"/>
        </w:rPr>
        <w:t xml:space="preserve">” </w:t>
      </w:r>
      <w:r>
        <w:rPr>
          <w:rtl w:val="0"/>
        </w:rPr>
        <w:t>ZPE 176, 189</w:t>
      </w:r>
      <w:r>
        <w:rPr>
          <w:rtl w:val="0"/>
        </w:rPr>
        <w:t>–</w:t>
      </w:r>
      <w:r>
        <w:rPr>
          <w:rtl w:val="0"/>
        </w:rPr>
        <w:t>199.</w:t>
      </w:r>
    </w:p>
    <w:p>
      <w:pPr>
        <w:pStyle w:val="Body"/>
      </w:pPr>
      <w:r>
        <w:rPr>
          <w:rtl w:val="0"/>
          <w:lang w:val="de-DE"/>
        </w:rPr>
        <w:t xml:space="preserve">Freu, C. (2022) </w:t>
      </w:r>
      <w:r>
        <w:rPr>
          <w:rtl w:val="0"/>
          <w:lang w:val="de-DE"/>
        </w:rPr>
        <w:t>Les salari</w:t>
      </w:r>
      <w:r>
        <w:rPr>
          <w:rtl w:val="0"/>
          <w:lang w:val="de-DE"/>
        </w:rPr>
        <w:t>é</w:t>
      </w:r>
      <w:r>
        <w:rPr>
          <w:rtl w:val="0"/>
          <w:lang w:val="de-DE"/>
        </w:rPr>
        <w:t>s de l</w:t>
      </w:r>
      <w:r>
        <w:rPr>
          <w:rtl w:val="1"/>
        </w:rPr>
        <w:t>’</w:t>
      </w:r>
      <w:r>
        <w:rPr>
          <w:rtl w:val="0"/>
          <w:lang w:val="de-DE"/>
        </w:rPr>
        <w:t>É</w:t>
      </w:r>
      <w:r>
        <w:rPr>
          <w:rtl w:val="0"/>
          <w:lang w:val="de-DE"/>
        </w:rPr>
        <w:t>gypte romano-byzantine</w:t>
      </w:r>
      <w:r>
        <w:rPr>
          <w:rtl w:val="0"/>
        </w:rPr>
        <w:t xml:space="preserve">. </w:t>
      </w:r>
      <w:r>
        <w:rPr>
          <w:rtl w:val="0"/>
          <w:lang w:val="de-DE"/>
        </w:rPr>
        <w:t>Paris.</w:t>
      </w:r>
    </w:p>
    <w:p>
      <w:pPr>
        <w:pStyle w:val="Body"/>
      </w:pPr>
      <w:r>
        <w:rPr>
          <w:rStyle w:val="Hyperlink.0"/>
        </w:rPr>
        <w:fldChar w:fldCharType="begin" w:fldLock="0"/>
      </w:r>
      <w:r>
        <w:rPr>
          <w:rStyle w:val="Hyperlink.0"/>
        </w:rPr>
        <w:instrText xml:space="preserve"> HYPERLINK "https://papyri.info/biblio/96705"</w:instrText>
      </w:r>
      <w:r>
        <w:rPr>
          <w:rStyle w:val="Hyperlink.0"/>
        </w:rPr>
        <w:fldChar w:fldCharType="separate" w:fldLock="0"/>
      </w:r>
      <w:r>
        <w:rPr>
          <w:rStyle w:val="Hyperlink.0"/>
          <w:rtl w:val="0"/>
        </w:rPr>
        <w:t>Gonis, N. (2021)</w:t>
      </w:r>
      <w:r>
        <w:rPr/>
        <w:fldChar w:fldCharType="end" w:fldLock="0"/>
      </w:r>
      <w:r>
        <w:rPr>
          <w:rtl w:val="0"/>
        </w:rPr>
        <w:t xml:space="preserve"> </w:t>
      </w:r>
      <w:r>
        <w:rPr>
          <w:rtl w:val="0"/>
          <w:lang w:val="de-DE"/>
        </w:rPr>
        <w:t>“</w:t>
      </w:r>
      <w:r>
        <w:rPr>
          <w:rtl w:val="0"/>
          <w:lang w:val="en-US"/>
        </w:rPr>
        <w:t>P.Athen. 48: Tax registers from Karanis,</w:t>
      </w:r>
      <w:r>
        <w:rPr>
          <w:rtl w:val="0"/>
        </w:rPr>
        <w:t xml:space="preserve">” </w:t>
      </w:r>
      <w:r>
        <w:rPr>
          <w:rtl w:val="0"/>
          <w:lang w:val="it-IT"/>
        </w:rPr>
        <w:t>Cd</w:t>
      </w:r>
      <w:r>
        <w:rPr>
          <w:rtl w:val="0"/>
          <w:lang w:val="pt-PT"/>
        </w:rPr>
        <w:t xml:space="preserve">É </w:t>
      </w:r>
      <w:r>
        <w:rPr>
          <w:rtl w:val="0"/>
        </w:rPr>
        <w:t>96, 114</w:t>
      </w:r>
      <w:r>
        <w:rPr>
          <w:rtl w:val="0"/>
        </w:rPr>
        <w:t>–</w:t>
      </w:r>
      <w:r>
        <w:rPr>
          <w:rtl w:val="0"/>
        </w:rPr>
        <w:t>120.</w:t>
      </w:r>
    </w:p>
    <w:p>
      <w:pPr>
        <w:pStyle w:val="Body"/>
      </w:pPr>
      <w:r>
        <w:rPr>
          <w:rStyle w:val="Hyperlink.0"/>
        </w:rPr>
        <w:fldChar w:fldCharType="begin" w:fldLock="0"/>
      </w:r>
      <w:r>
        <w:rPr>
          <w:rStyle w:val="Hyperlink.0"/>
        </w:rPr>
        <w:instrText xml:space="preserve"> HYPERLINK "https://papyri.info/biblio/96531"</w:instrText>
      </w:r>
      <w:r>
        <w:rPr>
          <w:rStyle w:val="Hyperlink.0"/>
        </w:rPr>
        <w:fldChar w:fldCharType="separate" w:fldLock="0"/>
      </w:r>
      <w:r>
        <w:rPr>
          <w:rStyle w:val="Hyperlink.0"/>
          <w:rtl w:val="0"/>
        </w:rPr>
        <w:t>Gonis, N. (2023a)</w:t>
      </w:r>
      <w:r>
        <w:rPr/>
        <w:fldChar w:fldCharType="end" w:fldLock="0"/>
      </w:r>
      <w:r>
        <w:rPr>
          <w:rtl w:val="0"/>
        </w:rPr>
        <w:t xml:space="preserve"> </w:t>
      </w:r>
      <w:r>
        <w:rPr>
          <w:rtl w:val="0"/>
          <w:lang w:val="de-DE"/>
        </w:rPr>
        <w:t>“</w:t>
      </w:r>
      <w:r>
        <w:rPr>
          <w:rtl w:val="0"/>
          <w:lang w:val="en-US"/>
        </w:rPr>
        <w:t>Notes on Miscellaneous Documents IX</w:t>
      </w:r>
      <w:r>
        <w:rPr>
          <w:rtl w:val="0"/>
        </w:rPr>
        <w:t xml:space="preserve">” </w:t>
      </w:r>
      <w:r>
        <w:rPr>
          <w:rtl w:val="0"/>
        </w:rPr>
        <w:t>ZPE 225, 225</w:t>
      </w:r>
      <w:r>
        <w:rPr>
          <w:rtl w:val="0"/>
        </w:rPr>
        <w:t>–</w:t>
      </w:r>
      <w:r>
        <w:rPr>
          <w:rtl w:val="0"/>
        </w:rPr>
        <w:t>230.</w:t>
      </w:r>
    </w:p>
    <w:p>
      <w:pPr>
        <w:pStyle w:val="Body"/>
      </w:pPr>
      <w:r>
        <w:rPr>
          <w:rStyle w:val="Hyperlink.0"/>
        </w:rPr>
        <w:fldChar w:fldCharType="begin" w:fldLock="0"/>
      </w:r>
      <w:r>
        <w:rPr>
          <w:rStyle w:val="Hyperlink.0"/>
        </w:rPr>
        <w:instrText xml:space="preserve"> HYPERLINK "https://papyri.info/biblio/96589"</w:instrText>
      </w:r>
      <w:r>
        <w:rPr>
          <w:rStyle w:val="Hyperlink.0"/>
        </w:rPr>
        <w:fldChar w:fldCharType="separate" w:fldLock="0"/>
      </w:r>
      <w:r>
        <w:rPr>
          <w:rStyle w:val="Hyperlink.0"/>
          <w:rtl w:val="0"/>
        </w:rPr>
        <w:t>Gonis, N. (2023b)</w:t>
      </w:r>
      <w:r>
        <w:rPr/>
        <w:fldChar w:fldCharType="end" w:fldLock="0"/>
      </w:r>
      <w:r>
        <w:rPr>
          <w:rtl w:val="0"/>
        </w:rPr>
        <w:t xml:space="preserve"> </w:t>
      </w:r>
      <w:r>
        <w:rPr>
          <w:rtl w:val="0"/>
          <w:lang w:val="de-DE"/>
        </w:rPr>
        <w:t>“</w:t>
      </w:r>
      <w:r>
        <w:rPr>
          <w:rtl w:val="0"/>
          <w:lang w:val="en-US"/>
        </w:rPr>
        <w:t>Notes on Miscellaneous Documents X</w:t>
      </w:r>
      <w:r>
        <w:rPr>
          <w:rtl w:val="0"/>
        </w:rPr>
        <w:t xml:space="preserve">” </w:t>
      </w:r>
      <w:r>
        <w:rPr>
          <w:rtl w:val="0"/>
        </w:rPr>
        <w:t>ZPE 226, 123</w:t>
      </w:r>
      <w:r>
        <w:rPr>
          <w:rtl w:val="0"/>
        </w:rPr>
        <w:t>–</w:t>
      </w:r>
      <w:r>
        <w:rPr>
          <w:rtl w:val="0"/>
        </w:rPr>
        <w:t>129.</w:t>
      </w:r>
    </w:p>
    <w:p>
      <w:pPr>
        <w:pStyle w:val="Body"/>
      </w:pPr>
      <w:r>
        <w:rPr>
          <w:rStyle w:val="Hyperlink.0"/>
        </w:rPr>
        <w:fldChar w:fldCharType="begin" w:fldLock="0"/>
      </w:r>
      <w:r>
        <w:rPr>
          <w:rStyle w:val="Hyperlink.0"/>
        </w:rPr>
        <w:instrText xml:space="preserve"> HYPERLINK "https://papyri.info/biblio/67504"</w:instrText>
      </w:r>
      <w:r>
        <w:rPr>
          <w:rStyle w:val="Hyperlink.0"/>
        </w:rPr>
        <w:fldChar w:fldCharType="separate" w:fldLock="0"/>
      </w:r>
      <w:r>
        <w:rPr>
          <w:rStyle w:val="Hyperlink.0"/>
          <w:rtl w:val="0"/>
        </w:rPr>
        <w:t>Hagedorn, D. (1998)</w:t>
      </w:r>
      <w:r>
        <w:rPr/>
        <w:fldChar w:fldCharType="end" w:fldLock="0"/>
      </w:r>
      <w:r>
        <w:rPr>
          <w:rtl w:val="0"/>
        </w:rPr>
        <w:t xml:space="preserve"> </w:t>
      </w:r>
      <w:r>
        <w:rPr>
          <w:rtl w:val="0"/>
          <w:lang w:val="de-DE"/>
        </w:rPr>
        <w:t>“</w:t>
      </w:r>
      <w:r>
        <w:rPr>
          <w:rtl w:val="0"/>
          <w:lang w:val="de-DE"/>
        </w:rPr>
        <w:t xml:space="preserve"> Noch einmal: Who got the Contract?</w:t>
      </w:r>
      <w:r>
        <w:rPr>
          <w:rtl w:val="0"/>
        </w:rPr>
        <w:t xml:space="preserve">” </w:t>
      </w:r>
      <w:r>
        <w:rPr>
          <w:rtl w:val="0"/>
        </w:rPr>
        <w:t>ZPE 123, 177</w:t>
      </w:r>
      <w:r>
        <w:rPr>
          <w:rtl w:val="0"/>
        </w:rPr>
        <w:t>–</w:t>
      </w:r>
      <w:r>
        <w:rPr>
          <w:rtl w:val="0"/>
        </w:rPr>
        <w:t>180.</w:t>
      </w:r>
    </w:p>
    <w:p>
      <w:pPr>
        <w:pStyle w:val="Body"/>
      </w:pPr>
      <w:r>
        <w:rPr>
          <w:rtl w:val="0"/>
          <w:lang w:val="en-US"/>
        </w:rPr>
        <w:t>Iannace, V. (2023). The Village of Theadelphia in the Second Century AD: The Archives of Aphrodisios Son of Philippos, and Ptolemaios Son of Diodoros. Diss. Univ. Manchester.</w:t>
      </w:r>
    </w:p>
    <w:p>
      <w:pPr>
        <w:pStyle w:val="Body"/>
      </w:pPr>
      <w:r>
        <w:rPr>
          <w:rStyle w:val="Hyperlink.0"/>
        </w:rPr>
        <w:fldChar w:fldCharType="begin" w:fldLock="0"/>
      </w:r>
      <w:r>
        <w:rPr>
          <w:rStyle w:val="Hyperlink.0"/>
        </w:rPr>
        <w:instrText xml:space="preserve"> HYPERLINK "https://papyri.info/biblio/96192"</w:instrText>
      </w:r>
      <w:r>
        <w:rPr>
          <w:rStyle w:val="Hyperlink.0"/>
        </w:rPr>
        <w:fldChar w:fldCharType="separate" w:fldLock="0"/>
      </w:r>
      <w:r>
        <w:rPr>
          <w:rStyle w:val="Hyperlink.0"/>
          <w:rtl w:val="0"/>
          <w:lang w:val="it-IT"/>
        </w:rPr>
        <w:t>Mascellari (2021)</w:t>
      </w:r>
      <w:r>
        <w:rPr/>
        <w:fldChar w:fldCharType="end" w:fldLock="0"/>
      </w:r>
      <w:r>
        <w:rPr>
          <w:rtl w:val="0"/>
        </w:rPr>
        <w:t xml:space="preserve"> </w:t>
      </w:r>
      <w:r>
        <w:rPr>
          <w:rtl w:val="0"/>
          <w:lang w:val="it-IT"/>
        </w:rPr>
        <w:t>La lingua delle petizioni nell</w:t>
      </w:r>
      <w:r>
        <w:rPr>
          <w:rtl w:val="1"/>
        </w:rPr>
        <w:t>’</w:t>
      </w:r>
      <w:r>
        <w:rPr>
          <w:rtl w:val="0"/>
          <w:lang w:val="it-IT"/>
        </w:rPr>
        <w:t>Egitto romano</w:t>
      </w:r>
      <w:r>
        <w:rPr>
          <w:rtl w:val="0"/>
          <w:lang w:val="it-IT"/>
        </w:rPr>
        <w:t>. Florence.</w:t>
      </w:r>
    </w:p>
    <w:p>
      <w:pPr>
        <w:pStyle w:val="Body"/>
      </w:pPr>
      <w:r>
        <w:rPr>
          <w:rStyle w:val="Hyperlink.0"/>
        </w:rPr>
        <w:fldChar w:fldCharType="begin" w:fldLock="0"/>
      </w:r>
      <w:r>
        <w:rPr>
          <w:rStyle w:val="Hyperlink.0"/>
        </w:rPr>
        <w:instrText xml:space="preserve"> HYPERLINK "https://papyri.info/biblio/86878"</w:instrText>
      </w:r>
      <w:r>
        <w:rPr>
          <w:rStyle w:val="Hyperlink.0"/>
        </w:rPr>
        <w:fldChar w:fldCharType="separate" w:fldLock="0"/>
      </w:r>
      <w:r>
        <w:rPr>
          <w:rStyle w:val="Hyperlink.0"/>
          <w:rtl w:val="0"/>
          <w:lang w:val="it-IT"/>
        </w:rPr>
        <w:t>Paganini, M.C.D. (2015)</w:t>
      </w:r>
      <w:r>
        <w:rPr/>
        <w:fldChar w:fldCharType="end" w:fldLock="0"/>
      </w:r>
      <w:r>
        <w:rPr>
          <w:rtl w:val="1"/>
          <w:lang w:val="ar-SA" w:bidi="ar-SA"/>
        </w:rPr>
        <w:t xml:space="preserve"> “</w:t>
      </w:r>
      <w:r>
        <w:rPr>
          <w:rtl w:val="0"/>
          <w:lang w:val="en-US"/>
        </w:rPr>
        <w:t>Receipt of Hay for the Transport (?) of Roses,</w:t>
      </w:r>
      <w:r>
        <w:rPr>
          <w:rtl w:val="0"/>
        </w:rPr>
        <w:t xml:space="preserve">” </w:t>
      </w:r>
      <w:r>
        <w:rPr>
          <w:rtl w:val="0"/>
        </w:rPr>
        <w:t>ZPE 193, 226</w:t>
      </w:r>
      <w:r>
        <w:rPr>
          <w:rtl w:val="0"/>
        </w:rPr>
        <w:t>–</w:t>
      </w:r>
      <w:r>
        <w:rPr>
          <w:rtl w:val="0"/>
        </w:rPr>
        <w:t>230.</w:t>
      </w:r>
    </w:p>
    <w:p>
      <w:pPr>
        <w:pStyle w:val="Body"/>
      </w:pPr>
      <w:r>
        <w:rPr>
          <w:rtl w:val="0"/>
        </w:rPr>
        <w:t xml:space="preserve">Ratzan, D.M. (2011) </w:t>
      </w:r>
      <w:r>
        <w:rPr>
          <w:rtl w:val="0"/>
          <w:lang w:val="en-US"/>
        </w:rPr>
        <w:t>Contract Norms and Contract Enforcement in Graeco-Roman Egypt</w:t>
      </w:r>
      <w:r>
        <w:rPr>
          <w:rtl w:val="0"/>
        </w:rPr>
        <w:t>. Diss. Columbia University.</w:t>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IFAO-Grec Unicode">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vertAlign w:val="superscript"/>
        </w:rPr>
        <w:footnoteRef/>
      </w:r>
      <w:r>
        <w:rPr>
          <w:rFonts w:cs="Arial Unicode MS" w:eastAsia="Arial Unicode MS"/>
          <w:rtl w:val="0"/>
          <w:lang w:val="en-US"/>
        </w:rPr>
        <w:t xml:space="preserve"> For the date, see </w:t>
      </w:r>
      <w:r>
        <w:rPr>
          <w:rStyle w:val="Hyperlink.0"/>
        </w:rPr>
        <w:fldChar w:fldCharType="begin" w:fldLock="0"/>
      </w:r>
      <w:r>
        <w:rPr>
          <w:rStyle w:val="Hyperlink.0"/>
        </w:rPr>
        <w:instrText xml:space="preserve"> HYPERLINK "https://papyri.info/ddbdp/bgu%3B20%3B2851"</w:instrText>
      </w:r>
      <w:r>
        <w:rPr>
          <w:rStyle w:val="Hyperlink.0"/>
        </w:rPr>
        <w:fldChar w:fldCharType="separate" w:fldLock="0"/>
      </w:r>
      <w:r>
        <w:rPr>
          <w:rStyle w:val="Hyperlink.0"/>
          <w:rFonts w:cs="Arial Unicode MS" w:eastAsia="Arial Unicode MS"/>
          <w:rtl w:val="0"/>
        </w:rPr>
        <w:t>BGU 20 2851</w:t>
      </w:r>
      <w:r>
        <w:rPr/>
        <w:fldChar w:fldCharType="end" w:fldLock="0"/>
      </w:r>
      <w:r>
        <w:rPr>
          <w:rFonts w:cs="Arial Unicode MS" w:eastAsia="Arial Unicode MS"/>
          <w:rtl w:val="0"/>
          <w:lang w:val="en-US"/>
        </w:rPr>
        <w:t>.3 n.</w:t>
      </w:r>
    </w:p>
  </w:footnote>
  <w:footnote w:id="2">
    <w:p>
      <w:pPr>
        <w:pStyle w:val="footnote text"/>
      </w:pPr>
      <w:r>
        <w:rPr>
          <w:vertAlign w:val="superscript"/>
        </w:rPr>
        <w:footnoteRef/>
      </w:r>
      <w:r>
        <w:rPr>
          <w:rFonts w:cs="Arial Unicode MS" w:eastAsia="Arial Unicode MS"/>
          <w:rtl w:val="0"/>
          <w:lang w:val="en-US"/>
        </w:rPr>
        <w:t xml:space="preserve"> Freu 2022, esp. 25</w:t>
      </w:r>
      <w:r>
        <w:rPr>
          <w:rFonts w:cs="Arial Unicode MS" w:eastAsia="Arial Unicode MS" w:hint="default"/>
          <w:rtl w:val="0"/>
          <w:lang w:val="en-US"/>
        </w:rPr>
        <w:t>–</w:t>
      </w:r>
      <w:r>
        <w:rPr>
          <w:rFonts w:cs="Arial Unicode MS" w:eastAsia="Arial Unicode MS"/>
          <w:rtl w:val="0"/>
          <w:lang w:val="en-US"/>
        </w:rPr>
        <w:t xml:space="preserve">51, is the most up-to-date treatment of </w:t>
      </w:r>
      <w:r>
        <w:rPr>
          <w:rFonts w:cs="Arial Unicode MS" w:eastAsia="Arial Unicode MS"/>
          <w:rtl w:val="0"/>
          <w:lang w:val="en-US"/>
        </w:rPr>
        <w:t xml:space="preserve">paramone </w:t>
      </w:r>
      <w:r>
        <w:rPr>
          <w:rFonts w:cs="Arial Unicode MS" w:eastAsia="Arial Unicode MS"/>
          <w:rtl w:val="0"/>
          <w:lang w:val="en-US"/>
        </w:rPr>
        <w:t>in Egypt.</w:t>
      </w:r>
    </w:p>
  </w:footnote>
  <w:footnote w:id="3">
    <w:p>
      <w:pPr>
        <w:pStyle w:val="footnote text"/>
      </w:pPr>
      <w:r>
        <w:rPr>
          <w:vertAlign w:val="superscript"/>
        </w:rPr>
        <w:footnoteRef/>
      </w:r>
      <w:r>
        <w:rPr>
          <w:rFonts w:cs="Arial Unicode MS" w:eastAsia="Arial Unicode MS"/>
          <w:rtl w:val="0"/>
          <w:lang w:val="en-US"/>
        </w:rPr>
        <w:t xml:space="preserve"> On this text, see </w:t>
      </w:r>
      <w:r>
        <w:rPr>
          <w:rStyle w:val="Hyperlink.0"/>
        </w:rPr>
        <w:fldChar w:fldCharType="begin" w:fldLock="0"/>
      </w:r>
      <w:r>
        <w:rPr>
          <w:rStyle w:val="Hyperlink.0"/>
        </w:rPr>
        <w:instrText xml:space="preserve"> HYPERLINK "https://papyri.info/biblio/95713"</w:instrText>
      </w:r>
      <w:r>
        <w:rPr>
          <w:rStyle w:val="Hyperlink.0"/>
        </w:rPr>
        <w:fldChar w:fldCharType="separate" w:fldLock="0"/>
      </w:r>
      <w:r>
        <w:rPr>
          <w:rStyle w:val="Hyperlink.0"/>
          <w:rFonts w:cs="Arial Unicode MS" w:eastAsia="Arial Unicode MS"/>
          <w:rtl w:val="0"/>
        </w:rPr>
        <w:t>Claytor, Litinas, and Nabney 2016</w:t>
      </w:r>
      <w:r>
        <w:rPr/>
        <w:fldChar w:fldCharType="end" w:fldLock="0"/>
      </w:r>
      <w:r>
        <w:rPr>
          <w:rFonts w:cs="Arial Unicode MS" w:eastAsia="Arial Unicode MS"/>
          <w:rtl w:val="0"/>
          <w:lang w:val="en-US"/>
        </w:rPr>
        <w:t>, 91, where Soueris</w:t>
      </w:r>
      <w:r>
        <w:rPr>
          <w:rFonts w:cs="Arial Unicode MS" w:eastAsia="Arial Unicode MS" w:hint="default"/>
          <w:rtl w:val="0"/>
          <w:lang w:val="en-US"/>
        </w:rPr>
        <w:t xml:space="preserve">’ </w:t>
      </w:r>
      <w:r>
        <w:rPr>
          <w:rFonts w:cs="Arial Unicode MS" w:eastAsia="Arial Unicode MS"/>
          <w:rtl w:val="0"/>
          <w:lang w:val="en-US"/>
        </w:rPr>
        <w:t>position is compared to that of Tahaunes, daughter of Harthotes. For a fuller analysis of the Rylands petition, see Ratzan 2011: 467</w:t>
      </w:r>
      <w:r>
        <w:rPr>
          <w:rFonts w:cs="Arial Unicode MS" w:eastAsia="Arial Unicode MS" w:hint="default"/>
          <w:rtl w:val="0"/>
          <w:lang w:val="en-US"/>
        </w:rPr>
        <w:t>–</w:t>
      </w:r>
      <w:r>
        <w:rPr>
          <w:rFonts w:cs="Arial Unicode MS" w:eastAsia="Arial Unicode MS"/>
          <w:rtl w:val="0"/>
          <w:lang w:val="en-US"/>
        </w:rPr>
        <w:t>483.</w:t>
      </w:r>
    </w:p>
  </w:footnote>
  <w:footnote w:id="4">
    <w:p>
      <w:pPr>
        <w:pStyle w:val="footnote text"/>
      </w:pPr>
      <w:r>
        <w:rPr>
          <w:vertAlign w:val="superscript"/>
        </w:rPr>
        <w:footnoteRef/>
      </w:r>
      <w:r>
        <w:rPr>
          <w:rFonts w:cs="Arial Unicode MS" w:eastAsia="Arial Unicode MS"/>
          <w:rtl w:val="0"/>
          <w:lang w:val="en-US"/>
        </w:rPr>
        <w:t xml:space="preserve"> Cf. Freu 2022: 105.</w:t>
      </w:r>
    </w:p>
  </w:footnote>
  <w:footnote w:id="5">
    <w:p>
      <w:pPr>
        <w:pStyle w:val="footnote text"/>
      </w:pPr>
      <w:r>
        <w:rPr>
          <w:vertAlign w:val="superscript"/>
        </w:rPr>
        <w:footnoteRef/>
      </w:r>
      <w:r>
        <w:rPr>
          <w:rtl w:val="0"/>
          <w:lang w:val="en-US"/>
        </w:rPr>
        <w:t xml:space="preserve"> Corrections are recorded in BL 1, 2.2, 3, and 5 (and two slight adjustments in Papyri.info). </w:t>
      </w:r>
      <w:r>
        <w:rPr>
          <w:rtl w:val="0"/>
          <w:lang w:val="en-US"/>
        </w:rPr>
        <w:t xml:space="preserve">Doc.Eser.Rom. </w:t>
      </w:r>
      <w:r>
        <w:rPr>
          <w:rtl w:val="0"/>
          <w:lang w:val="en-US"/>
        </w:rPr>
        <w:t xml:space="preserve">80 simply reprints the text of </w:t>
      </w:r>
      <w:r>
        <w:rPr>
          <w:rtl w:val="0"/>
          <w:lang w:val="en-US"/>
        </w:rPr>
        <w:t xml:space="preserve">W.Chr. </w:t>
      </w:r>
      <w:r>
        <w:rPr>
          <w:rtl w:val="0"/>
          <w:lang w:val="en-US"/>
        </w:rPr>
        <w:t xml:space="preserve">268. The abbreviated personal description was printed as </w:t>
      </w:r>
      <w:r>
        <w:rPr>
          <w:rtl w:val="0"/>
          <w:lang w:val="en-US"/>
        </w:rPr>
        <w:t>εἰκ</w:t>
      </w:r>
      <w:r>
        <w:rPr>
          <w:rtl w:val="0"/>
          <w:lang w:val="en-US"/>
        </w:rPr>
        <w:t>(</w:t>
      </w:r>
      <w:r>
        <w:rPr>
          <w:rtl w:val="0"/>
          <w:lang w:val="en-US"/>
        </w:rPr>
        <w:t>όνικα</w:t>
      </w:r>
      <w:r>
        <w:rPr>
          <w:rtl w:val="0"/>
          <w:lang w:val="en-US"/>
        </w:rPr>
        <w:t>)</w:t>
      </w:r>
      <w:r>
        <w:rPr>
          <w:rtl w:val="0"/>
          <w:lang w:val="en-US"/>
        </w:rPr>
        <w:t xml:space="preserve">· </w:t>
      </w:r>
      <w:r>
        <w:rPr>
          <w:rtl w:val="0"/>
          <w:lang w:val="en-US"/>
        </w:rPr>
        <w:t>(</w:t>
      </w:r>
      <w:r>
        <w:rPr>
          <w:rtl w:val="0"/>
          <w:lang w:val="en-US"/>
        </w:rPr>
        <w:t>ἐτῶν</w:t>
      </w:r>
      <w:r>
        <w:rPr>
          <w:rtl w:val="0"/>
          <w:lang w:val="en-US"/>
        </w:rPr>
        <w:t xml:space="preserve">) </w:t>
      </w:r>
      <w:r>
        <w:rPr>
          <w:rtl w:val="0"/>
          <w:lang w:val="en-US"/>
        </w:rPr>
        <w:t>μζ οὐλ</w:t>
      </w:r>
      <w:r>
        <w:rPr>
          <w:rtl w:val="0"/>
          <w:lang w:val="en-US"/>
        </w:rPr>
        <w:t>(</w:t>
      </w:r>
      <w:r>
        <w:rPr>
          <w:rtl w:val="0"/>
          <w:lang w:val="en-US"/>
        </w:rPr>
        <w:t>ὴ</w:t>
      </w:r>
      <w:r>
        <w:rPr>
          <w:rtl w:val="0"/>
          <w:lang w:val="en-US"/>
        </w:rPr>
        <w:t xml:space="preserve">) </w:t>
      </w:r>
      <w:r>
        <w:rPr>
          <w:rtl w:val="0"/>
          <w:lang w:val="en-US"/>
        </w:rPr>
        <w:t>γόνατι δεξιῷ φα</w:t>
      </w:r>
      <w:r>
        <w:rPr>
          <w:rtl w:val="0"/>
          <w:lang w:val="en-US"/>
        </w:rPr>
        <w:t>(</w:t>
      </w:r>
      <w:r>
        <w:rPr>
          <w:rtl w:val="0"/>
          <w:lang w:val="en-US"/>
        </w:rPr>
        <w:t>μένου</w:t>
      </w:r>
      <w:r>
        <w:rPr>
          <w:rtl w:val="0"/>
          <w:lang w:val="en-US"/>
        </w:rPr>
        <w:t xml:space="preserve">) (?) </w:t>
      </w:r>
      <w:r>
        <w:rPr>
          <w:rtl w:val="0"/>
          <w:lang w:val="en-US"/>
        </w:rPr>
        <w:t>μὴ εἰδ</w:t>
      </w:r>
      <w:r>
        <w:rPr>
          <w:rtl w:val="0"/>
          <w:lang w:val="en-US"/>
        </w:rPr>
        <w:t>(</w:t>
      </w:r>
      <w:r>
        <w:rPr>
          <w:rtl w:val="0"/>
          <w:lang w:val="en-US"/>
        </w:rPr>
        <w:t>έναι</w:t>
      </w:r>
      <w:r>
        <w:rPr>
          <w:rtl w:val="0"/>
          <w:lang w:val="en-US"/>
        </w:rPr>
        <w:t xml:space="preserve">) </w:t>
      </w:r>
      <w:r>
        <w:rPr>
          <w:rtl w:val="0"/>
          <w:lang w:val="en-US"/>
        </w:rPr>
        <w:t>γρ</w:t>
      </w:r>
      <w:r>
        <w:rPr>
          <w:rtl w:val="0"/>
          <w:lang w:val="en-US"/>
        </w:rPr>
        <w:t>(</w:t>
      </w:r>
      <w:r>
        <w:rPr>
          <w:rtl w:val="0"/>
          <w:lang w:val="en-US"/>
        </w:rPr>
        <w:t>άμματα</w:t>
      </w:r>
      <w:r>
        <w:rPr>
          <w:rtl w:val="0"/>
          <w:lang w:val="en-US"/>
        </w:rPr>
        <w:t xml:space="preserve">) in </w:t>
      </w:r>
      <w:r>
        <w:rPr>
          <w:rtl w:val="0"/>
          <w:lang w:val="en-US"/>
        </w:rPr>
        <w:t>Sel.Pap.</w:t>
      </w:r>
      <w:r>
        <w:rPr>
          <w:rtl w:val="0"/>
          <w:lang w:val="en-US"/>
        </w:rPr>
        <w:t xml:space="preserve">, whereas in </w:t>
      </w:r>
      <w:r>
        <w:rPr>
          <w:rtl w:val="0"/>
          <w:lang w:val="de-DE"/>
        </w:rPr>
        <w:t xml:space="preserve">BL </w:t>
      </w:r>
      <w:r>
        <w:rPr>
          <w:rtl w:val="0"/>
          <w:lang w:val="en-US"/>
        </w:rPr>
        <w:t xml:space="preserve">3 13 </w:t>
      </w:r>
      <w:r>
        <w:rPr>
          <w:rtl w:val="0"/>
          <w:lang w:val="en-US"/>
        </w:rPr>
        <w:t>φά</w:t>
      </w:r>
      <w:r>
        <w:rPr>
          <w:rtl w:val="0"/>
          <w:lang w:val="en-US"/>
        </w:rPr>
        <w:t>(</w:t>
      </w:r>
      <w:r>
        <w:rPr>
          <w:rtl w:val="0"/>
          <w:lang w:val="en-US"/>
        </w:rPr>
        <w:t>μενος</w:t>
      </w:r>
      <w:r>
        <w:rPr>
          <w:rtl w:val="0"/>
          <w:lang w:val="en-US"/>
        </w:rPr>
        <w:t xml:space="preserve">) is given without offering an explicit expansion of </w:t>
      </w:r>
      <w:r>
        <w:rPr>
          <w:rtl w:val="0"/>
          <w:lang w:val="en-US"/>
        </w:rPr>
        <w:t>εἰκ</w:t>
      </w:r>
      <w:r>
        <w:rPr>
          <w:rtl w:val="0"/>
          <w:lang w:val="en-US"/>
        </w:rPr>
        <w:t xml:space="preserve">( ). </w:t>
      </w:r>
      <w:r>
        <w:rPr>
          <w:rStyle w:val="Hyperlink.1"/>
          <w:lang w:val="en-US"/>
        </w:rPr>
        <w:fldChar w:fldCharType="begin" w:fldLock="0"/>
      </w:r>
      <w:r>
        <w:rPr>
          <w:rStyle w:val="Hyperlink.1"/>
          <w:lang w:val="en-US"/>
        </w:rPr>
        <w:instrText xml:space="preserve"> HYPERLINK "https://papyri.info/biblio/96192"</w:instrText>
      </w:r>
      <w:r>
        <w:rPr>
          <w:rStyle w:val="Hyperlink.1"/>
          <w:lang w:val="en-US"/>
        </w:rPr>
        <w:fldChar w:fldCharType="separate" w:fldLock="0"/>
      </w:r>
      <w:r>
        <w:rPr>
          <w:rStyle w:val="Hyperlink.1"/>
          <w:rtl w:val="0"/>
          <w:lang w:val="en-US"/>
        </w:rPr>
        <w:t>Mascellari 2021</w:t>
      </w:r>
      <w:r>
        <w:rPr/>
        <w:fldChar w:fldCharType="end" w:fldLock="0"/>
      </w:r>
      <w:r>
        <w:rPr>
          <w:rtl w:val="0"/>
          <w:lang w:val="en-US"/>
        </w:rPr>
        <w:t xml:space="preserve">, 1016 with n. 26 expanded </w:t>
      </w:r>
      <w:r>
        <w:rPr>
          <w:rtl w:val="0"/>
          <w:lang w:val="en-US"/>
        </w:rPr>
        <w:t>εἰκ</w:t>
      </w:r>
      <w:r>
        <w:rPr>
          <w:rtl w:val="0"/>
          <w:lang w:val="en-US"/>
        </w:rPr>
        <w:t>(</w:t>
      </w:r>
      <w:r>
        <w:rPr>
          <w:rtl w:val="0"/>
          <w:lang w:val="en-US"/>
        </w:rPr>
        <w:t>ονίσθη</w:t>
      </w:r>
      <w:r>
        <w:rPr>
          <w:rtl w:val="0"/>
          <w:lang w:val="en-US"/>
        </w:rPr>
        <w:t xml:space="preserve">), which is necessary if the participle is taken as nominative. </w:t>
      </w:r>
      <w:r>
        <w:rPr>
          <w:rtl w:val="0"/>
          <w:lang w:val="de-DE"/>
        </w:rPr>
        <w:t xml:space="preserve">The formulas are usually so abbreviated as to be ambiguous, but the passive verb is preferable when the notary does not explicitly stand as the subject: cf. </w:t>
      </w:r>
      <w:r>
        <w:rPr>
          <w:rtl w:val="0"/>
          <w:lang w:val="de-DE"/>
        </w:rPr>
        <w:t>εἰκονίσθ</w:t>
      </w:r>
      <w:r>
        <w:rPr>
          <w:rtl w:val="0"/>
          <w:lang w:val="de-DE"/>
        </w:rPr>
        <w:t>(</w:t>
      </w:r>
      <w:r>
        <w:rPr>
          <w:rtl w:val="0"/>
          <w:lang w:val="de-DE"/>
        </w:rPr>
        <w:t>η</w:t>
      </w:r>
      <w:r>
        <w:rPr>
          <w:rtl w:val="0"/>
          <w:lang w:val="de-DE"/>
        </w:rPr>
        <w:t xml:space="preserve">) </w:t>
      </w:r>
      <w:r>
        <w:rPr>
          <w:rtl w:val="0"/>
          <w:lang w:val="de-DE"/>
        </w:rPr>
        <w:t>φάμενος μὴ εἰδ</w:t>
      </w:r>
      <w:r>
        <w:rPr>
          <w:rtl w:val="0"/>
          <w:lang w:val="de-DE"/>
        </w:rPr>
        <w:t>(</w:t>
      </w:r>
      <w:r>
        <w:rPr>
          <w:rtl w:val="0"/>
          <w:lang w:val="de-DE"/>
        </w:rPr>
        <w:t>έναι</w:t>
      </w:r>
      <w:r>
        <w:rPr>
          <w:rtl w:val="0"/>
          <w:lang w:val="de-DE"/>
        </w:rPr>
        <w:t xml:space="preserve">) </w:t>
      </w:r>
      <w:r>
        <w:rPr>
          <w:rtl w:val="0"/>
          <w:lang w:val="de-DE"/>
        </w:rPr>
        <w:t>γρ</w:t>
      </w:r>
      <w:r>
        <w:rPr>
          <w:rtl w:val="0"/>
          <w:lang w:val="de-DE"/>
        </w:rPr>
        <w:t>(</w:t>
      </w:r>
      <w:r>
        <w:rPr>
          <w:rtl w:val="0"/>
          <w:lang w:val="de-DE"/>
        </w:rPr>
        <w:t>άμματα</w:t>
      </w:r>
      <w:r>
        <w:rPr>
          <w:rtl w:val="0"/>
          <w:lang w:val="de-DE"/>
        </w:rPr>
        <w:t xml:space="preserve">) </w:t>
      </w:r>
      <w:r>
        <w:rPr>
          <w:rtl w:val="0"/>
          <w:lang w:val="de-DE"/>
        </w:rPr>
        <w:t>διὰ Ζω</w:t>
      </w:r>
      <w:r>
        <w:rPr>
          <w:rtl w:val="0"/>
          <w:lang w:val="de-DE"/>
        </w:rPr>
        <w:t>|[</w:t>
      </w:r>
      <w:r>
        <w:rPr>
          <w:rtl w:val="0"/>
          <w:lang w:val="de-DE"/>
        </w:rPr>
        <w:t>σί</w:t>
      </w:r>
      <w:r>
        <w:rPr>
          <w:rtl w:val="0"/>
          <w:lang w:val="de-DE"/>
        </w:rPr>
        <w:t>]</w:t>
      </w:r>
      <w:r>
        <w:rPr>
          <w:rtl w:val="0"/>
          <w:lang w:val="de-DE"/>
        </w:rPr>
        <w:t>μου νομωγρ</w:t>
      </w:r>
      <w:r>
        <w:rPr>
          <w:rtl w:val="0"/>
          <w:lang w:val="de-DE"/>
        </w:rPr>
        <w:t>(</w:t>
      </w:r>
      <w:r>
        <w:rPr>
          <w:rtl w:val="0"/>
          <w:lang w:val="de-DE"/>
        </w:rPr>
        <w:t>άφου</w:t>
      </w:r>
      <w:r>
        <w:rPr>
          <w:rtl w:val="0"/>
          <w:lang w:val="de-DE"/>
        </w:rPr>
        <w:t>) (</w:t>
      </w:r>
      <w:r>
        <w:rPr>
          <w:rStyle w:val="Hyperlink.2"/>
          <w:lang w:val="de-DE"/>
        </w:rPr>
        <w:fldChar w:fldCharType="begin" w:fldLock="0"/>
      </w:r>
      <w:r>
        <w:rPr>
          <w:rStyle w:val="Hyperlink.2"/>
          <w:lang w:val="de-DE"/>
        </w:rPr>
        <w:instrText xml:space="preserve"> HYPERLINK "https://papyri.info/ddbdp/stud.pal%3B22%3B55r"</w:instrText>
      </w:r>
      <w:r>
        <w:rPr>
          <w:rStyle w:val="Hyperlink.2"/>
          <w:lang w:val="de-DE"/>
        </w:rPr>
        <w:fldChar w:fldCharType="separate" w:fldLock="0"/>
      </w:r>
      <w:r>
        <w:rPr>
          <w:rStyle w:val="Hyperlink.2"/>
          <w:rtl w:val="0"/>
          <w:lang w:val="de-DE"/>
        </w:rPr>
        <w:t>SPP 22 55r</w:t>
      </w:r>
      <w:r>
        <w:rPr/>
        <w:fldChar w:fldCharType="end" w:fldLock="0"/>
      </w:r>
      <w:r>
        <w:rPr>
          <w:rtl w:val="0"/>
          <w:lang w:val="de-DE"/>
        </w:rPr>
        <w:t>.22</w:t>
      </w:r>
      <w:r>
        <w:rPr>
          <w:rtl w:val="0"/>
          <w:lang w:val="de-DE"/>
        </w:rPr>
        <w:t>–</w:t>
      </w:r>
      <w:r>
        <w:rPr>
          <w:rtl w:val="0"/>
          <w:lang w:val="de-DE"/>
        </w:rPr>
        <w:t xml:space="preserve">23, Soknopaiou Nesos, 167), and contrast </w:t>
      </w:r>
      <w:r>
        <w:rPr>
          <w:rtl w:val="0"/>
          <w:lang w:val="de-DE"/>
        </w:rPr>
        <w:t>Κάστωρ νομογράφος εἰκόνικα φαμένου μὴ εἰδέναι γράμματα</w:t>
      </w:r>
      <w:r>
        <w:rPr>
          <w:rtl w:val="0"/>
          <w:lang w:val="de-DE"/>
        </w:rPr>
        <w:t xml:space="preserve">, </w:t>
      </w:r>
      <w:r>
        <w:rPr>
          <w:rStyle w:val="Hyperlink.3"/>
          <w:lang w:val="de-DE"/>
        </w:rPr>
        <w:fldChar w:fldCharType="begin" w:fldLock="0"/>
      </w:r>
      <w:r>
        <w:rPr>
          <w:rStyle w:val="Hyperlink.3"/>
          <w:lang w:val="de-DE"/>
        </w:rPr>
        <w:instrText xml:space="preserve"> HYPERLINK "https://papyri.info/ddbdp/p.fay%3B%3B36"</w:instrText>
      </w:r>
      <w:r>
        <w:rPr>
          <w:rStyle w:val="Hyperlink.3"/>
          <w:lang w:val="de-DE"/>
        </w:rPr>
        <w:fldChar w:fldCharType="separate" w:fldLock="0"/>
      </w:r>
      <w:r>
        <w:rPr>
          <w:rStyle w:val="Hyperlink.3"/>
          <w:rtl w:val="0"/>
          <w:lang w:val="de-DE"/>
        </w:rPr>
        <w:t xml:space="preserve">P.Fay. </w:t>
      </w:r>
      <w:r>
        <w:rPr>
          <w:rStyle w:val="Hyperlink.2"/>
          <w:rtl w:val="0"/>
          <w:lang w:val="de-DE"/>
        </w:rPr>
        <w:t>36</w:t>
      </w:r>
      <w:r>
        <w:rPr/>
        <w:fldChar w:fldCharType="end" w:fldLock="0"/>
      </w:r>
      <w:r>
        <w:rPr>
          <w:rtl w:val="0"/>
          <w:lang w:val="de-DE"/>
        </w:rPr>
        <w:t>.23</w:t>
      </w:r>
      <w:r>
        <w:rPr>
          <w:rtl w:val="0"/>
          <w:lang w:val="de-DE"/>
        </w:rPr>
        <w:t>–</w:t>
      </w:r>
      <w:r>
        <w:rPr>
          <w:rtl w:val="0"/>
          <w:lang w:val="de-DE"/>
        </w:rPr>
        <w:t>24 (Theadelphia, 111</w:t>
      </w:r>
      <w:r>
        <w:rPr>
          <w:rtl w:val="0"/>
          <w:lang w:val="de-DE"/>
        </w:rPr>
        <w:t>–</w:t>
      </w:r>
      <w:r>
        <w:rPr>
          <w:rtl w:val="0"/>
          <w:lang w:val="de-DE"/>
        </w:rPr>
        <w:t xml:space="preserve">112). See </w:t>
      </w:r>
      <w:r>
        <w:rPr>
          <w:rStyle w:val="Hyperlink.2"/>
          <w:lang w:val="de-DE"/>
        </w:rPr>
        <w:fldChar w:fldCharType="begin" w:fldLock="0"/>
      </w:r>
      <w:r>
        <w:rPr>
          <w:rStyle w:val="Hyperlink.2"/>
          <w:lang w:val="de-DE"/>
        </w:rPr>
        <w:instrText xml:space="preserve"> HYPERLINK "https://papyri.info/biblio/78821"</w:instrText>
      </w:r>
      <w:r>
        <w:rPr>
          <w:rStyle w:val="Hyperlink.2"/>
          <w:lang w:val="de-DE"/>
        </w:rPr>
        <w:fldChar w:fldCharType="separate" w:fldLock="0"/>
      </w:r>
      <w:r>
        <w:rPr>
          <w:rStyle w:val="Hyperlink.2"/>
          <w:rtl w:val="0"/>
          <w:lang w:val="de-DE"/>
        </w:rPr>
        <w:t>Depauw 2011</w:t>
      </w:r>
      <w:r>
        <w:rPr/>
        <w:fldChar w:fldCharType="end" w:fldLock="0"/>
      </w:r>
      <w:r>
        <w:rPr>
          <w:rtl w:val="0"/>
          <w:lang w:val="de-DE"/>
        </w:rPr>
        <w:t>, particularly 192</w:t>
      </w:r>
      <w:r>
        <w:rPr>
          <w:rtl w:val="0"/>
          <w:lang w:val="de-DE"/>
        </w:rPr>
        <w:t>–</w:t>
      </w:r>
      <w:r>
        <w:rPr>
          <w:rtl w:val="0"/>
          <w:lang w:val="de-DE"/>
        </w:rPr>
        <w:t>193 on these descriptions.</w:t>
      </w:r>
    </w:p>
  </w:footnote>
  <w:footnote w:id="6">
    <w:p>
      <w:pPr>
        <w:pStyle w:val="footnote text"/>
      </w:pPr>
      <w:r>
        <w:rPr>
          <w:vertAlign w:val="superscript"/>
        </w:rPr>
        <w:footnoteRef/>
      </w:r>
      <w:r>
        <w:rPr>
          <w:rtl w:val="0"/>
          <w:lang w:val="en-US"/>
        </w:rPr>
        <w:t xml:space="preserve"> The latter prints</w:t>
      </w:r>
      <w:r>
        <w:rPr>
          <w:rtl w:val="0"/>
          <w:lang w:val="de-DE"/>
        </w:rPr>
        <w:t xml:space="preserve"> </w:t>
      </w:r>
      <w:r>
        <w:rPr>
          <w:rtl w:val="0"/>
          <w:lang w:val="en-US"/>
        </w:rPr>
        <w:t>[</w:t>
      </w:r>
      <w:r>
        <w:rPr>
          <w:rtl w:val="0"/>
          <w:lang w:val="en-US"/>
        </w:rPr>
        <w:t>λακτί</w:t>
      </w:r>
      <w:r>
        <w:rPr>
          <w:rtl w:val="0"/>
          <w:lang w:val="en-US"/>
        </w:rPr>
        <w:t>]</w:t>
      </w:r>
      <w:r>
        <w:rPr>
          <w:rtl w:val="0"/>
          <w:lang w:val="en-US"/>
        </w:rPr>
        <w:t>σμασιν</w:t>
      </w:r>
      <w:r>
        <w:rPr>
          <w:rtl w:val="0"/>
          <w:lang w:val="en-US"/>
        </w:rPr>
        <w:t xml:space="preserve">, though the first three letters are indeed visible on the papyrus, as </w:t>
      </w:r>
      <w:r>
        <w:rPr>
          <w:rtl w:val="0"/>
          <w:lang w:val="de-DE"/>
        </w:rPr>
        <w:t xml:space="preserve">BL 2.2 18 has it. As for the prefix of </w:t>
      </w:r>
      <w:r>
        <w:rPr>
          <w:rtl w:val="0"/>
          <w:lang w:val="en-US"/>
        </w:rPr>
        <w:t>-</w:t>
      </w:r>
      <w:r>
        <w:rPr>
          <w:rtl w:val="0"/>
          <w:lang w:val="en-US"/>
        </w:rPr>
        <w:t>έβαλον</w:t>
      </w:r>
      <w:r>
        <w:rPr>
          <w:rtl w:val="0"/>
          <w:lang w:val="en-US"/>
        </w:rPr>
        <w:t>, Schubart</w:t>
      </w:r>
      <w:r>
        <w:rPr>
          <w:rtl w:val="0"/>
          <w:lang w:val="en-US"/>
        </w:rPr>
        <w:t>’</w:t>
      </w:r>
      <w:r>
        <w:rPr>
          <w:rtl w:val="0"/>
          <w:lang w:val="de-DE"/>
        </w:rPr>
        <w:t>s</w:t>
      </w:r>
      <w:r>
        <w:rPr>
          <w:rtl w:val="0"/>
          <w:lang w:val="en-US"/>
        </w:rPr>
        <w:t xml:space="preserve"> supplement is supported by the remains of two horizontal strokes meeting epsilon, which are consistent with those of xi, judging by the example in </w:t>
      </w:r>
      <w:r>
        <w:rPr>
          <w:rtl w:val="0"/>
          <w:lang w:val="en-US"/>
        </w:rPr>
        <w:t xml:space="preserve">ἀξιῶ </w:t>
      </w:r>
      <w:r>
        <w:rPr>
          <w:rtl w:val="0"/>
          <w:lang w:val="en-US"/>
        </w:rPr>
        <w:t>in l. 14. The reading of this passage superseded Kukule</w:t>
      </w:r>
      <w:r>
        <w:rPr>
          <w:rtl w:val="0"/>
          <w:lang w:val="en-US"/>
        </w:rPr>
        <w:t>’</w:t>
      </w:r>
      <w:r>
        <w:rPr>
          <w:rtl w:val="0"/>
          <w:lang w:val="en-US"/>
        </w:rPr>
        <w:t xml:space="preserve">s </w:t>
      </w:r>
      <w:r>
        <w:rPr>
          <w:rtl w:val="0"/>
          <w:lang w:val="en-US"/>
        </w:rPr>
        <w:t xml:space="preserve">σ̣ὺ̣ν̣ </w:t>
      </w:r>
      <w:r>
        <w:rPr>
          <w:rtl w:val="0"/>
          <w:lang w:val="en-US"/>
        </w:rPr>
        <w:t>[</w:t>
      </w:r>
      <w:r>
        <w:rPr>
          <w:rtl w:val="0"/>
          <w:lang w:val="en-US"/>
        </w:rPr>
        <w:t>τραύ</w:t>
      </w:r>
      <w:r>
        <w:rPr>
          <w:rtl w:val="0"/>
          <w:lang w:val="en-US"/>
        </w:rPr>
        <w:t>]</w:t>
      </w:r>
      <w:r>
        <w:rPr>
          <w:rtl w:val="0"/>
          <w:lang w:val="en-US"/>
        </w:rPr>
        <w:t xml:space="preserve">μ̣ασιν αὐτὴν </w:t>
      </w:r>
      <w:r>
        <w:rPr>
          <w:rtl w:val="0"/>
          <w:lang w:val="en-US"/>
        </w:rPr>
        <w:t>| [</w:t>
      </w:r>
      <w:r>
        <w:rPr>
          <w:rtl w:val="0"/>
          <w:lang w:val="en-US"/>
        </w:rPr>
        <w:t>κατ</w:t>
      </w:r>
      <w:r>
        <w:rPr>
          <w:rtl w:val="0"/>
          <w:lang w:val="en-US"/>
        </w:rPr>
        <w:t>]</w:t>
      </w:r>
      <w:r>
        <w:rPr>
          <w:rtl w:val="0"/>
          <w:lang w:val="en-US"/>
        </w:rPr>
        <w:t xml:space="preserve">έβαλ̣ο̣ν̣ </w:t>
      </w:r>
      <w:r>
        <w:rPr>
          <w:rtl w:val="0"/>
          <w:lang w:val="en-US"/>
        </w:rPr>
        <w:t>(BL 1 438).</w:t>
      </w:r>
    </w:p>
  </w:footnote>
  <w:footnote w:id="7">
    <w:p>
      <w:pPr>
        <w:pStyle w:val="footnote text"/>
      </w:pPr>
      <w:r>
        <w:rPr>
          <w:vertAlign w:val="superscript"/>
        </w:rPr>
        <w:footnoteRef/>
      </w:r>
      <w:r>
        <w:rPr>
          <w:rFonts w:cs="Arial Unicode MS" w:eastAsia="Arial Unicode MS"/>
          <w:rtl w:val="0"/>
          <w:lang w:val="en-US"/>
        </w:rPr>
        <w:t xml:space="preserve"> For examples and discussion, see </w:t>
      </w:r>
      <w:r>
        <w:rPr>
          <w:rStyle w:val="Hyperlink.0"/>
        </w:rPr>
        <w:fldChar w:fldCharType="begin" w:fldLock="0"/>
      </w:r>
      <w:r>
        <w:rPr>
          <w:rStyle w:val="Hyperlink.0"/>
        </w:rPr>
        <w:instrText xml:space="preserve"> HYPERLINK "https://papyri.info/biblio/96192"</w:instrText>
      </w:r>
      <w:r>
        <w:rPr>
          <w:rStyle w:val="Hyperlink.0"/>
        </w:rPr>
        <w:fldChar w:fldCharType="separate" w:fldLock="0"/>
      </w:r>
      <w:r>
        <w:rPr>
          <w:rStyle w:val="Hyperlink.0"/>
          <w:rFonts w:cs="Arial Unicode MS" w:eastAsia="Arial Unicode MS"/>
          <w:rtl w:val="0"/>
        </w:rPr>
        <w:t>Mascellari 2021</w:t>
      </w:r>
      <w:r>
        <w:rPr/>
        <w:fldChar w:fldCharType="end" w:fldLock="0"/>
      </w:r>
      <w:r>
        <w:rPr>
          <w:rFonts w:cs="Arial Unicode MS" w:eastAsia="Arial Unicode MS"/>
          <w:rtl w:val="0"/>
          <w:lang w:val="en-US"/>
        </w:rPr>
        <w:t>, 428</w:t>
      </w:r>
      <w:r>
        <w:rPr>
          <w:rFonts w:cs="Arial Unicode MS" w:eastAsia="Arial Unicode MS" w:hint="default"/>
          <w:rtl w:val="0"/>
          <w:lang w:val="en-US"/>
        </w:rPr>
        <w:t>–</w:t>
      </w:r>
      <w:r>
        <w:rPr>
          <w:rFonts w:cs="Arial Unicode MS" w:eastAsia="Arial Unicode MS"/>
          <w:rtl w:val="0"/>
          <w:lang w:val="en-US"/>
        </w:rPr>
        <w:t xml:space="preserve">431, where the present text is adduced (430-431) for the </w:t>
      </w:r>
      <w:r>
        <w:rPr>
          <w:rFonts w:cs="Arial Unicode MS" w:eastAsia="Arial Unicode MS" w:hint="default"/>
          <w:rtl w:val="0"/>
          <w:lang w:val="en-US"/>
        </w:rPr>
        <w:t xml:space="preserve">κλινήρης </w:t>
      </w:r>
      <w:r>
        <w:rPr>
          <w:rFonts w:cs="Arial Unicode MS" w:eastAsia="Arial Unicode MS"/>
          <w:rtl w:val="0"/>
          <w:lang w:val="en-US"/>
        </w:rPr>
        <w:t>formula.</w:t>
      </w:r>
    </w:p>
  </w:footnote>
  <w:footnote w:id="8">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"https://papyri.info/biblio/96589"</w:instrText>
      </w:r>
      <w:r>
        <w:rPr>
          <w:rStyle w:val="Hyperlink.0"/>
        </w:rPr>
        <w:fldChar w:fldCharType="separate" w:fldLock="0"/>
      </w:r>
      <w:r>
        <w:rPr>
          <w:rStyle w:val="Hyperlink.0"/>
          <w:rFonts w:cs="Arial Unicode MS" w:eastAsia="Arial Unicode MS"/>
          <w:rtl w:val="0"/>
        </w:rPr>
        <w:t>Gonis 2023b</w:t>
      </w:r>
      <w:r>
        <w:rPr/>
        <w:fldChar w:fldCharType="end" w:fldLock="0"/>
      </w:r>
      <w:r>
        <w:rPr>
          <w:rFonts w:cs="Arial Unicode MS" w:eastAsia="Arial Unicode MS"/>
          <w:rtl w:val="0"/>
          <w:lang w:val="en-US"/>
        </w:rPr>
        <w:t>, 124</w:t>
      </w:r>
      <w:r>
        <w:rPr>
          <w:rFonts w:cs="Arial Unicode MS" w:eastAsia="Arial Unicode MS" w:hint="default"/>
          <w:rtl w:val="0"/>
          <w:lang w:val="en-US"/>
        </w:rPr>
        <w:t>–</w:t>
      </w:r>
      <w:r>
        <w:rPr>
          <w:rFonts w:cs="Arial Unicode MS" w:eastAsia="Arial Unicode MS"/>
          <w:rtl w:val="0"/>
          <w:lang w:val="en-US"/>
        </w:rPr>
        <w:t>125.</w:t>
      </w:r>
    </w:p>
  </w:footnote>
  <w:footnote w:id="9">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"https://papyri.info/biblio/96705"</w:instrText>
      </w:r>
      <w:r>
        <w:rPr>
          <w:rStyle w:val="Hyperlink.0"/>
        </w:rPr>
        <w:fldChar w:fldCharType="separate" w:fldLock="0"/>
      </w:r>
      <w:r>
        <w:rPr>
          <w:rStyle w:val="Hyperlink.0"/>
          <w:rFonts w:cs="Arial Unicode MS" w:eastAsia="Arial Unicode MS"/>
          <w:rtl w:val="0"/>
        </w:rPr>
        <w:t>Gonis 2021</w:t>
      </w:r>
      <w:r>
        <w:rPr/>
        <w:fldChar w:fldCharType="end" w:fldLock="0"/>
      </w:r>
      <w:r>
        <w:rPr>
          <w:rFonts w:cs="Arial Unicode MS" w:eastAsia="Arial Unicode MS"/>
          <w:rtl w:val="0"/>
          <w:lang w:val="en-US"/>
        </w:rPr>
        <w:t>.</w:t>
      </w:r>
    </w:p>
  </w:footnote>
  <w:footnote w:id="10">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"https://papyri.info/biblio/96531"</w:instrText>
      </w:r>
      <w:r>
        <w:rPr>
          <w:rStyle w:val="Hyperlink.0"/>
        </w:rPr>
        <w:fldChar w:fldCharType="separate" w:fldLock="0"/>
      </w:r>
      <w:r>
        <w:rPr>
          <w:rStyle w:val="Hyperlink.0"/>
          <w:rFonts w:cs="Arial Unicode MS" w:eastAsia="Arial Unicode MS"/>
          <w:rtl w:val="0"/>
        </w:rPr>
        <w:t>Gonis 2023a</w:t>
      </w:r>
      <w:r>
        <w:rPr/>
        <w:fldChar w:fldCharType="end" w:fldLock="0"/>
      </w:r>
      <w:r>
        <w:rPr>
          <w:rFonts w:cs="Arial Unicode MS" w:eastAsia="Arial Unicode MS"/>
          <w:rtl w:val="0"/>
          <w:lang w:val="en-US"/>
        </w:rPr>
        <w:t>, 225</w:t>
      </w:r>
      <w:r>
        <w:rPr>
          <w:rFonts w:cs="Arial Unicode MS" w:eastAsia="Arial Unicode MS" w:hint="default"/>
          <w:rtl w:val="0"/>
          <w:lang w:val="en-US"/>
        </w:rPr>
        <w:t>–</w:t>
      </w:r>
      <w:r>
        <w:rPr>
          <w:rFonts w:cs="Arial Unicode MS" w:eastAsia="Arial Unicode MS"/>
          <w:rtl w:val="0"/>
          <w:lang w:val="en-US"/>
        </w:rPr>
        <w:t>227.</w:t>
      </w:r>
    </w:p>
  </w:footnote>
  <w:footnote w:id="11">
    <w:p>
      <w:pPr>
        <w:pStyle w:val="footnote text"/>
      </w:pPr>
      <w:r>
        <w:rPr>
          <w:vertAlign w:val="superscript"/>
        </w:rPr>
        <w:footnoteRef/>
      </w:r>
      <w:r>
        <w:rPr>
          <w:rFonts w:cs="Arial Unicode MS" w:eastAsia="Arial Unicode MS"/>
          <w:rtl w:val="0"/>
          <w:lang w:val="en-US"/>
        </w:rPr>
        <w:t xml:space="preserve"> On the phrase, see </w:t>
      </w:r>
      <w:r>
        <w:rPr>
          <w:rStyle w:val="Hyperlink.0"/>
        </w:rPr>
        <w:fldChar w:fldCharType="begin" w:fldLock="0"/>
      </w:r>
      <w:r>
        <w:rPr>
          <w:rStyle w:val="Hyperlink.0"/>
        </w:rPr>
        <w:instrText xml:space="preserve"> HYPERLINK "https://papyri.info/biblio/67504"</w:instrText>
      </w:r>
      <w:r>
        <w:rPr>
          <w:rStyle w:val="Hyperlink.0"/>
        </w:rPr>
        <w:fldChar w:fldCharType="separate" w:fldLock="0"/>
      </w:r>
      <w:r>
        <w:rPr>
          <w:rStyle w:val="Hyperlink.0"/>
          <w:rFonts w:cs="Arial Unicode MS" w:eastAsia="Arial Unicode MS"/>
          <w:rtl w:val="0"/>
        </w:rPr>
        <w:t>Hagedorn 1998</w:t>
      </w:r>
      <w:r>
        <w:rPr/>
        <w:fldChar w:fldCharType="end" w:fldLock="0"/>
      </w:r>
      <w:r>
        <w:rPr>
          <w:rFonts w:cs="Arial Unicode MS" w:eastAsia="Arial Unicode MS"/>
          <w:rtl w:val="0"/>
          <w:lang w:val="en-US"/>
        </w:rPr>
        <w:t>.</w:t>
      </w:r>
    </w:p>
  </w:footnote>
  <w:footnote w:id="12">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"https://papyri.info/biblio/86823"</w:instrText>
      </w:r>
      <w:r>
        <w:rPr>
          <w:rStyle w:val="Hyperlink.0"/>
        </w:rPr>
        <w:fldChar w:fldCharType="separate" w:fldLock="0"/>
      </w:r>
      <w:r>
        <w:rPr>
          <w:rStyle w:val="Hyperlink.0"/>
          <w:rFonts w:cs="Arial Unicode MS" w:eastAsia="Arial Unicode MS"/>
          <w:rtl w:val="0"/>
        </w:rPr>
        <w:t>Claytor 2014</w:t>
      </w:r>
      <w:r>
        <w:rPr/>
        <w:fldChar w:fldCharType="end" w:fldLock="0"/>
      </w:r>
      <w:r>
        <w:rPr>
          <w:rFonts w:cs="Arial Unicode MS" w:eastAsia="Arial Unicode MS"/>
          <w:rtl w:val="0"/>
          <w:lang w:val="en-US"/>
        </w:rPr>
        <w:t>.</w:t>
      </w:r>
    </w:p>
  </w:footnote>
  <w:footnote w:id="13">
    <w:p>
      <w:pPr>
        <w:pStyle w:val="footnote text"/>
      </w:pPr>
      <w:r>
        <w:rPr>
          <w:rFonts w:ascii="Times New Roman" w:cs="Times New Roman" w:hAnsi="Times New Roman" w:eastAsia="Times New Roman"/>
          <w:vertAlign w:val="superscript"/>
        </w:rPr>
        <w:footnoteRef/>
      </w:r>
      <w:r>
        <w:rPr>
          <w:rtl w:val="0"/>
          <w:lang w:val="en-US"/>
        </w:rPr>
        <w:t xml:space="preserve"> Under P. 7287, part of the Sammlung Brugsch acquired in 1891.</w:t>
      </w:r>
      <w:r>
        <w:rPr>
          <w:rtl w:val="0"/>
          <w:lang w:val="de-DE"/>
        </w:rPr>
        <w:t>The Erwerbungsb</w:t>
      </w:r>
      <w:r>
        <w:rPr>
          <w:rtl w:val="0"/>
          <w:lang w:val="de-DE"/>
        </w:rPr>
        <w:t>ü</w:t>
      </w:r>
      <w:r>
        <w:rPr>
          <w:rtl w:val="0"/>
          <w:lang w:val="de-DE"/>
        </w:rPr>
        <w:t xml:space="preserve">cher of the Papyrussammlung have been digitized and are available </w:t>
      </w:r>
      <w:r>
        <w:rPr>
          <w:rStyle w:val="Hyperlink.2"/>
          <w:lang w:val="de-DE"/>
        </w:rPr>
        <w:fldChar w:fldCharType="begin" w:fldLock="0"/>
      </w:r>
      <w:r>
        <w:rPr>
          <w:rStyle w:val="Hyperlink.2"/>
          <w:lang w:val="de-DE"/>
        </w:rPr>
        <w:instrText xml:space="preserve"> HYPERLINK "https://www.smb.museum/museen-einrichtungen/aegyptisches-museum-und-papyrussammlung/sammeln-forschen/erwerbungsbuecher/"</w:instrText>
      </w:r>
      <w:r>
        <w:rPr>
          <w:rStyle w:val="Hyperlink.2"/>
          <w:lang w:val="de-DE"/>
        </w:rPr>
        <w:fldChar w:fldCharType="separate" w:fldLock="0"/>
      </w:r>
      <w:r>
        <w:rPr>
          <w:rStyle w:val="Hyperlink.2"/>
          <w:rtl w:val="0"/>
          <w:lang w:val="de-DE"/>
        </w:rPr>
        <w:t>here</w:t>
      </w:r>
      <w:r>
        <w:rPr/>
        <w:fldChar w:fldCharType="end" w:fldLock="0"/>
      </w:r>
      <w:r>
        <w:rPr>
          <w:rtl w:val="0"/>
          <w:lang w:val="de-DE"/>
        </w:rPr>
        <w:t xml:space="preserve"> (accessed 15 May, 2024).</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IFAO-Grec Unicode" w:cs="IFAO-Grec Unicode" w:hAnsi="IFAO-Grec Unicode" w:eastAsia="IFAO-Grec Unicode"/>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Hyperlink.1">
    <w:name w:val="Hyperlink.1"/>
    <w:basedOn w:val="Hyperlink.0"/>
    <w:next w:val="Hyperlink.1"/>
    <w:rPr>
      <w:lang w:val="en-US"/>
    </w:rPr>
  </w:style>
  <w:style w:type="character" w:styleId="Hyperlink.2">
    <w:name w:val="Hyperlink.2"/>
    <w:basedOn w:val="Hyperlink.0"/>
    <w:next w:val="Hyperlink.2"/>
    <w:rPr>
      <w:lang w:val="de-DE"/>
    </w:rPr>
  </w:style>
  <w:style w:type="character" w:styleId="Hyperlink.3">
    <w:name w:val="Hyperlink.3"/>
    <w:basedOn w:val="Hyperlink.0"/>
    <w:next w:val="Hyperlink.3"/>
    <w:rPr>
      <w:rFonts w:ascii="IFAO-Grec Unicode" w:cs="IFAO-Grec Unicode" w:hAnsi="IFAO-Grec Unicode" w:eastAsia="IFAO-Grec Unicode"/>
      <w:lang w:val="de-DE"/>
    </w:rPr>
  </w:style>
  <w:style w:type="paragraph" w:styleId="Heading 2">
    <w:name w:val="Heading 2"/>
    <w:next w:val="Body"/>
    <w:pPr>
      <w:keepNext w:val="1"/>
      <w:keepLines w:val="1"/>
      <w:pageBreakBefore w:val="0"/>
      <w:widowControl w:val="1"/>
      <w:shd w:val="clear" w:color="auto" w:fill="auto"/>
      <w:suppressAutoHyphens w:val="0"/>
      <w:bidi w:val="0"/>
      <w:spacing w:before="40" w:after="0" w:line="240" w:lineRule="auto"/>
      <w:ind w:left="0" w:right="0" w:firstLine="0"/>
      <w:jc w:val="center"/>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