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2"/>
        <w:jc w:val="left"/>
      </w:pPr>
    </w:p>
    <w:p>
      <w:pPr>
        <w:pStyle w:val="Text"/>
      </w:pPr>
      <w:r>
        <w:rPr>
          <w:rtl w:val="0"/>
          <w:lang w:val="de-DE"/>
        </w:rPr>
        <w:t>#articleTitle</w:t>
      </w:r>
    </w:p>
    <w:p>
      <w:pPr>
        <w:pStyle w:val="Überschrift 2"/>
        <w:jc w:val="left"/>
      </w:pPr>
      <w:r>
        <w:rPr>
          <w:rtl w:val="0"/>
        </w:rPr>
        <w:t xml:space="preserve">A Karanis </w:t>
      </w:r>
      <w:r>
        <w:rPr>
          <w:i w:val="1"/>
          <w:iCs w:val="1"/>
          <w:rtl w:val="0"/>
          <w:lang w:val="en-US"/>
        </w:rPr>
        <w:t xml:space="preserve">Penthemeros </w:t>
      </w:r>
      <w:r>
        <w:rPr>
          <w:rtl w:val="0"/>
          <w:lang w:val="en-US"/>
        </w:rPr>
        <w:t>Certificate Completed</w:t>
      </w:r>
    </w:p>
    <w:p>
      <w:pPr>
        <w:pStyle w:val="Text"/>
      </w:pPr>
    </w:p>
    <w:p>
      <w:pPr>
        <w:pStyle w:val="Text"/>
      </w:pPr>
      <w:r>
        <w:rPr>
          <w:rtl w:val="0"/>
          <w:lang w:val="de-DE"/>
        </w:rPr>
        <w:t>#author</w:t>
      </w:r>
    </w:p>
    <w:p>
      <w:pPr>
        <w:pStyle w:val="Text"/>
      </w:pPr>
      <w:r>
        <w:rPr>
          <w:rtl w:val="0"/>
          <w:lang w:val="de-DE"/>
        </w:rPr>
        <w:t>Claytor, W. Graham</w:t>
      </w:r>
    </w:p>
    <w:p>
      <w:pPr>
        <w:pStyle w:val="Text"/>
      </w:pPr>
      <w:r>
        <w:rPr>
          <w:rtl w:val="0"/>
          <w:lang w:val="de-DE"/>
        </w:rPr>
        <w:t>#affiliation</w:t>
      </w:r>
    </w:p>
    <w:p>
      <w:pPr>
        <w:pStyle w:val="AegTrevPapykopf"/>
        <w:tabs>
          <w:tab w:val="clear" w:pos="4536"/>
          <w:tab w:val="clear" w:pos="9072"/>
        </w:tabs>
        <w:spacing w:line="360" w:lineRule="auto"/>
        <w:ind w:right="0"/>
        <w:jc w:val="left"/>
        <w:rPr>
          <w:rFonts w:ascii="Times New Roman" w:cs="Times New Roman" w:hAnsi="Times New Roman" w:eastAsia="Times New Roman"/>
          <w:sz w:val="24"/>
          <w:szCs w:val="24"/>
          <w:lang w:val="en-US"/>
        </w:rPr>
      </w:pPr>
      <w:r>
        <w:rPr>
          <w:rFonts w:ascii="IFAO-Grec Unicode" w:hAnsi="IFAO-Grec Unicode"/>
          <w:sz w:val="24"/>
          <w:szCs w:val="24"/>
          <w:rtl w:val="0"/>
          <w:lang w:val="en-US"/>
        </w:rPr>
        <w:t>Faculty of Archaeology Department of Papyrology, University of Warsaw</w:t>
      </w:r>
    </w:p>
    <w:p>
      <w:pPr>
        <w:pStyle w:val="Text"/>
      </w:pPr>
      <w:r>
        <w:rPr>
          <w:rtl w:val="0"/>
          <w:lang w:val="de-DE"/>
        </w:rPr>
        <w:t>#email</w:t>
      </w:r>
    </w:p>
    <w:p>
      <w:pPr>
        <w:pStyle w:val="Text"/>
      </w:pPr>
      <w:r>
        <w:rPr>
          <w:rtl w:val="0"/>
        </w:rPr>
        <w:t>gclaytor@gmail.com</w:t>
      </w:r>
    </w:p>
    <w:p>
      <w:pPr>
        <w:pStyle w:val="Text"/>
      </w:pPr>
    </w:p>
    <w:p>
      <w:pPr>
        <w:pStyle w:val="Text"/>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P.Mich. inv. 2409 + 2377</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color w:val="212529"/>
                <w:sz w:val="24"/>
                <w:szCs w:val="24"/>
                <w:u w:color="212529"/>
                <w:rtl w:val="0"/>
                <w:lang w:val="en-US"/>
              </w:rPr>
              <w:t>8 (H) x 6 (W)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Karanis</w:t>
            </w:r>
          </w:p>
        </w:tc>
      </w:tr>
      <w:tr>
        <w:tblPrEx>
          <w:shd w:val="clear" w:color="auto" w:fill="cdd4e9"/>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AegTrevPapykopf"/>
              <w:tabs>
                <w:tab w:val="right" w:pos="9046"/>
                <w:tab w:val="clear" w:pos="9072"/>
              </w:tabs>
              <w:ind w:right="0"/>
              <w:jc w:val="left"/>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"https://www.trismegistos.org/text/704976"</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TM 704976</w:t>
            </w:r>
            <w:r>
              <w:rPr>
                <w:lang w:val="en-US"/>
              </w:rPr>
              <w:fldChar w:fldCharType="end" w:fldLock="0"/>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AegTrevPapykopf"/>
              <w:tabs>
                <w:tab w:val="right" w:pos="9046"/>
                <w:tab w:val="clear" w:pos="9072"/>
              </w:tabs>
              <w:ind w:right="0"/>
              <w:jc w:val="left"/>
            </w:pPr>
            <w:r>
              <w:rPr>
                <w:rFonts w:ascii="IFAO-Grec Unicode" w:hAnsi="IFAO-Grec Unicode"/>
                <w:sz w:val="24"/>
                <w:szCs w:val="24"/>
                <w:rtl w:val="0"/>
                <w:lang w:val="en-US"/>
              </w:rPr>
              <w:t>19 June, 140 CE</w:t>
            </w:r>
          </w:p>
        </w:tc>
      </w:tr>
    </w:tbl>
    <w:p>
      <w:pPr>
        <w:pStyle w:val="Text"/>
      </w:pPr>
    </w:p>
    <w:p>
      <w:pPr>
        <w:pStyle w:val="AegTrevPapykopf"/>
        <w:tabs>
          <w:tab w:val="right" w:pos="9046"/>
          <w:tab w:val="clear" w:pos="9072"/>
        </w:tabs>
        <w:ind w:right="0"/>
        <w:jc w:val="left"/>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lang w:val="en-US"/>
        </w:rPr>
        <w:tab/>
        <w:tab/>
      </w:r>
    </w:p>
    <w:p>
      <w:pPr>
        <w:pStyle w:val="Text"/>
      </w:pPr>
    </w:p>
    <w:p>
      <w:pPr>
        <w:pStyle w:val="Text"/>
        <w:ind w:firstLine="720"/>
      </w:pPr>
      <w:r>
        <w:rPr>
          <w:rtl w:val="0"/>
          <w:lang w:val="en-US"/>
        </w:rPr>
        <w:t xml:space="preserve">P.Mich. inv. 2377 is the right side of a recently published </w:t>
      </w:r>
      <w:r>
        <w:rPr>
          <w:rtl w:val="0"/>
          <w:lang w:val="en-US"/>
        </w:rPr>
        <w:t xml:space="preserve">penthemeros </w:t>
      </w:r>
      <w:r>
        <w:rPr>
          <w:rtl w:val="0"/>
          <w:lang w:val="it-IT"/>
        </w:rPr>
        <w:t>certificate (</w:t>
      </w:r>
      <w:r>
        <w:rPr>
          <w:rStyle w:val="Link"/>
        </w:rPr>
        <w:fldChar w:fldCharType="begin" w:fldLock="0"/>
      </w:r>
      <w:r>
        <w:rPr>
          <w:rStyle w:val="Link"/>
        </w:rPr>
        <w:instrText xml:space="preserve"> HYPERLINK "https://papyri.info/biblio/96032"</w:instrText>
      </w:r>
      <w:r>
        <w:rPr>
          <w:rStyle w:val="Link"/>
        </w:rPr>
        <w:fldChar w:fldCharType="separate" w:fldLock="0"/>
      </w:r>
      <w:r>
        <w:rPr>
          <w:rStyle w:val="Link"/>
          <w:rtl w:val="0"/>
          <w:lang w:val="da-DK"/>
        </w:rPr>
        <w:t>Claytor 2017</w:t>
      </w:r>
      <w:r>
        <w:rPr/>
        <w:fldChar w:fldCharType="end" w:fldLock="0"/>
      </w:r>
      <w:r>
        <w:rPr>
          <w:rtl w:val="0"/>
          <w:lang w:val="en-US"/>
        </w:rPr>
        <w:t xml:space="preserve">, 92-93, no. 5) and allows for a complete text to be presented, even if a panel or two are still missing at the left. The closest parallel remains </w:t>
      </w:r>
      <w:r>
        <w:rPr>
          <w:rStyle w:val="Hyperlink.1"/>
        </w:rPr>
        <w:fldChar w:fldCharType="begin" w:fldLock="0"/>
      </w:r>
      <w:r>
        <w:rPr>
          <w:rStyle w:val="Hyperlink.1"/>
        </w:rPr>
        <w:instrText xml:space="preserve"> HYPERLINK "https://papyri.info/ddbdp/p.got;;1"</w:instrText>
      </w:r>
      <w:r>
        <w:rPr>
          <w:rStyle w:val="Hyperlink.1"/>
        </w:rPr>
        <w:fldChar w:fldCharType="separate" w:fldLock="0"/>
      </w:r>
      <w:r>
        <w:rPr>
          <w:rStyle w:val="Hyperlink.1"/>
          <w:rtl w:val="0"/>
        </w:rPr>
        <w:t xml:space="preserve">P.Got. </w:t>
      </w:r>
      <w:r>
        <w:rPr>
          <w:rStyle w:val="Link"/>
          <w:rtl w:val="0"/>
        </w:rPr>
        <w:t>1</w:t>
      </w:r>
      <w:r>
        <w:rPr/>
        <w:fldChar w:fldCharType="end" w:fldLock="0"/>
      </w:r>
      <w:r>
        <w:rPr>
          <w:rtl w:val="0"/>
          <w:lang w:val="en-US"/>
        </w:rPr>
        <w:t xml:space="preserve"> (4 June, 140 CE), written earlier in the same month by the same initial scribe and also signed by Marion. In the present example, one scribe wrote the date range, location of the work, and the worker</w:t>
      </w:r>
      <w:r>
        <w:rPr>
          <w:rtl w:val="0"/>
        </w:rPr>
        <w:t>’</w:t>
      </w:r>
      <w:r>
        <w:rPr>
          <w:rtl w:val="0"/>
          <w:lang w:val="en-US"/>
        </w:rPr>
        <w:t xml:space="preserve">s identification (hand 2), while in the Gothenburg certificate two other scribes added this information (on the composition of penthemeros certificates, see </w:t>
      </w:r>
      <w:r>
        <w:rPr>
          <w:rStyle w:val="Link"/>
        </w:rPr>
        <w:fldChar w:fldCharType="begin" w:fldLock="0"/>
      </w:r>
      <w:r>
        <w:rPr>
          <w:rStyle w:val="Link"/>
        </w:rPr>
        <w:instrText xml:space="preserve"> HYPERLINK "https://papyri.info/biblio/6629"</w:instrText>
      </w:r>
      <w:r>
        <w:rPr>
          <w:rStyle w:val="Link"/>
        </w:rPr>
        <w:fldChar w:fldCharType="separate" w:fldLock="0"/>
      </w:r>
      <w:r>
        <w:rPr>
          <w:rStyle w:val="Link"/>
          <w:rtl w:val="0"/>
          <w:lang w:val="nl-NL"/>
        </w:rPr>
        <w:t>Sijpesteijn 1964</w:t>
      </w:r>
      <w:r>
        <w:rPr/>
        <w:fldChar w:fldCharType="end" w:fldLock="0"/>
      </w:r>
      <w:r>
        <w:rPr>
          <w:rtl w:val="0"/>
          <w:lang w:val="en-US"/>
        </w:rPr>
        <w:t xml:space="preserve">: 16-17 and Heilporn and Martin, </w:t>
      </w:r>
      <w:r>
        <w:rPr>
          <w:rStyle w:val="Hyperlink.1"/>
        </w:rPr>
        <w:fldChar w:fldCharType="begin" w:fldLock="0"/>
      </w:r>
      <w:r>
        <w:rPr>
          <w:rStyle w:val="Hyperlink.1"/>
        </w:rPr>
        <w:instrText xml:space="preserve"> HYPERLINK "https://papyri.info/biblio/81813"</w:instrText>
      </w:r>
      <w:r>
        <w:rPr>
          <w:rStyle w:val="Hyperlink.1"/>
        </w:rPr>
        <w:fldChar w:fldCharType="separate" w:fldLock="0"/>
      </w:r>
      <w:r>
        <w:rPr>
          <w:rStyle w:val="Hyperlink.1"/>
          <w:rtl w:val="0"/>
          <w:lang w:val="it-IT"/>
        </w:rPr>
        <w:t>P.Pintaudi</w:t>
      </w:r>
      <w:r>
        <w:rPr/>
        <w:fldChar w:fldCharType="end" w:fldLock="0"/>
      </w:r>
      <w:r>
        <w:rPr>
          <w:rtl w:val="0"/>
        </w:rPr>
        <w:t xml:space="preserve"> </w:t>
      </w:r>
      <w:r>
        <w:rPr>
          <w:rtl w:val="0"/>
          <w:lang w:val="en-US"/>
        </w:rPr>
        <w:t>25-26, pp. 125-128). The back contains a few traces of ink and a lighter patch of papyrus securing two of the panels together.</w:t>
      </w:r>
    </w:p>
    <w:p>
      <w:pPr>
        <w:pStyle w:val="Text"/>
      </w:pPr>
    </w:p>
    <w:p>
      <w:pPr>
        <w:pStyle w:val="Text"/>
      </w:pPr>
      <w:r>
        <w:rPr>
          <w:rtl w:val="0"/>
          <w:lang w:val="de-DE"/>
        </w:rPr>
        <w:t>#editionDDB</w:t>
      </w:r>
    </w:p>
    <w:p>
      <w:pPr>
        <w:pStyle w:val="Text"/>
      </w:pPr>
      <w:r>
        <w:rPr>
          <w:rtl w:val="0"/>
          <w:lang w:val="de-DE"/>
        </w:rPr>
        <w:t>#metadata</w:t>
      </w:r>
    </w:p>
    <w:p>
      <w:pPr>
        <w:pStyle w:val="Text"/>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Standard"/>
              <w:bidi w:val="0"/>
              <w:spacing w:after="240" w:line="320" w:lineRule="atLeast"/>
              <w:ind w:left="0" w:right="0" w:firstLine="0"/>
              <w:jc w:val="left"/>
              <w:rPr>
                <w:rtl w:val="0"/>
              </w:rPr>
            </w:pPr>
            <w:r>
              <w:rPr>
                <w:rFonts w:ascii="IFAO-Grec Unicode" w:hAnsi="IFAO-Grec Unicode"/>
                <w:sz w:val="24"/>
                <w:szCs w:val="24"/>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8</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Standard"/>
              <w:bidi w:val="0"/>
              <w:spacing w:after="240" w:line="320" w:lineRule="atLeast"/>
              <w:ind w:left="0" w:right="0" w:firstLine="0"/>
              <w:jc w:val="left"/>
              <w:rPr>
                <w:rtl w:val="0"/>
              </w:rPr>
            </w:pPr>
            <w:r>
              <w:rPr>
                <w:rFonts w:ascii="IFAO-Grec Unicode" w:hAnsi="IFAO-Grec Unicode"/>
                <w:sz w:val="24"/>
                <w:szCs w:val="24"/>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704976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Überschrift 2"/>
              <w:jc w:val="left"/>
            </w:pPr>
            <w:r>
              <w:rPr>
                <w:b w:val="0"/>
                <w:bCs w:val="0"/>
                <w:rtl w:val="0"/>
              </w:rPr>
              <w:t xml:space="preserve">A Karanis </w:t>
            </w:r>
            <w:r>
              <w:rPr>
                <w:b w:val="0"/>
                <w:bCs w:val="0"/>
                <w:rtl w:val="0"/>
                <w:lang w:val="de-DE"/>
              </w:rPr>
              <w:t>penthemeros c</w:t>
            </w:r>
            <w:r>
              <w:rPr>
                <w:b w:val="0"/>
                <w:bCs w:val="0"/>
                <w:rtl w:val="0"/>
                <w:lang w:val="it-IT"/>
              </w:rPr>
              <w:t xml:space="preserve">ertificate </w:t>
            </w:r>
            <w:r>
              <w:rPr>
                <w:b w:val="0"/>
                <w:bCs w:val="0"/>
                <w:rtl w:val="0"/>
                <w:lang w:val="de-DE"/>
              </w:rPr>
              <w:t>c</w:t>
            </w:r>
            <w:r>
              <w:rPr>
                <w:b w:val="0"/>
                <w:bCs w:val="0"/>
                <w:rtl w:val="0"/>
                <w:lang w:val="en-US"/>
              </w:rPr>
              <w:t>ompleted</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19. Juni 140</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Karanis, Arsinoites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P.Mich. inv. 2377</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Images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https://quod.lib.umich.edu/a/apis/x-9086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Quittung, Penthemros</w:t>
            </w:r>
          </w:p>
        </w:tc>
      </w:tr>
    </w:tbl>
    <w:p>
      <w:pPr>
        <w:pStyle w:val="Text"/>
      </w:pPr>
    </w:p>
    <w:p>
      <w:pPr>
        <w:pStyle w:val="Text"/>
      </w:pPr>
    </w:p>
    <w:p>
      <w:pPr>
        <w:pStyle w:val="Text"/>
      </w:pPr>
    </w:p>
    <w:p>
      <w:pPr>
        <w:pStyle w:val="Text"/>
      </w:pPr>
      <w:r>
        <w:rPr>
          <w:rtl w:val="0"/>
          <w:lang w:val="de-DE"/>
        </w:rPr>
        <w:t>#text</w:t>
      </w:r>
    </w:p>
    <w:p>
      <w:pPr>
        <w:pStyle w:val="Text"/>
      </w:pPr>
      <w:r>
        <w:rPr>
          <w:rtl w:val="0"/>
        </w:rPr>
        <w:t>&lt;S=.grc</w:t>
      </w:r>
    </w:p>
    <w:p>
      <w:pPr>
        <w:pStyle w:val="Text"/>
      </w:pPr>
      <w:r>
        <w:rPr>
          <w:rtl w:val="0"/>
        </w:rPr>
        <w:t>&lt;=</w:t>
      </w:r>
    </w:p>
    <w:p>
      <w:pPr>
        <w:pStyle w:val="Text"/>
      </w:pPr>
      <w:r>
        <w:rPr>
          <w:rtl w:val="0"/>
          <w:lang w:val="pt-PT"/>
        </w:rPr>
        <w:t>1. [</w:t>
      </w:r>
      <w:r>
        <w:rPr>
          <w:rtl w:val="0"/>
        </w:rPr>
        <w:t>ἔτους τρίτ</w:t>
      </w:r>
      <w:r>
        <w:rPr>
          <w:rtl w:val="0"/>
          <w:lang w:val="pt-PT"/>
        </w:rPr>
        <w:t>]</w:t>
      </w:r>
      <w:r>
        <w:rPr>
          <w:rtl w:val="0"/>
        </w:rPr>
        <w:t>ου Αὐτοκράτορος Κ</w:t>
      </w:r>
      <w:r>
        <w:rPr>
          <w:rtl w:val="0"/>
          <w:lang w:val="pt-PT"/>
        </w:rPr>
        <w:t>[</w:t>
      </w:r>
      <w:r>
        <w:rPr>
          <w:rtl w:val="0"/>
        </w:rPr>
        <w:t>α</w:t>
      </w:r>
      <w:r>
        <w:rPr>
          <w:rtl w:val="0"/>
          <w:lang w:val="pt-PT"/>
        </w:rPr>
        <w:t>]</w:t>
      </w:r>
      <w:r>
        <w:rPr>
          <w:rtl w:val="0"/>
        </w:rPr>
        <w:t>ί̣</w:t>
      </w:r>
      <w:r>
        <w:rPr>
          <w:rtl w:val="0"/>
          <w:lang w:val="pt-PT"/>
        </w:rPr>
        <w:t>[</w:t>
      </w:r>
      <w:r>
        <w:rPr>
          <w:rtl w:val="0"/>
        </w:rPr>
        <w:t>σαρο</w:t>
      </w:r>
      <w:r>
        <w:rPr>
          <w:rtl w:val="0"/>
          <w:lang w:val="pt-PT"/>
        </w:rPr>
        <w:t>]</w:t>
      </w:r>
      <w:r>
        <w:rPr>
          <w:rtl w:val="0"/>
        </w:rPr>
        <w:t>ς̣ Τ̣ί̣τ̣ο̣υ</w:t>
      </w:r>
    </w:p>
    <w:p>
      <w:pPr>
        <w:pStyle w:val="Text"/>
      </w:pPr>
      <w:r>
        <w:rPr>
          <w:rtl w:val="0"/>
          <w:lang w:val="pt-PT"/>
        </w:rPr>
        <w:t>2. [</w:t>
      </w:r>
      <w:r>
        <w:rPr>
          <w:rtl w:val="0"/>
        </w:rPr>
        <w:t>Αἰλίου Ἁ</w:t>
      </w:r>
      <w:r>
        <w:rPr>
          <w:rtl w:val="0"/>
          <w:lang w:val="pt-PT"/>
        </w:rPr>
        <w:t>]</w:t>
      </w:r>
      <w:r>
        <w:rPr>
          <w:rtl w:val="0"/>
        </w:rPr>
        <w:t>δριανοῦ Ἀντωνίνου Σε̣</w:t>
      </w:r>
      <w:r>
        <w:rPr>
          <w:rtl w:val="0"/>
          <w:lang w:val="pt-PT"/>
        </w:rPr>
        <w:t>[</w:t>
      </w:r>
      <w:r>
        <w:rPr>
          <w:rtl w:val="0"/>
        </w:rPr>
        <w:t>βα</w:t>
      </w:r>
      <w:r>
        <w:rPr>
          <w:rtl w:val="0"/>
          <w:lang w:val="pt-PT"/>
        </w:rPr>
        <w:t>]</w:t>
      </w:r>
      <w:r>
        <w:rPr>
          <w:rtl w:val="0"/>
        </w:rPr>
        <w:t>σ̣τοῦ</w:t>
      </w:r>
    </w:p>
    <w:p>
      <w:pPr>
        <w:pStyle w:val="Text"/>
      </w:pPr>
      <w:r>
        <w:rPr>
          <w:rtl w:val="0"/>
          <w:lang w:val="pt-PT"/>
        </w:rPr>
        <w:t>3. [</w:t>
      </w:r>
      <w:r>
        <w:rPr>
          <w:rtl w:val="0"/>
        </w:rPr>
        <w:t>Εὐσεβ</w:t>
      </w:r>
      <w:r>
        <w:rPr>
          <w:rtl w:val="0"/>
          <w:lang w:val="pt-PT"/>
        </w:rPr>
        <w:t>]</w:t>
      </w:r>
      <w:r>
        <w:rPr>
          <w:rtl w:val="0"/>
        </w:rPr>
        <w:t xml:space="preserve">οῦς </w:t>
      </w:r>
      <w:r>
        <w:rPr>
          <w:rtl w:val="0"/>
        </w:rPr>
        <w:t>(</w:t>
      </w:r>
      <w:r>
        <w:rPr>
          <w:rtl w:val="0"/>
        </w:rPr>
        <w:t>εἴργ</w:t>
      </w:r>
      <w:r>
        <w:rPr>
          <w:rtl w:val="0"/>
        </w:rPr>
        <w:t>(</w:t>
      </w:r>
      <w:r>
        <w:rPr>
          <w:rtl w:val="0"/>
        </w:rPr>
        <w:t>ασται</w:t>
      </w:r>
      <w:r>
        <w:rPr>
          <w:rtl w:val="0"/>
        </w:rPr>
        <w:t xml:space="preserve">)) </w:t>
      </w:r>
      <w:r>
        <w:rPr>
          <w:rtl w:val="0"/>
        </w:rPr>
        <w:t xml:space="preserve">ὑπὲρ </w:t>
      </w:r>
      <w:r>
        <w:rPr>
          <w:rtl w:val="0"/>
        </w:rPr>
        <w:t>(</w:t>
      </w:r>
      <w:r>
        <w:rPr>
          <w:rtl w:val="0"/>
        </w:rPr>
        <w:t>χωμ</w:t>
      </w:r>
      <w:r>
        <w:rPr>
          <w:rtl w:val="0"/>
        </w:rPr>
        <w:t>(</w:t>
      </w:r>
      <w:r>
        <w:rPr>
          <w:rtl w:val="0"/>
        </w:rPr>
        <w:t>ατικῶν</w:t>
      </w:r>
      <w:r>
        <w:rPr>
          <w:rtl w:val="0"/>
        </w:rPr>
        <w:t xml:space="preserve">)) </w:t>
      </w:r>
      <w:r>
        <w:rPr>
          <w:rtl w:val="0"/>
        </w:rPr>
        <w:t>ἔργων</w:t>
      </w:r>
    </w:p>
    <w:p>
      <w:pPr>
        <w:pStyle w:val="Text"/>
      </w:pPr>
      <w:r>
        <w:rPr>
          <w:rtl w:val="0"/>
          <w:lang w:val="pt-PT"/>
        </w:rPr>
        <w:t>4. [</w:t>
      </w:r>
      <w:r>
        <w:rPr>
          <w:rtl w:val="0"/>
        </w:rPr>
        <w:t>τοῦ αὐτο</w:t>
      </w:r>
      <w:r>
        <w:rPr>
          <w:rtl w:val="0"/>
          <w:lang w:val="pt-PT"/>
        </w:rPr>
        <w:t>]</w:t>
      </w:r>
      <w:r>
        <w:rPr>
          <w:rtl w:val="0"/>
        </w:rPr>
        <w:t xml:space="preserve">ῦ </w:t>
      </w:r>
      <w:r>
        <w:rPr>
          <w:rtl w:val="0"/>
        </w:rPr>
        <w:t>&lt;#</w:t>
      </w:r>
      <w:r>
        <w:rPr>
          <w:rtl w:val="0"/>
        </w:rPr>
        <w:t>γ</w:t>
      </w:r>
      <w:r>
        <w:rPr>
          <w:rtl w:val="0"/>
          <w:lang w:val="en-US"/>
        </w:rPr>
        <w:t>=3#&gt; ((</w:t>
      </w:r>
      <w:r>
        <w:rPr>
          <w:rtl w:val="0"/>
        </w:rPr>
        <w:t>ἔτους</w:t>
      </w:r>
      <w:r>
        <w:rPr>
          <w:rtl w:val="0"/>
          <w:lang w:val="en-US"/>
        </w:rPr>
        <w:t>)) $</w:t>
      </w:r>
      <w:r>
        <w:rPr>
          <w:rtl w:val="0"/>
          <w:lang w:val="de-DE"/>
        </w:rPr>
        <w:t>m</w:t>
      </w:r>
      <w:r>
        <w:rPr>
          <w:rtl w:val="0"/>
        </w:rPr>
        <w:t xml:space="preserve">2 </w:t>
      </w:r>
      <w:r>
        <w:rPr>
          <w:rtl w:val="0"/>
        </w:rPr>
        <w:t xml:space="preserve">Παῦ̣νι </w:t>
      </w:r>
      <w:r>
        <w:rPr>
          <w:rtl w:val="0"/>
        </w:rPr>
        <w:t>&lt;#</w:t>
      </w:r>
      <w:r>
        <w:rPr>
          <w:rtl w:val="0"/>
        </w:rPr>
        <w:t>κᾱ</w:t>
      </w:r>
      <w:r>
        <w:rPr>
          <w:rtl w:val="0"/>
          <w:lang w:val="en-US"/>
        </w:rPr>
        <w:t xml:space="preserve">=21#&gt; </w:t>
      </w:r>
      <w:r>
        <w:rPr>
          <w:rtl w:val="0"/>
        </w:rPr>
        <w:t xml:space="preserve">ἕως </w:t>
      </w:r>
      <w:r>
        <w:rPr>
          <w:rtl w:val="0"/>
        </w:rPr>
        <w:t>&lt;#</w:t>
      </w:r>
      <w:r>
        <w:rPr>
          <w:rtl w:val="0"/>
        </w:rPr>
        <w:t>κε̄</w:t>
      </w:r>
      <w:r>
        <w:rPr>
          <w:rtl w:val="0"/>
        </w:rPr>
        <w:t>=25#&gt;</w:t>
      </w:r>
    </w:p>
    <w:p>
      <w:pPr>
        <w:pStyle w:val="Text"/>
      </w:pPr>
      <w:r>
        <w:rPr>
          <w:rtl w:val="0"/>
          <w:lang w:val="pt-PT"/>
        </w:rPr>
        <w:t>5. [</w:t>
      </w:r>
      <w:r>
        <w:rPr>
          <w:rtl w:val="0"/>
        </w:rPr>
        <w:t>ἐν τῇ</w:t>
      </w:r>
      <w:r>
        <w:rPr>
          <w:rtl w:val="0"/>
          <w:lang w:val="pt-PT"/>
        </w:rPr>
        <w:t>] (</w:t>
      </w:r>
      <w:r>
        <w:rPr>
          <w:rtl w:val="0"/>
        </w:rPr>
        <w:t>Ἀ̣ργαίτι</w:t>
      </w:r>
      <w:r>
        <w:rPr>
          <w:rtl w:val="0"/>
        </w:rPr>
        <w:t>(</w:t>
      </w:r>
      <w:r>
        <w:rPr>
          <w:rtl w:val="0"/>
        </w:rPr>
        <w:t>δος</w:t>
      </w:r>
      <w:r>
        <w:rPr>
          <w:rtl w:val="0"/>
        </w:rPr>
        <w:t>)) (</w:t>
      </w:r>
      <w:r>
        <w:rPr>
          <w:rtl w:val="0"/>
        </w:rPr>
        <w:t>διώ</w:t>
      </w:r>
      <w:r>
        <w:rPr>
          <w:rtl w:val="0"/>
        </w:rPr>
        <w:t>(</w:t>
      </w:r>
      <w:r>
        <w:rPr>
          <w:rtl w:val="0"/>
        </w:rPr>
        <w:t>ρυγι</w:t>
      </w:r>
      <w:r>
        <w:rPr>
          <w:rtl w:val="0"/>
        </w:rPr>
        <w:t>)) (</w:t>
      </w:r>
      <w:r>
        <w:rPr>
          <w:rtl w:val="0"/>
        </w:rPr>
        <w:t>Καρα</w:t>
      </w:r>
      <w:r>
        <w:rPr>
          <w:rtl w:val="0"/>
        </w:rPr>
        <w:t>(</w:t>
      </w:r>
      <w:r>
        <w:rPr>
          <w:rtl w:val="0"/>
        </w:rPr>
        <w:t>νίδος</w:t>
      </w:r>
      <w:r>
        <w:rPr>
          <w:rtl w:val="0"/>
        </w:rPr>
        <w:t>)) (</w:t>
      </w:r>
      <w:r>
        <w:rPr>
          <w:rtl w:val="0"/>
        </w:rPr>
        <w:t>Πτολεμ</w:t>
      </w:r>
      <w:r>
        <w:rPr>
          <w:rtl w:val="0"/>
        </w:rPr>
        <w:t>(</w:t>
      </w:r>
      <w:r>
        <w:rPr>
          <w:rtl w:val="0"/>
        </w:rPr>
        <w:t>αῖος</w:t>
      </w:r>
      <w:r>
        <w:rPr>
          <w:rtl w:val="0"/>
        </w:rPr>
        <w:t>))</w:t>
      </w:r>
    </w:p>
    <w:p>
      <w:pPr>
        <w:pStyle w:val="Text"/>
      </w:pPr>
      <w:r>
        <w:rPr>
          <w:rtl w:val="0"/>
          <w:lang w:val="pt-PT"/>
        </w:rPr>
        <w:t>6. ([</w:t>
      </w:r>
      <w:r>
        <w:rPr>
          <w:rtl w:val="0"/>
        </w:rPr>
        <w:t>Θεα</w:t>
      </w:r>
      <w:r>
        <w:rPr>
          <w:rtl w:val="0"/>
          <w:lang w:val="pt-PT"/>
        </w:rPr>
        <w:t>]</w:t>
      </w:r>
      <w:r>
        <w:rPr>
          <w:rtl w:val="0"/>
        </w:rPr>
        <w:t>βέννε</w:t>
      </w:r>
      <w:r>
        <w:rPr>
          <w:rtl w:val="0"/>
        </w:rPr>
        <w:t>(</w:t>
      </w:r>
      <w:r>
        <w:rPr>
          <w:rtl w:val="0"/>
        </w:rPr>
        <w:t>ως</w:t>
      </w:r>
      <w:r>
        <w:rPr>
          <w:rtl w:val="0"/>
        </w:rPr>
        <w:t xml:space="preserve">)) </w:t>
      </w:r>
      <w:r>
        <w:rPr>
          <w:rtl w:val="0"/>
        </w:rPr>
        <w:t xml:space="preserve">τοῦ </w:t>
      </w:r>
      <w:r>
        <w:rPr>
          <w:rtl w:val="0"/>
        </w:rPr>
        <w:t>(</w:t>
      </w:r>
      <w:r>
        <w:rPr>
          <w:rtl w:val="0"/>
        </w:rPr>
        <w:t>Ἁρπαή</w:t>
      </w:r>
      <w:r>
        <w:rPr>
          <w:rtl w:val="0"/>
        </w:rPr>
        <w:t>(</w:t>
      </w:r>
      <w:r>
        <w:rPr>
          <w:rtl w:val="0"/>
        </w:rPr>
        <w:t>σιος</w:t>
      </w:r>
      <w:r>
        <w:rPr>
          <w:rtl w:val="0"/>
        </w:rPr>
        <w:t>)) (</w:t>
      </w:r>
      <w:r>
        <w:rPr>
          <w:rtl w:val="0"/>
        </w:rPr>
        <w:t>μη</w:t>
      </w:r>
      <w:r>
        <w:rPr>
          <w:rtl w:val="0"/>
        </w:rPr>
        <w:t>(</w:t>
      </w:r>
      <w:r>
        <w:rPr>
          <w:rtl w:val="0"/>
        </w:rPr>
        <w:t>τρὸς</w:t>
      </w:r>
      <w:r>
        <w:rPr>
          <w:rtl w:val="0"/>
        </w:rPr>
        <w:t>)) (</w:t>
      </w:r>
      <w:r>
        <w:rPr>
          <w:rtl w:val="0"/>
        </w:rPr>
        <w:t>Θεναμ</w:t>
      </w:r>
      <w:r>
        <w:rPr>
          <w:rtl w:val="0"/>
        </w:rPr>
        <w:t>(</w:t>
      </w:r>
      <w:r>
        <w:rPr>
          <w:rtl w:val="0"/>
        </w:rPr>
        <w:t>ούνιος</w:t>
      </w:r>
      <w:r>
        <w:rPr>
          <w:rtl w:val="0"/>
        </w:rPr>
        <w:t>)).</w:t>
      </w:r>
    </w:p>
    <w:p>
      <w:pPr>
        <w:pStyle w:val="Text"/>
      </w:pPr>
      <w:r>
        <w:rPr>
          <w:rtl w:val="0"/>
          <w:lang w:val="en-US"/>
        </w:rPr>
        <w:t>7. $</w:t>
      </w:r>
      <w:r>
        <w:rPr>
          <w:rtl w:val="0"/>
          <w:lang w:val="de-DE"/>
        </w:rPr>
        <w:t>m</w:t>
      </w:r>
      <w:r>
        <w:rPr>
          <w:rtl w:val="0"/>
          <w:lang w:val="pt-PT"/>
        </w:rPr>
        <w:t>3 [</w:t>
      </w:r>
      <w:r>
        <w:rPr>
          <w:rtl w:val="0"/>
        </w:rPr>
        <w:t>Μ</w:t>
      </w:r>
      <w:r>
        <w:rPr>
          <w:rtl w:val="0"/>
          <w:lang w:val="pt-PT"/>
        </w:rPr>
        <w:t>]</w:t>
      </w:r>
      <w:r>
        <w:rPr>
          <w:rtl w:val="0"/>
        </w:rPr>
        <w:t xml:space="preserve">αρίων </w:t>
      </w:r>
      <w:r>
        <w:rPr>
          <w:rtl w:val="0"/>
        </w:rPr>
        <w:t>(</w:t>
      </w:r>
      <w:r>
        <w:rPr>
          <w:rtl w:val="0"/>
        </w:rPr>
        <w:t>σεσημ</w:t>
      </w:r>
      <w:r>
        <w:rPr>
          <w:rtl w:val="0"/>
        </w:rPr>
        <w:t>(</w:t>
      </w:r>
      <w:r>
        <w:rPr>
          <w:rtl w:val="0"/>
        </w:rPr>
        <w:t>είωμαι</w:t>
      </w:r>
      <w:r>
        <w:rPr>
          <w:rtl w:val="0"/>
        </w:rPr>
        <w:t>)).</w:t>
      </w:r>
    </w:p>
    <w:p>
      <w:pPr>
        <w:pStyle w:val="Text"/>
      </w:pPr>
      <w:r>
        <w:rPr>
          <w:rtl w:val="0"/>
          <w:lang w:val="en-US"/>
        </w:rPr>
        <w:t>=&gt;</w:t>
      </w:r>
    </w:p>
    <w:p>
      <w:pPr>
        <w:pStyle w:val="Text"/>
      </w:pPr>
    </w:p>
    <w:p>
      <w:pPr>
        <w:pStyle w:val="Text"/>
      </w:pPr>
      <w:r>
        <w:rPr>
          <w:rtl w:val="0"/>
          <w:lang w:val="de-DE"/>
        </w:rPr>
        <w:t>#translation</w:t>
      </w:r>
    </w:p>
    <w:p>
      <w:pPr>
        <w:pStyle w:val="Text"/>
      </w:pPr>
      <w:r>
        <w:rPr>
          <w:rtl w:val="0"/>
        </w:rPr>
        <w:t>&lt;T=.en</w:t>
      </w:r>
    </w:p>
    <w:p>
      <w:pPr>
        <w:pStyle w:val="Text"/>
      </w:pPr>
      <w:r>
        <w:rPr>
          <w:rtl w:val="0"/>
        </w:rPr>
        <w:t>&lt;=</w:t>
      </w:r>
    </w:p>
    <w:p>
      <w:pPr>
        <w:pStyle w:val="Text"/>
      </w:pPr>
      <w:r>
        <w:rPr>
          <w:rtl w:val="0"/>
          <w:lang w:val="de-DE"/>
        </w:rPr>
        <w:t xml:space="preserve">((1)) </w:t>
      </w:r>
      <w:r>
        <w:rPr>
          <w:rtl w:val="0"/>
          <w:lang w:val="en-US"/>
        </w:rPr>
        <w:t>In the third year of Imperator Caesar Titus Aelius Hadrianus Antoninus Augustus Pius, ((</w:t>
      </w:r>
      <w:r>
        <w:rPr>
          <w:rtl w:val="0"/>
          <w:lang w:val="de-DE"/>
        </w:rPr>
        <w:t>3</w:t>
      </w:r>
      <w:r>
        <w:rPr>
          <w:rtl w:val="0"/>
          <w:lang w:val="en-US"/>
        </w:rPr>
        <w:t>)) he has performed the dike work for the same 3</w:t>
      </w:r>
      <w:r>
        <w:rPr>
          <w:vertAlign w:val="superscript"/>
          <w:rtl w:val="0"/>
        </w:rPr>
        <w:t>rd</w:t>
      </w:r>
      <w:r>
        <w:rPr>
          <w:rtl w:val="0"/>
          <w:lang w:val="en-US"/>
        </w:rPr>
        <w:t xml:space="preserve"> year (2</w:t>
      </w:r>
      <w:r>
        <w:rPr>
          <w:vertAlign w:val="superscript"/>
          <w:rtl w:val="0"/>
        </w:rPr>
        <w:t>nd</w:t>
      </w:r>
      <w:r>
        <w:rPr>
          <w:rtl w:val="0"/>
          <w:lang w:val="en-US"/>
        </w:rPr>
        <w:t xml:space="preserve"> hand) from Pauni 21 to 25 on the canal of Argaitis on behalf of Karanis: Ptolemaios son of Theabennis grandson of Harpaesis, whose mother is Thenamounis. ((</w:t>
      </w:r>
      <w:r>
        <w:rPr>
          <w:rtl w:val="0"/>
          <w:lang w:val="de-DE"/>
        </w:rPr>
        <w:t>(7)</w:t>
      </w:r>
      <w:r>
        <w:rPr>
          <w:rtl w:val="0"/>
        </w:rPr>
        <w:t>))</w:t>
      </w:r>
      <w:r>
        <w:rPr>
          <w:rtl w:val="0"/>
          <w:lang w:val="de-DE"/>
        </w:rPr>
        <w:t xml:space="preserve"> </w:t>
      </w:r>
      <w:r>
        <w:rPr>
          <w:rtl w:val="0"/>
        </w:rPr>
        <w:t>(3</w:t>
      </w:r>
      <w:r>
        <w:rPr>
          <w:vertAlign w:val="superscript"/>
          <w:rtl w:val="0"/>
        </w:rPr>
        <w:t>rd</w:t>
      </w:r>
      <w:r>
        <w:rPr>
          <w:rtl w:val="0"/>
          <w:lang w:val="en-US"/>
        </w:rPr>
        <w:t xml:space="preserve"> hand) I, Marion, have signed.</w:t>
      </w:r>
    </w:p>
    <w:p>
      <w:pPr>
        <w:pStyle w:val="Text"/>
      </w:pPr>
      <w:r>
        <w:rPr>
          <w:rtl w:val="0"/>
          <w:lang w:val="en-US"/>
        </w:rPr>
        <w:t>=&gt;</w:t>
      </w:r>
    </w:p>
    <w:p>
      <w:pPr>
        <w:pStyle w:val="Text"/>
      </w:pPr>
      <w:r>
        <w:rPr>
          <w:rtl w:val="0"/>
          <w:lang w:val="en-US"/>
        </w:rPr>
        <w:t>=T&gt;</w:t>
      </w:r>
    </w:p>
    <w:p>
      <w:pPr>
        <w:pStyle w:val="Text"/>
      </w:pPr>
    </w:p>
    <w:p>
      <w:pPr>
        <w:pStyle w:val="Text"/>
      </w:pPr>
      <w:r>
        <w:rPr>
          <w:rtl w:val="0"/>
          <w:lang w:val="de-DE"/>
        </w:rPr>
        <w:t>#commentary</w:t>
      </w:r>
    </w:p>
    <w:p>
      <w:pPr>
        <w:pStyle w:val="Text"/>
      </w:pPr>
      <w:r>
        <w:rPr>
          <w:rtl w:val="0"/>
        </w:rPr>
        <w:t>5</w:t>
      </w:r>
      <w:r>
        <w:rPr>
          <w:rtl w:val="0"/>
          <w:lang w:val="de-DE"/>
        </w:rPr>
        <w:t xml:space="preserve"> </w:t>
      </w:r>
      <w:r>
        <w:rPr>
          <w:rtl w:val="0"/>
          <w:lang w:val="pt-PT"/>
        </w:rPr>
        <w:t>[</w:t>
      </w:r>
      <w:r>
        <w:rPr>
          <w:rtl w:val="0"/>
        </w:rPr>
        <w:t>ἐν τῇ</w:t>
      </w:r>
      <w:r>
        <w:rPr>
          <w:rtl w:val="0"/>
          <w:lang w:val="pt-PT"/>
        </w:rPr>
        <w:t xml:space="preserve">] </w:t>
      </w:r>
      <w:r>
        <w:rPr>
          <w:rtl w:val="0"/>
        </w:rPr>
        <w:t>Ἀ̣ργαίτι</w:t>
      </w:r>
      <w:r>
        <w:rPr>
          <w:rtl w:val="0"/>
        </w:rPr>
        <w:t>(</w:t>
      </w:r>
      <w:r>
        <w:rPr>
          <w:rtl w:val="0"/>
        </w:rPr>
        <w:t>δος</w:t>
      </w:r>
      <w:r>
        <w:rPr>
          <w:rtl w:val="0"/>
        </w:rPr>
        <w:t xml:space="preserve">) </w:t>
      </w:r>
      <w:r>
        <w:rPr>
          <w:rtl w:val="0"/>
        </w:rPr>
        <w:t>διώ</w:t>
      </w:r>
      <w:r>
        <w:rPr>
          <w:rtl w:val="0"/>
        </w:rPr>
        <w:t>(</w:t>
      </w:r>
      <w:r>
        <w:rPr>
          <w:rtl w:val="0"/>
        </w:rPr>
        <w:t>ρυγι</w:t>
      </w:r>
      <w:r>
        <w:rPr>
          <w:rtl w:val="0"/>
          <w:lang w:val="en-US"/>
        </w:rPr>
        <w:t>). This central canal (</w:t>
      </w:r>
      <w:r>
        <w:rPr>
          <w:rStyle w:val="Link"/>
        </w:rPr>
        <w:fldChar w:fldCharType="begin" w:fldLock="0"/>
      </w:r>
      <w:r>
        <w:rPr>
          <w:rStyle w:val="Link"/>
        </w:rPr>
        <w:instrText xml:space="preserve"> HYPERLINK "https://www.trismegistos.org/place/297"</w:instrText>
      </w:r>
      <w:r>
        <w:rPr>
          <w:rStyle w:val="Link"/>
        </w:rPr>
        <w:fldChar w:fldCharType="separate" w:fldLock="0"/>
      </w:r>
      <w:r>
        <w:rPr>
          <w:rStyle w:val="Link"/>
          <w:rtl w:val="0"/>
          <w:lang w:val="it-IT"/>
        </w:rPr>
        <w:t>TM Geo 297</w:t>
      </w:r>
      <w:r>
        <w:rPr/>
        <w:fldChar w:fldCharType="end" w:fldLock="0"/>
      </w:r>
      <w:r>
        <w:rPr>
          <w:rtl w:val="0"/>
          <w:lang w:val="en-US"/>
        </w:rPr>
        <w:t>) was the extension of the Bahr Yussef that divided the Fayum in half (</w:t>
      </w:r>
      <w:r>
        <w:rPr>
          <w:rStyle w:val="Link"/>
        </w:rPr>
        <w:fldChar w:fldCharType="begin" w:fldLock="0"/>
      </w:r>
      <w:r>
        <w:rPr>
          <w:rStyle w:val="Link"/>
        </w:rPr>
        <w:instrText xml:space="preserve"> HYPERLINK "https://papyri.info/biblio/73714"</w:instrText>
      </w:r>
      <w:r>
        <w:rPr>
          <w:rStyle w:val="Link"/>
        </w:rPr>
        <w:fldChar w:fldCharType="separate" w:fldLock="0"/>
      </w:r>
      <w:r>
        <w:rPr>
          <w:rStyle w:val="Link"/>
          <w:rtl w:val="0"/>
          <w:lang w:val="nl-NL"/>
        </w:rPr>
        <w:t>Vandorpe 2004</w:t>
      </w:r>
      <w:r>
        <w:rPr/>
        <w:fldChar w:fldCharType="end" w:fldLock="0"/>
      </w:r>
      <w:r>
        <w:rPr>
          <w:rtl w:val="0"/>
          <w:lang w:val="en-US"/>
        </w:rPr>
        <w:t xml:space="preserve">: 70-72). Karanis residents are found working on this dike in four other certificates: </w:t>
      </w:r>
      <w:r>
        <w:rPr>
          <w:rStyle w:val="Link"/>
        </w:rPr>
        <w:fldChar w:fldCharType="begin" w:fldLock="0"/>
      </w:r>
      <w:r>
        <w:rPr>
          <w:rStyle w:val="Link"/>
        </w:rPr>
        <w:instrText xml:space="preserve"> HYPERLINK "https://papyri.info/biblio/96032"</w:instrText>
      </w:r>
      <w:r>
        <w:rPr>
          <w:rStyle w:val="Link"/>
        </w:rPr>
        <w:fldChar w:fldCharType="separate" w:fldLock="0"/>
      </w:r>
      <w:r>
        <w:rPr>
          <w:rStyle w:val="Link"/>
          <w:rtl w:val="0"/>
          <w:lang w:val="da-DK"/>
        </w:rPr>
        <w:t>Claytor 2017</w:t>
      </w:r>
      <w:r>
        <w:rPr/>
        <w:fldChar w:fldCharType="end" w:fldLock="0"/>
      </w:r>
      <w:r>
        <w:rPr>
          <w:rtl w:val="0"/>
          <w:lang w:val="en-US"/>
        </w:rPr>
        <w:t>: Appendix 1 (where the present certificate is listed as no. 26).</w:t>
      </w:r>
    </w:p>
    <w:p>
      <w:pPr>
        <w:pStyle w:val="Text"/>
      </w:pPr>
    </w:p>
    <w:p>
      <w:pPr>
        <w:pStyle w:val="Text"/>
      </w:pPr>
      <w:r>
        <w:rPr>
          <w:rtl w:val="0"/>
        </w:rPr>
        <w:t>5-6</w:t>
      </w:r>
      <w:r>
        <w:rPr>
          <w:rtl w:val="0"/>
          <w:lang w:val="de-DE"/>
        </w:rPr>
        <w:t xml:space="preserve"> </w:t>
      </w:r>
      <w:r>
        <w:rPr>
          <w:rtl w:val="0"/>
          <w:lang w:val="en-US"/>
        </w:rPr>
        <w:t>A match for the dike worker</w:t>
      </w:r>
      <w:r>
        <w:rPr>
          <w:rtl w:val="0"/>
        </w:rPr>
        <w:t>’</w:t>
      </w:r>
      <w:r>
        <w:rPr>
          <w:rtl w:val="0"/>
          <w:lang w:val="en-US"/>
        </w:rPr>
        <w:t xml:space="preserve">s name and patronym is found a quarter century later in </w:t>
      </w:r>
      <w:r>
        <w:rPr>
          <w:rStyle w:val="Hyperlink.1"/>
        </w:rPr>
        <w:fldChar w:fldCharType="begin" w:fldLock="0"/>
      </w:r>
      <w:r>
        <w:rPr>
          <w:rStyle w:val="Hyperlink.1"/>
        </w:rPr>
        <w:instrText xml:space="preserve"> HYPERLINK "https://papyri.info/ddbdp/p.bour;;42"</w:instrText>
      </w:r>
      <w:r>
        <w:rPr>
          <w:rStyle w:val="Hyperlink.1"/>
        </w:rPr>
        <w:fldChar w:fldCharType="separate" w:fldLock="0"/>
      </w:r>
      <w:r>
        <w:rPr>
          <w:rStyle w:val="Hyperlink.1"/>
          <w:rtl w:val="0"/>
        </w:rPr>
        <w:t xml:space="preserve">P.Bour. </w:t>
      </w:r>
      <w:r>
        <w:rPr>
          <w:rStyle w:val="Link"/>
          <w:rtl w:val="0"/>
        </w:rPr>
        <w:t>42</w:t>
      </w:r>
      <w:r>
        <w:rPr/>
        <w:fldChar w:fldCharType="end" w:fldLock="0"/>
      </w:r>
      <w:r>
        <w:rPr>
          <w:rtl w:val="0"/>
          <w:lang w:val="en-US"/>
        </w:rPr>
        <w:t>, col. 13.296 and 14.319 (166/167 CE), among Karanis residents who farmed land in Ptolemais Nea. He is not found in the Tax Rolls (</w:t>
      </w:r>
      <w:r>
        <w:rPr>
          <w:rStyle w:val="Link"/>
        </w:rPr>
        <w:fldChar w:fldCharType="begin" w:fldLock="0"/>
      </w:r>
      <w:r>
        <w:rPr>
          <w:rStyle w:val="Link"/>
        </w:rPr>
        <w:instrText xml:space="preserve"> HYPERLINK "http://www.trismegistos.org/archive/63"</w:instrText>
      </w:r>
      <w:r>
        <w:rPr>
          <w:rStyle w:val="Link"/>
        </w:rPr>
        <w:fldChar w:fldCharType="separate" w:fldLock="0"/>
      </w:r>
      <w:r>
        <w:rPr>
          <w:rStyle w:val="Link"/>
          <w:rtl w:val="0"/>
          <w:lang w:val="de-DE"/>
        </w:rPr>
        <w:t>TM Arch 63</w:t>
      </w:r>
      <w:r>
        <w:rPr/>
        <w:fldChar w:fldCharType="end" w:fldLock="0"/>
      </w:r>
      <w:r>
        <w:rPr>
          <w:rtl w:val="0"/>
          <w:lang w:val="en-US"/>
        </w:rPr>
        <w:t xml:space="preserve">), but </w:t>
      </w:r>
      <w:r>
        <w:rPr>
          <w:rtl w:val="0"/>
        </w:rPr>
        <w:t>Θεάβενις Ἁρφαήσεως τοῦ Θεαβένεως μη</w:t>
      </w:r>
      <w:r>
        <w:rPr>
          <w:rtl w:val="0"/>
        </w:rPr>
        <w:t>(</w:t>
      </w:r>
      <w:r>
        <w:rPr>
          <w:rtl w:val="0"/>
        </w:rPr>
        <w:t>τρὸς</w:t>
      </w:r>
      <w:r>
        <w:rPr>
          <w:rtl w:val="0"/>
        </w:rPr>
        <w:t xml:space="preserve">) </w:t>
      </w:r>
      <w:r>
        <w:rPr>
          <w:rtl w:val="0"/>
        </w:rPr>
        <w:t xml:space="preserve">Θαήσεως </w:t>
      </w:r>
      <w:r>
        <w:rPr>
          <w:rtl w:val="0"/>
        </w:rPr>
        <w:t>(</w:t>
      </w:r>
      <w:r>
        <w:rPr>
          <w:rStyle w:val="Hyperlink.1"/>
        </w:rPr>
        <w:fldChar w:fldCharType="begin" w:fldLock="0"/>
      </w:r>
      <w:r>
        <w:rPr>
          <w:rStyle w:val="Hyperlink.1"/>
        </w:rPr>
        <w:instrText xml:space="preserve"> HYPERLINK "https://papyri.info/biblio/3919"</w:instrText>
      </w:r>
      <w:r>
        <w:rPr>
          <w:rStyle w:val="Hyperlink.1"/>
        </w:rPr>
        <w:fldChar w:fldCharType="separate" w:fldLock="0"/>
      </w:r>
      <w:r>
        <w:rPr>
          <w:rStyle w:val="Hyperlink.1"/>
          <w:rtl w:val="0"/>
        </w:rPr>
        <w:t xml:space="preserve">P.Mich. </w:t>
      </w:r>
      <w:r>
        <w:rPr>
          <w:rStyle w:val="Link"/>
          <w:rtl w:val="0"/>
        </w:rPr>
        <w:t>4.2</w:t>
      </w:r>
      <w:r>
        <w:rPr/>
        <w:fldChar w:fldCharType="end" w:fldLock="0"/>
      </w:r>
      <w:r>
        <w:rPr>
          <w:rtl w:val="0"/>
          <w:lang w:val="fr-FR"/>
        </w:rPr>
        <w:t xml:space="preserve"> index, p. 175; </w:t>
      </w:r>
      <w:r>
        <w:rPr>
          <w:rStyle w:val="Hyperlink.1"/>
        </w:rPr>
        <w:fldChar w:fldCharType="begin" w:fldLock="0"/>
      </w:r>
      <w:r>
        <w:rPr>
          <w:rStyle w:val="Hyperlink.1"/>
        </w:rPr>
        <w:instrText xml:space="preserve"> HYPERLINK "https://papyri.info/biblio/9030"</w:instrText>
      </w:r>
      <w:r>
        <w:rPr>
          <w:rStyle w:val="Hyperlink.1"/>
        </w:rPr>
        <w:fldChar w:fldCharType="separate" w:fldLock="0"/>
      </w:r>
      <w:r>
        <w:rPr>
          <w:rStyle w:val="Hyperlink.1"/>
          <w:rtl w:val="0"/>
          <w:lang w:val="pt-PT"/>
        </w:rPr>
        <w:t xml:space="preserve">P.Cair.Mich. </w:t>
      </w:r>
      <w:r>
        <w:rPr>
          <w:rStyle w:val="Link"/>
          <w:rtl w:val="0"/>
        </w:rPr>
        <w:t>1.2</w:t>
      </w:r>
      <w:r>
        <w:rPr/>
        <w:fldChar w:fldCharType="end" w:fldLock="0"/>
      </w:r>
      <w:r>
        <w:rPr>
          <w:rtl w:val="0"/>
          <w:lang w:val="en-US"/>
        </w:rPr>
        <w:t xml:space="preserve"> index, p. 69) is perhaps related.</w:t>
      </w:r>
    </w:p>
    <w:p>
      <w:pPr>
        <w:pStyle w:val="Text"/>
      </w:pPr>
    </w:p>
    <w:p>
      <w:pPr>
        <w:pStyle w:val="Text"/>
      </w:pPr>
      <w:r>
        <w:rPr>
          <w:rtl w:val="0"/>
        </w:rPr>
        <w:t>7</w:t>
      </w:r>
      <w:r>
        <w:rPr>
          <w:rtl w:val="0"/>
          <w:lang w:val="de-DE"/>
        </w:rPr>
        <w:t xml:space="preserve"> </w:t>
      </w:r>
      <w:r>
        <w:rPr>
          <w:rtl w:val="0"/>
          <w:lang w:val="pt-PT"/>
        </w:rPr>
        <w:t>[</w:t>
      </w:r>
      <w:r>
        <w:rPr>
          <w:rtl w:val="0"/>
        </w:rPr>
        <w:t>Μ</w:t>
      </w:r>
      <w:r>
        <w:rPr>
          <w:rtl w:val="0"/>
          <w:lang w:val="pt-PT"/>
        </w:rPr>
        <w:t>]</w:t>
      </w:r>
      <w:r>
        <w:rPr>
          <w:rtl w:val="0"/>
        </w:rPr>
        <w:t>αρίων σεσημ</w:t>
      </w:r>
      <w:r>
        <w:rPr>
          <w:rtl w:val="0"/>
        </w:rPr>
        <w:t>(</w:t>
      </w:r>
      <w:r>
        <w:rPr>
          <w:rtl w:val="0"/>
        </w:rPr>
        <w:t>είωμαι</w:t>
      </w:r>
      <w:r>
        <w:rPr>
          <w:rtl w:val="0"/>
          <w:lang w:val="en-US"/>
        </w:rPr>
        <w:t xml:space="preserve">). The signing official was the </w:t>
      </w:r>
      <w:r>
        <w:rPr>
          <w:rtl w:val="0"/>
        </w:rPr>
        <w:t xml:space="preserve">κατασπορεύς </w:t>
      </w:r>
      <w:r>
        <w:rPr>
          <w:rtl w:val="0"/>
          <w:lang w:val="en-US"/>
        </w:rPr>
        <w:t xml:space="preserve">(on whom see </w:t>
      </w:r>
      <w:r>
        <w:rPr>
          <w:rStyle w:val="Link"/>
        </w:rPr>
        <w:fldChar w:fldCharType="begin" w:fldLock="0"/>
      </w:r>
      <w:r>
        <w:rPr>
          <w:rStyle w:val="Link"/>
        </w:rPr>
        <w:instrText xml:space="preserve"> HYPERLINK "https://papyri.info/biblio/13074"</w:instrText>
      </w:r>
      <w:r>
        <w:rPr>
          <w:rStyle w:val="Link"/>
        </w:rPr>
        <w:fldChar w:fldCharType="separate" w:fldLock="0"/>
      </w:r>
      <w:r>
        <w:rPr>
          <w:rStyle w:val="Link"/>
          <w:rtl w:val="0"/>
          <w:lang w:val="fr-FR"/>
        </w:rPr>
        <w:t>Bonneau 1993</w:t>
      </w:r>
      <w:r>
        <w:rPr/>
        <w:fldChar w:fldCharType="end" w:fldLock="0"/>
      </w:r>
      <w:r>
        <w:rPr>
          <w:rtl w:val="0"/>
          <w:lang w:val="en-US"/>
        </w:rPr>
        <w:t xml:space="preserve">: 168-173), although his title is only occasionally added in subscriptions to second century penthemeros certificates. Marion also signs </w:t>
      </w:r>
      <w:r>
        <w:rPr>
          <w:rStyle w:val="Hyperlink.1"/>
        </w:rPr>
        <w:fldChar w:fldCharType="begin" w:fldLock="0"/>
      </w:r>
      <w:r>
        <w:rPr>
          <w:rStyle w:val="Hyperlink.1"/>
        </w:rPr>
        <w:instrText xml:space="preserve"> HYPERLINK "https://papyri.info/ddbdp/p.got;;1"</w:instrText>
      </w:r>
      <w:r>
        <w:rPr>
          <w:rStyle w:val="Hyperlink.1"/>
        </w:rPr>
        <w:fldChar w:fldCharType="separate" w:fldLock="0"/>
      </w:r>
      <w:r>
        <w:rPr>
          <w:rStyle w:val="Hyperlink.1"/>
          <w:rtl w:val="0"/>
        </w:rPr>
        <w:t xml:space="preserve">P.Got. </w:t>
      </w:r>
      <w:r>
        <w:rPr>
          <w:rStyle w:val="Link"/>
          <w:rtl w:val="0"/>
        </w:rPr>
        <w:t>1</w:t>
      </w:r>
      <w:r>
        <w:rPr/>
        <w:fldChar w:fldCharType="end" w:fldLock="0"/>
      </w:r>
      <w:r>
        <w:rPr>
          <w:rtl w:val="0"/>
          <w:lang w:val="en-US"/>
        </w:rPr>
        <w:t xml:space="preserve"> (4 June, 140 CE). A Marion </w:t>
      </w:r>
      <w:r>
        <w:rPr>
          <w:rtl w:val="0"/>
        </w:rPr>
        <w:t xml:space="preserve">κατασπορεύς </w:t>
      </w:r>
      <w:r>
        <w:rPr>
          <w:rtl w:val="0"/>
          <w:lang w:val="en-US"/>
        </w:rPr>
        <w:t xml:space="preserve">is found 30 years earlier in </w:t>
      </w:r>
      <w:r>
        <w:rPr>
          <w:rStyle w:val="Hyperlink.1"/>
        </w:rPr>
        <w:fldChar w:fldCharType="begin" w:fldLock="0"/>
      </w:r>
      <w:r>
        <w:rPr>
          <w:rStyle w:val="Hyperlink.1"/>
        </w:rPr>
        <w:instrText xml:space="preserve"> HYPERLINK "https://papyri.info/ddbdp/p.kron;;25"</w:instrText>
      </w:r>
      <w:r>
        <w:rPr>
          <w:rStyle w:val="Hyperlink.1"/>
        </w:rPr>
        <w:fldChar w:fldCharType="separate" w:fldLock="0"/>
      </w:r>
      <w:r>
        <w:rPr>
          <w:rStyle w:val="Hyperlink.1"/>
          <w:rtl w:val="0"/>
        </w:rPr>
        <w:t xml:space="preserve">P.Kron. </w:t>
      </w:r>
      <w:r>
        <w:rPr>
          <w:rStyle w:val="Link"/>
          <w:rtl w:val="0"/>
        </w:rPr>
        <w:t>25</w:t>
      </w:r>
      <w:r>
        <w:rPr/>
        <w:fldChar w:fldCharType="end" w:fldLock="0"/>
      </w:r>
      <w:r>
        <w:rPr>
          <w:rtl w:val="0"/>
          <w:lang w:val="en-US"/>
        </w:rPr>
        <w:t>.13 (Tebtynis, 110 CE), conceivably the same man but certainly not in office continuously, since by this period the position was liturgical with one-year terms the norm (</w:t>
      </w:r>
      <w:r>
        <w:rPr>
          <w:rStyle w:val="Link"/>
        </w:rPr>
        <w:fldChar w:fldCharType="begin" w:fldLock="0"/>
      </w:r>
      <w:r>
        <w:rPr>
          <w:rStyle w:val="Link"/>
        </w:rPr>
        <w:instrText xml:space="preserve"> HYPERLINK "https://papyri.info/biblio/13074"</w:instrText>
      </w:r>
      <w:r>
        <w:rPr>
          <w:rStyle w:val="Link"/>
        </w:rPr>
        <w:fldChar w:fldCharType="separate" w:fldLock="0"/>
      </w:r>
      <w:r>
        <w:rPr>
          <w:rStyle w:val="Link"/>
          <w:rtl w:val="0"/>
          <w:lang w:val="fr-FR"/>
        </w:rPr>
        <w:t>Bonneau 1993</w:t>
      </w:r>
      <w:r>
        <w:rPr/>
        <w:fldChar w:fldCharType="end" w:fldLock="0"/>
      </w:r>
      <w:r>
        <w:rPr>
          <w:rtl w:val="0"/>
        </w:rPr>
        <w:t>: 169-170).</w:t>
      </w:r>
    </w:p>
    <w:p>
      <w:pPr>
        <w:pStyle w:val="Text"/>
      </w:pPr>
    </w:p>
    <w:p>
      <w:pPr>
        <w:pStyle w:val="Text"/>
      </w:pPr>
      <w:r>
        <w:rPr>
          <w:rtl w:val="0"/>
          <w:lang w:val="de-DE"/>
        </w:rPr>
        <w:t>#b</w:t>
      </w:r>
      <w:r>
        <w:rPr>
          <w:rtl w:val="0"/>
          <w:lang w:val="fr-FR"/>
        </w:rPr>
        <w:t>ibliography</w:t>
      </w:r>
    </w:p>
    <w:p>
      <w:pPr>
        <w:pStyle w:val="Text"/>
      </w:pPr>
      <w:r>
        <w:rPr>
          <w:rStyle w:val="Link"/>
        </w:rPr>
        <w:fldChar w:fldCharType="begin" w:fldLock="0"/>
      </w:r>
      <w:r>
        <w:rPr>
          <w:rStyle w:val="Link"/>
        </w:rPr>
        <w:instrText xml:space="preserve"> HYPERLINK "https://papyri.info/biblio/13074"</w:instrText>
      </w:r>
      <w:r>
        <w:rPr>
          <w:rStyle w:val="Link"/>
        </w:rPr>
        <w:fldChar w:fldCharType="separate" w:fldLock="0"/>
      </w:r>
      <w:r>
        <w:rPr>
          <w:rStyle w:val="Link"/>
          <w:rtl w:val="0"/>
          <w:lang w:val="fr-FR"/>
        </w:rPr>
        <w:t>Bonneau, D. (1993)</w:t>
      </w:r>
      <w:r>
        <w:rPr/>
        <w:fldChar w:fldCharType="end" w:fldLock="0"/>
      </w:r>
      <w:r>
        <w:rPr>
          <w:rtl w:val="0"/>
          <w:lang w:val="fr-FR"/>
        </w:rPr>
        <w:t xml:space="preserve"> Le r</w:t>
      </w:r>
      <w:r>
        <w:rPr>
          <w:rtl w:val="0"/>
          <w:lang w:val="fr-FR"/>
        </w:rPr>
        <w:t>é</w:t>
      </w:r>
      <w:r>
        <w:rPr>
          <w:rtl w:val="0"/>
          <w:lang w:val="fr-FR"/>
        </w:rPr>
        <w:t>gime administratif de l'eau du Nil dans l'</w:t>
      </w:r>
      <w:r>
        <w:rPr>
          <w:rtl w:val="0"/>
          <w:lang w:val="fr-FR"/>
        </w:rPr>
        <w:t>É</w:t>
      </w:r>
      <w:r>
        <w:rPr>
          <w:rtl w:val="0"/>
          <w:lang w:val="fr-FR"/>
        </w:rPr>
        <w:t>gypte grecque, romaine et byzantine. Leiden.</w:t>
      </w:r>
    </w:p>
    <w:p>
      <w:pPr>
        <w:pStyle w:val="Text"/>
      </w:pPr>
      <w:r>
        <w:rPr>
          <w:rStyle w:val="Link"/>
        </w:rPr>
        <w:fldChar w:fldCharType="begin" w:fldLock="0"/>
      </w:r>
      <w:r>
        <w:rPr>
          <w:rStyle w:val="Link"/>
        </w:rPr>
        <w:instrText xml:space="preserve"> HYPERLINK "https://papyri.info/biblio/96032"</w:instrText>
      </w:r>
      <w:r>
        <w:rPr>
          <w:rStyle w:val="Link"/>
        </w:rPr>
        <w:fldChar w:fldCharType="separate" w:fldLock="0"/>
      </w:r>
      <w:r>
        <w:rPr>
          <w:rStyle w:val="Link"/>
          <w:rtl w:val="0"/>
        </w:rPr>
        <w:t>Claytor, W.G. (2017)</w:t>
      </w:r>
      <w:r>
        <w:rPr/>
        <w:fldChar w:fldCharType="end" w:fldLock="0"/>
      </w:r>
      <w:r>
        <w:rPr>
          <w:rtl w:val="0"/>
          <w:lang w:val="pt-PT"/>
        </w:rPr>
        <w:t xml:space="preserve"> “</w:t>
      </w:r>
      <w:r>
        <w:rPr>
          <w:rtl w:val="0"/>
          <w:lang w:val="en-US"/>
        </w:rPr>
        <w:t>More Penthemeros Certificates from Karanis,</w:t>
      </w:r>
      <w:r>
        <w:rPr>
          <w:rtl w:val="0"/>
        </w:rPr>
        <w:t xml:space="preserve">” </w:t>
      </w:r>
      <w:r>
        <w:rPr>
          <w:rtl w:val="0"/>
        </w:rPr>
        <w:t xml:space="preserve">BASP </w:t>
      </w:r>
      <w:r>
        <w:rPr>
          <w:rtl w:val="0"/>
        </w:rPr>
        <w:t>54, 83-102.</w:t>
      </w:r>
    </w:p>
    <w:p>
      <w:pPr>
        <w:pStyle w:val="Text"/>
      </w:pPr>
      <w:r>
        <w:rPr>
          <w:rStyle w:val="Link"/>
        </w:rPr>
        <w:fldChar w:fldCharType="begin" w:fldLock="0"/>
      </w:r>
      <w:r>
        <w:rPr>
          <w:rStyle w:val="Link"/>
        </w:rPr>
        <w:instrText xml:space="preserve"> HYPERLINK "https://papyri.info/biblio/6629"</w:instrText>
      </w:r>
      <w:r>
        <w:rPr>
          <w:rStyle w:val="Link"/>
        </w:rPr>
        <w:fldChar w:fldCharType="separate" w:fldLock="0"/>
      </w:r>
      <w:r>
        <w:rPr>
          <w:rStyle w:val="Link"/>
          <w:rtl w:val="0"/>
          <w:lang w:val="nl-NL"/>
        </w:rPr>
        <w:t>Sijpesteijn, P.J. (1964)</w:t>
      </w:r>
      <w:r>
        <w:rPr/>
        <w:fldChar w:fldCharType="end" w:fldLock="0"/>
      </w:r>
      <w:r>
        <w:rPr>
          <w:rtl w:val="0"/>
          <w:lang w:val="nl-NL"/>
        </w:rPr>
        <w:t xml:space="preserve"> Penthemeros-Certificates in Graeco-Roman Egypt. Leiden.</w:t>
      </w:r>
    </w:p>
    <w:p>
      <w:pPr>
        <w:pStyle w:val="Text"/>
      </w:pPr>
      <w:r>
        <w:rPr>
          <w:rStyle w:val="Link"/>
        </w:rPr>
        <w:fldChar w:fldCharType="begin" w:fldLock="0"/>
      </w:r>
      <w:r>
        <w:rPr>
          <w:rStyle w:val="Link"/>
        </w:rPr>
        <w:instrText xml:space="preserve"> HYPERLINK "https://papyri.info/biblio/73714"</w:instrText>
      </w:r>
      <w:r>
        <w:rPr>
          <w:rStyle w:val="Link"/>
        </w:rPr>
        <w:fldChar w:fldCharType="separate" w:fldLock="0"/>
      </w:r>
      <w:r>
        <w:rPr>
          <w:rStyle w:val="Link"/>
          <w:rtl w:val="0"/>
        </w:rPr>
        <w:t>Vandorpe, K. (2004)</w:t>
      </w:r>
      <w:r>
        <w:rPr/>
        <w:fldChar w:fldCharType="end" w:fldLock="0"/>
      </w:r>
      <w:r>
        <w:rPr>
          <w:rtl w:val="0"/>
          <w:lang w:val="pt-PT"/>
        </w:rPr>
        <w:t xml:space="preserve"> “</w:t>
      </w:r>
      <w:r>
        <w:rPr>
          <w:rtl w:val="0"/>
          <w:lang w:val="en-US"/>
        </w:rPr>
        <w:t>The Henet of Moeris and the Ancient Administrative Division of the Fayum in Two Parts,</w:t>
      </w:r>
      <w:r>
        <w:rPr>
          <w:rtl w:val="0"/>
        </w:rPr>
        <w:t xml:space="preserve">” </w:t>
      </w:r>
      <w:r>
        <w:rPr>
          <w:rtl w:val="0"/>
        </w:rPr>
        <w:t xml:space="preserve">APF </w:t>
      </w:r>
      <w:r>
        <w:rPr>
          <w:rtl w:val="0"/>
        </w:rPr>
        <w:t>50, 61-78.</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2">
    <w:name w:val="Überschrift 2"/>
    <w:next w:val="Text"/>
    <w:pPr>
      <w:keepNext w:val="1"/>
      <w:keepLines w:val="1"/>
      <w:pageBreakBefore w:val="0"/>
      <w:widowControl w:val="1"/>
      <w:shd w:val="clear" w:color="auto" w:fill="auto"/>
      <w:suppressAutoHyphens w:val="0"/>
      <w:bidi w:val="0"/>
      <w:spacing w:before="40" w:after="0" w:line="240" w:lineRule="auto"/>
      <w:ind w:left="0"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AegTrevPapykopf">
    <w:name w:val="AegTrevPapykopf"/>
    <w:next w:val="AegTrevPapykopf"/>
    <w:pPr>
      <w:keepNext w:val="0"/>
      <w:keepLines w:val="0"/>
      <w:pageBreakBefore w:val="0"/>
      <w:widowControl w:val="1"/>
      <w:shd w:val="clear" w:color="auto" w:fill="auto"/>
      <w:tabs>
        <w:tab w:val="center" w:pos="4536"/>
        <w:tab w:val="right" w:pos="9072"/>
      </w:tabs>
      <w:suppressAutoHyphens w:val="0"/>
      <w:bidi w:val="0"/>
      <w:spacing w:before="0" w:after="0" w:line="240" w:lineRule="exact"/>
      <w:ind w:left="0" w:right="7" w:firstLine="0"/>
      <w:jc w:val="both"/>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sz w:val="24"/>
      <w:szCs w:val="24"/>
      <w:lang w:val="en-US"/>
    </w:rPr>
  </w:style>
  <w:style w:type="character" w:styleId="Hyperlink.1">
    <w:name w:val="Hyperlink.1"/>
    <w:basedOn w:val="Link"/>
    <w:next w:val="Hyperlink.1"/>
    <w:rPr>
      <w:i w:val="1"/>
      <w:iCs w:val="1"/>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