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0" w:lineRule="exact"/>
      </w:pPr>
      <w:r>
        <w:rPr>
          <w:rtl w:val="0"/>
          <w:lang w:val="de-DE"/>
        </w:rPr>
        <w:t>#articleTitle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Gewerbesteuerquittung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einen Zimmerman aus der Frankfurter Papyrussammlung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</w:pPr>
      <w:r>
        <w:rPr>
          <w:rtl w:val="0"/>
          <w:lang w:val="de-DE"/>
        </w:rPr>
        <w:t>#author</w:t>
      </w:r>
    </w:p>
    <w:p>
      <w:pPr>
        <w:pStyle w:val="Body"/>
      </w:pPr>
      <w:r>
        <w:rPr>
          <w:rtl w:val="0"/>
          <w:lang w:val="de-DE"/>
        </w:rPr>
        <w:t>Claytor, W. Graham</w:t>
      </w:r>
    </w:p>
    <w:p>
      <w:pPr>
        <w:pStyle w:val="Body"/>
      </w:pPr>
      <w:r>
        <w:rPr>
          <w:rtl w:val="0"/>
          <w:lang w:val="de-DE"/>
        </w:rPr>
        <w:t>#affiliation</w:t>
      </w:r>
    </w:p>
    <w:p>
      <w:pPr>
        <w:pStyle w:val="footnote text"/>
        <w:spacing w:line="360" w:lineRule="auto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  <w:r>
        <w:rPr>
          <w:rFonts w:ascii="IFAO-Grec Unicode" w:hAnsi="IFAO-Grec Unicode"/>
          <w:sz w:val="24"/>
          <w:szCs w:val="24"/>
          <w:rtl w:val="0"/>
          <w:lang w:val="en-US"/>
          <w14:textOutline>
            <w14:noFill/>
          </w14:textOutline>
        </w:rPr>
        <w:t>Faculty of Archaeology Department of Papyrology, University of Warsaw</w:t>
      </w:r>
    </w:p>
    <w:p>
      <w:pPr>
        <w:pStyle w:val="Body"/>
      </w:pPr>
      <w:r>
        <w:rPr>
          <w:rtl w:val="0"/>
          <w:lang w:val="de-DE"/>
        </w:rPr>
        <w:t>#email</w:t>
      </w:r>
    </w:p>
    <w:p>
      <w:pPr>
        <w:pStyle w:val="Body"/>
      </w:pPr>
      <w:r>
        <w:rPr>
          <w:rtl w:val="0"/>
        </w:rPr>
        <w:t>gclaytor@gmail.com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5"/>
        <w:gridCol w:w="3015"/>
        <w:gridCol w:w="3016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</w:pPr>
            <w:r>
              <w:rPr>
                <w:rtl w:val="0"/>
                <w:lang w:val="de-DE"/>
              </w:rPr>
              <w:t>P.Frankfurt Inv. 86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center"/>
            </w:pPr>
            <w:r>
              <w:rPr>
                <w:rtl w:val="0"/>
                <w:lang w:val="de-DE"/>
              </w:rPr>
              <w:t xml:space="preserve">7,5 (H) </w:t>
            </w:r>
            <w:r>
              <w:rPr>
                <w:rtl w:val="0"/>
                <w:lang w:val="de-DE"/>
              </w:rPr>
              <w:t xml:space="preserve">× </w:t>
            </w:r>
            <w:r>
              <w:rPr>
                <w:rtl w:val="0"/>
                <w:lang w:val="de-DE"/>
              </w:rPr>
              <w:t>8 (B) cm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right"/>
            </w:pPr>
            <w:r>
              <w:rPr>
                <w:rtl w:val="0"/>
                <w:lang w:val="de-DE"/>
              </w:rPr>
              <w:t>31. Aug. oder 1. Sept.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60" w:lineRule="exact"/>
            </w:pPr>
            <w:r>
              <w:rPr>
                <w:rtl w:val="0"/>
                <w:lang w:val="de-DE"/>
              </w:rPr>
              <w:t>Arsinoites (?)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right"/>
            </w:pPr>
            <w:r>
              <w:rPr>
                <w:rtl w:val="0"/>
                <w:lang w:val="de-DE"/>
              </w:rPr>
              <w:t>138</w:t>
            </w:r>
            <w:r>
              <w:rPr>
                <w:rtl w:val="0"/>
              </w:rPr>
              <w:t>–</w:t>
            </w:r>
            <w:r>
              <w:rPr>
                <w:rtl w:val="0"/>
                <w:lang w:val="de-DE"/>
              </w:rPr>
              <w:t>161 n.Chr.</w:t>
            </w:r>
          </w:p>
        </w:tc>
      </w:tr>
    </w:tbl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tabs>
          <w:tab w:val="right" w:pos="9046"/>
        </w:tabs>
        <w:spacing w:line="260" w:lineRule="exact"/>
        <w:ind w:left="3969" w:hanging="3969"/>
        <w:jc w:val="center"/>
      </w:pPr>
    </w:p>
    <w:p>
      <w:pPr>
        <w:pStyle w:val="Body"/>
        <w:tabs>
          <w:tab w:val="right" w:pos="9046"/>
        </w:tabs>
        <w:spacing w:line="260" w:lineRule="exact"/>
        <w:ind w:left="3969" w:hanging="3969"/>
        <w:jc w:val="center"/>
      </w:pPr>
    </w:p>
    <w:p>
      <w:pPr>
        <w:pStyle w:val="Body"/>
        <w:tabs>
          <w:tab w:val="right" w:pos="9046"/>
        </w:tabs>
        <w:spacing w:line="260" w:lineRule="exact"/>
        <w:ind w:left="3969" w:hanging="3969"/>
      </w:pPr>
    </w:p>
    <w:p>
      <w:pPr>
        <w:pStyle w:val="Body"/>
        <w:spacing w:line="260" w:lineRule="exact"/>
      </w:pPr>
      <w:r>
        <w:tab/>
      </w:r>
      <w:bookmarkStart w:name="_Hlk133097935" w:id="0"/>
      <w:r>
        <w:rPr>
          <w:rtl w:val="0"/>
          <w:lang w:val="de-DE"/>
        </w:rPr>
        <w:t xml:space="preserve">P.Frankfurt </w:t>
      </w:r>
      <w:r>
        <w:rPr>
          <w:rtl w:val="0"/>
          <w:lang w:val="de-DE"/>
        </w:rPr>
        <w:t>i</w:t>
      </w:r>
      <w:r>
        <w:rPr>
          <w:rtl w:val="0"/>
          <w:lang w:val="de-DE"/>
        </w:rPr>
        <w:t>nv. 86</w:t>
      </w:r>
      <w:r>
        <w:rPr>
          <w:vertAlign w:val="superscript"/>
          <w:lang w:val="de-DE"/>
        </w:rPr>
        <w:footnoteReference w:id="1"/>
      </w:r>
      <w:bookmarkEnd w:id="0"/>
      <w:r>
        <w:rPr>
          <w:lang w:val="de-DE"/>
        </w:rPr>
        <w:tab/>
        <w:tab/>
        <w:tab/>
      </w:r>
    </w:p>
    <w:p>
      <w:pPr>
        <w:pStyle w:val="Body"/>
        <w:spacing w:line="260" w:lineRule="exact"/>
      </w:pPr>
      <w:r>
        <w:tab/>
      </w:r>
      <w:bookmarkStart w:name="_Hlk1330979352" w:id="1"/>
      <w:r>
        <w:rPr>
          <w:rtl w:val="0"/>
          <w:lang w:val="de-DE"/>
        </w:rPr>
        <w:t>Die Papyrussammlung der Goethe-Universit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Frankfurt besteht haupts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chlich aus ptolem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 Dokumenten, die Mumienkartonage entnommen wurden, sowie einer Handvoll sp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tantiker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cke.</w:t>
      </w:r>
      <w:r>
        <w:rPr>
          <w:vertAlign w:val="superscript"/>
          <w:lang w:val="de-DE"/>
        </w:rPr>
        <w:footnoteReference w:id="2"/>
      </w:r>
      <w:r>
        <w:rPr>
          <w:rtl w:val="0"/>
          <w:lang w:val="de-DE"/>
        </w:rPr>
        <w:t xml:space="preserve"> </w:t>
      </w:r>
      <w:r>
        <w:rPr>
          <w:shd w:val="clear" w:color="auto" w:fill="ffff00"/>
          <w:rtl w:val="0"/>
          <w:lang w:val="de-DE"/>
        </w:rPr>
        <w:t>Einer der wenigen Papyri</w:t>
      </w:r>
      <w:r>
        <w:rPr>
          <w:rtl w:val="0"/>
          <w:lang w:val="de-DE"/>
        </w:rPr>
        <w:t xml:space="preserve"> aus der 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mischen Zeit, die vor kurzem bei einem Besuch der Sammlung identifiziert wurden, ist die hier edierte Gewerbesteuerquittung.</w:t>
      </w:r>
      <w:r>
        <w:rPr>
          <w:vertAlign w:val="superscript"/>
          <w:lang w:val="de-DE"/>
        </w:rPr>
        <w:footnoteReference w:id="3"/>
      </w:r>
    </w:p>
    <w:p>
      <w:pPr>
        <w:pStyle w:val="Body"/>
        <w:spacing w:line="260" w:lineRule="exact"/>
        <w:ind w:firstLine="720"/>
      </w:pPr>
      <w:r>
        <w:rPr>
          <w:rtl w:val="0"/>
          <w:lang w:val="de-DE"/>
        </w:rPr>
        <w:t xml:space="preserve">Auch wenn die Steuer in ganz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gypten erhoben wurde,</w:t>
      </w:r>
      <w:r>
        <w:rPr>
          <w:vertAlign w:val="superscript"/>
          <w:lang w:val="de-DE"/>
        </w:rPr>
        <w:footnoteReference w:id="4"/>
      </w:r>
      <w:r>
        <w:rPr>
          <w:rtl w:val="0"/>
          <w:lang w:val="de-DE"/>
        </w:rPr>
        <w:t xml:space="preserve"> finden sich Quittungen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>vor allem in Ostraka aus Elephantine,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hrend diejenigen auf Papyrus fast ausschlie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lich aus dem Arsinoites stammen.</w:t>
      </w:r>
      <w:r>
        <w:rPr>
          <w:vertAlign w:val="superscript"/>
          <w:lang w:val="de-DE"/>
        </w:rPr>
        <w:footnoteReference w:id="5"/>
      </w:r>
      <w:r>
        <w:rPr>
          <w:rtl w:val="0"/>
          <w:lang w:val="de-DE"/>
        </w:rPr>
        <w:t xml:space="preserve"> </w:t>
      </w:r>
      <w:bookmarkEnd w:id="1"/>
      <w:r>
        <w:rPr>
          <w:rtl w:val="0"/>
          <w:lang w:val="de-DE"/>
        </w:rPr>
        <w:t>Die arsinoitische Herkunft des Frankfurter Papyrus ist wahrscheinlich, aber nicht sicher.</w:t>
      </w:r>
    </w:p>
    <w:p>
      <w:pPr>
        <w:pStyle w:val="Body"/>
        <w:spacing w:line="260" w:lineRule="exact"/>
        <w:ind w:firstLine="720"/>
      </w:pPr>
      <w:r>
        <w:rPr>
          <w:rtl w:val="0"/>
          <w:lang w:val="de-DE"/>
        </w:rPr>
        <w:t xml:space="preserve">Neu ist die Verbindung von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mit einem </w:t>
      </w:r>
      <w:r>
        <w:rPr>
          <w:rtl w:val="0"/>
          <w:lang w:val="de-DE"/>
        </w:rPr>
        <w:t xml:space="preserve">τέκτων </w:t>
      </w:r>
      <w:r>
        <w:rPr>
          <w:rtl w:val="0"/>
          <w:lang w:val="de-DE"/>
        </w:rPr>
        <w:t xml:space="preserve">in einer Quittung, aber aus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"https://papyri.info/ddbdp/p.phil%3B%3B1"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P.Phil. 1</w:t>
      </w:r>
      <w:r>
        <w:rPr/>
        <w:fldChar w:fldCharType="end" w:fldLock="0"/>
      </w:r>
      <w:r>
        <w:rPr>
          <w:rtl w:val="0"/>
          <w:lang w:val="de-DE"/>
        </w:rPr>
        <w:t>, Z. 26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34 war schon bekannt, dass neben Walkern, Goldschmieden und anderen Fachm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nnern auch Zimmerleute das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entrichteten und dadurch von anderen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ffentlichen Abgaben befreit wurden.</w:t>
      </w:r>
      <w:r>
        <w:rPr>
          <w:vertAlign w:val="superscript"/>
          <w:lang w:val="de-DE"/>
        </w:rPr>
        <w:footnoteReference w:id="6"/>
      </w:r>
      <w:r>
        <w:rPr>
          <w:rtl w:val="0"/>
          <w:lang w:val="de-DE"/>
        </w:rPr>
        <w:t xml:space="preserve"> Dar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hinaus mu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 xml:space="preserve">die Gewerbesteuer nicht unbedingt mit dem Begriff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bezeichnet worden sein. Zwei Quittungen an Zimmerleute wurden schon in diesem Sinne interpretiert: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"https://www.trismegistos.org/text/28440"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P.Tebt. 2 455 descr.</w:t>
      </w:r>
      <w:r>
        <w:rPr/>
        <w:fldChar w:fldCharType="end" w:fldLock="0"/>
      </w:r>
      <w:r>
        <w:rPr>
          <w:rtl w:val="0"/>
          <w:lang w:val="de-DE"/>
        </w:rPr>
        <w:t xml:space="preserve"> und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"https://papyri.info/ddbdp/p.vind.sal%3B%3B13"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P.Vind.Sal. 13</w:t>
      </w:r>
      <w:r>
        <w:rPr/>
        <w:fldChar w:fldCharType="end" w:fldLock="0"/>
      </w:r>
      <w:r>
        <w:rPr>
          <w:rtl w:val="0"/>
          <w:lang w:val="de-DE"/>
        </w:rPr>
        <w:t xml:space="preserve">. Die erstere berichtet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Zahlungen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δημόσια</w:t>
      </w:r>
      <w:r>
        <w:rPr>
          <w:rtl w:val="0"/>
          <w:lang w:val="de-DE"/>
        </w:rPr>
        <w:t>, die von den Zimmerleuten von Tebtynis geleistet wurden (Z. 3),</w:t>
      </w:r>
      <w:r>
        <w:rPr>
          <w:vertAlign w:val="superscript"/>
          <w:lang w:val="de-DE"/>
        </w:rPr>
        <w:footnoteReference w:id="7"/>
      </w:r>
      <w:r>
        <w:rPr>
          <w:rtl w:val="0"/>
          <w:lang w:val="de-DE"/>
        </w:rPr>
        <w:t xml:space="preserve"> die letztere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Zahlungen eines Zimmermanns in Hephaistias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τέλος</w:t>
      </w:r>
      <w:r>
        <w:rPr>
          <w:rtl w:val="0"/>
          <w:lang w:val="de-DE"/>
        </w:rPr>
        <w:t>, in 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he von 28 Drachmen pro Jahr. </w:t>
      </w:r>
      <w:r>
        <w:rPr>
          <w:rtl w:val="0"/>
          <w:lang w:val="de-DE"/>
        </w:rPr>
        <w:t>Ε</w:t>
      </w:r>
      <w:r>
        <w:rPr>
          <w:rtl w:val="0"/>
          <w:lang w:val="de-DE"/>
        </w:rPr>
        <w:t>ine Zahlung in der letzteren Quittung betr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gt 12 Drachmen, was vielleicht darauf hindeutet, dass es sich bei dem in der vorliegenden Quittung gezahlten Betrag ebenfalls um eine Ratenzahlung handelt.</w:t>
      </w:r>
      <w:r>
        <w:rPr>
          <w:vertAlign w:val="superscript"/>
          <w:lang w:val="de-DE"/>
        </w:rPr>
        <w:footnoteReference w:id="8"/>
      </w:r>
      <w:r>
        <w:rPr>
          <w:rtl w:val="0"/>
          <w:lang w:val="de-DE"/>
        </w:rPr>
        <w:t xml:space="preserve"> </w:t>
      </w:r>
    </w:p>
    <w:p>
      <w:pPr>
        <w:pStyle w:val="Body"/>
        <w:spacing w:line="260" w:lineRule="exact"/>
        <w:rPr>
          <w:sz w:val="20"/>
          <w:szCs w:val="20"/>
        </w:rPr>
      </w:pPr>
      <w:r>
        <w:rPr>
          <w:rtl w:val="0"/>
          <w:lang w:val="de-DE"/>
        </w:rPr>
        <w:tab/>
        <w:t>Der Papyrus ist fragmentarisch erhalten, aber die 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 sind oben (1,8 cm), unten (2 cm) und rechts vorhanden. Die Schrift verl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 parallel zu den Fasern; die 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ckseite ist leer.</w:t>
      </w:r>
    </w:p>
    <w:p>
      <w:pPr>
        <w:pStyle w:val="Body"/>
        <w:spacing w:line="260" w:lineRule="exact"/>
        <w:rPr>
          <w:sz w:val="20"/>
          <w:szCs w:val="20"/>
          <w:lang w:val="de-DE"/>
        </w:rPr>
      </w:pPr>
    </w:p>
    <w:p>
      <w:pPr>
        <w:pStyle w:val="Body"/>
      </w:pPr>
      <w:r>
        <w:rPr>
          <w:rtl w:val="0"/>
          <w:lang w:val="de-DE"/>
        </w:rPr>
        <w:t>#editionDDB</w:t>
      </w:r>
    </w:p>
    <w:p>
      <w:pPr>
        <w:pStyle w:val="Body"/>
        <w:rPr>
          <w:sz w:val="20"/>
          <w:szCs w:val="20"/>
        </w:rPr>
      </w:pPr>
      <w:r>
        <w:rPr>
          <w:rtl w:val="0"/>
          <w:lang w:val="de-DE"/>
        </w:rPr>
        <w:t>#metadata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23"/>
        <w:gridCol w:w="4523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Material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Papyrus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rtl w:val="0"/>
              </w:rPr>
              <w:t xml:space="preserve">Dimensions: height 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7.5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rtl w:val="0"/>
              </w:rPr>
              <w:t>Dimensions: width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TM number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704976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Descriptive title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Heading 2"/>
              <w:keepLines w:val="1"/>
              <w:bidi w:val="0"/>
              <w:spacing w:before="4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Gewerbesteuerquittung f</w:t>
            </w:r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ü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r einen Zimmerman aus der Frankfurter Papyrussammlung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Date of text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138-161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Provenance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Arsinoites (?)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Inventory no.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P.Frankfurt Inv. 86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Keywords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Quittung, Steuer</w:t>
            </w:r>
          </w:p>
        </w:tc>
      </w:tr>
    </w:tbl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spacing w:line="260" w:lineRule="exact"/>
        <w:rPr>
          <w:sz w:val="20"/>
          <w:szCs w:val="20"/>
          <w:lang w:val="de-DE"/>
        </w:rPr>
      </w:pPr>
    </w:p>
    <w:p>
      <w:pPr>
        <w:pStyle w:val="Body"/>
        <w:spacing w:line="260" w:lineRule="exact"/>
      </w:pPr>
      <w:r>
        <w:rPr>
          <w:rtl w:val="0"/>
          <w:lang w:val="de-DE"/>
        </w:rPr>
        <w:t>#text</w:t>
      </w:r>
    </w:p>
    <w:p>
      <w:pPr>
        <w:pStyle w:val="Body"/>
        <w:spacing w:line="260" w:lineRule="exact"/>
      </w:pPr>
      <w:r>
        <w:rPr>
          <w:rtl w:val="0"/>
        </w:rPr>
        <w:t>&lt;S=.grc</w:t>
      </w:r>
    </w:p>
    <w:p>
      <w:pPr>
        <w:pStyle w:val="Body"/>
        <w:spacing w:line="260" w:lineRule="exact"/>
      </w:pPr>
      <w:r>
        <w:rPr>
          <w:rtl w:val="0"/>
        </w:rPr>
        <w:t>&lt;=</w:t>
      </w:r>
    </w:p>
    <w:p>
      <w:pPr>
        <w:pStyle w:val="Body"/>
        <w:spacing w:line="260" w:lineRule="exact"/>
      </w:pPr>
      <w:r>
        <w:rPr>
          <w:rtl w:val="0"/>
          <w:lang w:val="de-DE"/>
        </w:rPr>
        <w:t>1. [</w:t>
      </w:r>
      <w:r>
        <w:rPr>
          <w:rtl w:val="0"/>
          <w:lang w:val="de-DE"/>
        </w:rPr>
        <w:t>ἔτους</w:t>
      </w:r>
      <w:r>
        <w:rPr>
          <w:rtl w:val="0"/>
          <w:lang w:val="de-DE"/>
        </w:rPr>
        <w:t xml:space="preserve">] [ca.4].1[ca.3] </w:t>
      </w:r>
      <w:r>
        <w:rPr>
          <w:rtl w:val="0"/>
          <w:lang w:val="de-DE"/>
        </w:rPr>
        <w:t>Α̣ὐ</w:t>
      </w:r>
      <w:r>
        <w:rPr>
          <w:rtl w:val="0"/>
        </w:rPr>
        <w:t>̣</w:t>
      </w:r>
      <w:r>
        <w:rPr>
          <w:rtl w:val="0"/>
          <w:lang w:val="de-DE"/>
        </w:rPr>
        <w:t>τ̣ο̣κ̣ράτορος Καίσαρ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ος</w:t>
      </w:r>
      <w:r>
        <w:rPr>
          <w:rtl w:val="0"/>
          <w:lang w:val="de-DE"/>
        </w:rPr>
        <w:t>]</w:t>
      </w:r>
    </w:p>
    <w:p>
      <w:pPr>
        <w:pStyle w:val="Body"/>
        <w:spacing w:line="260" w:lineRule="exact"/>
      </w:pPr>
      <w:r>
        <w:rPr>
          <w:rtl w:val="0"/>
          <w:lang w:val="de-DE"/>
        </w:rPr>
        <w:t>2. [</w:t>
      </w:r>
      <w:r>
        <w:rPr>
          <w:rtl w:val="0"/>
          <w:lang w:val="de-DE"/>
        </w:rPr>
        <w:t>Τίτου Αἰλίου</w:t>
      </w:r>
      <w:r>
        <w:rPr>
          <w:rtl w:val="0"/>
          <w:lang w:val="de-DE"/>
        </w:rPr>
        <w:t xml:space="preserve">] </w:t>
      </w:r>
      <w:r>
        <w:rPr>
          <w:rtl w:val="0"/>
        </w:rPr>
        <w:t>Ἁ̣</w:t>
      </w:r>
      <w:r>
        <w:rPr>
          <w:rtl w:val="0"/>
          <w:lang w:val="de-DE"/>
        </w:rPr>
        <w:t>δριανοῦ Ἀντωνείνου</w:t>
      </w:r>
    </w:p>
    <w:p>
      <w:pPr>
        <w:pStyle w:val="Body"/>
        <w:spacing w:line="260" w:lineRule="exact"/>
      </w:pPr>
      <w:r>
        <w:rPr>
          <w:rtl w:val="0"/>
          <w:lang w:val="de-DE"/>
        </w:rPr>
        <w:t>3. [</w:t>
      </w:r>
      <w:r>
        <w:rPr>
          <w:rtl w:val="0"/>
          <w:lang w:val="de-DE"/>
        </w:rPr>
        <w:t>Σε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β̣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αστοῦ</w:t>
      </w:r>
      <w:r>
        <w:rPr>
          <w:rtl w:val="0"/>
          <w:lang w:val="de-DE"/>
        </w:rPr>
        <w:t xml:space="preserve">] </w:t>
      </w:r>
      <w:r>
        <w:rPr>
          <w:rtl w:val="0"/>
          <w:lang w:val="de-DE"/>
        </w:rPr>
        <w:t>Ε̣ὐ̣σ̣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ε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 xml:space="preserve">β̣ο̣ῦ̣ς̣ Θωθ </w:t>
      </w:r>
      <w:r>
        <w:rPr>
          <w:rtl w:val="0"/>
          <w:lang w:val="de-DE"/>
        </w:rPr>
        <w:t>&lt;#</w:t>
      </w:r>
      <w:r>
        <w:rPr>
          <w:rFonts w:ascii="Courier New" w:hAnsi="Courier New" w:hint="default"/>
          <w:outline w:val="0"/>
          <w:color w:val="3c2217"/>
          <w:sz w:val="20"/>
          <w:szCs w:val="20"/>
          <w:u w:color="3c2217"/>
          <w:shd w:val="clear" w:color="auto" w:fill="f8f6f4"/>
          <w:rtl w:val="0"/>
          <w:lang w:val="en-US"/>
          <w14:textFill>
            <w14:solidFill>
              <w14:srgbClr w14:val="3C2217"/>
            </w14:solidFill>
          </w14:textFill>
        </w:rPr>
        <w:t>¯</w:t>
      </w:r>
      <w:r>
        <w:rPr>
          <w:rtl w:val="0"/>
          <w:lang w:val="de-DE"/>
        </w:rPr>
        <w:t>γ̣</w:t>
      </w:r>
      <w:r>
        <w:rPr>
          <w:rFonts w:ascii="Courier New" w:hAnsi="Courier New" w:hint="default"/>
          <w:outline w:val="0"/>
          <w:color w:val="3c2217"/>
          <w:sz w:val="20"/>
          <w:szCs w:val="20"/>
          <w:u w:color="3c2217"/>
          <w:shd w:val="clear" w:color="auto" w:fill="f8f6f4"/>
          <w:rtl w:val="0"/>
          <w:lang w:val="en-US"/>
          <w14:textFill>
            <w14:solidFill>
              <w14:srgbClr w14:val="3C2217"/>
            </w14:solidFill>
          </w14:textFill>
        </w:rPr>
        <w:t>¯</w:t>
      </w:r>
      <w:r>
        <w:rPr>
          <w:rtl w:val="0"/>
          <w:lang w:val="de-DE"/>
        </w:rPr>
        <w:t>=3#&gt; (</w:t>
      </w:r>
      <w:r>
        <w:rPr>
          <w:rtl w:val="0"/>
          <w:lang w:val="de-DE"/>
        </w:rPr>
        <w:t>δι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έγραψεν</w:t>
      </w:r>
      <w:r>
        <w:rPr>
          <w:rtl w:val="0"/>
          <w:lang w:val="de-DE"/>
        </w:rPr>
        <w:t>)) &lt;:</w:t>
      </w:r>
      <w:r>
        <w:rPr>
          <w:rtl w:val="0"/>
          <w:lang w:val="de-DE"/>
        </w:rPr>
        <w:t>Ἀμ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μω</w:t>
      </w:r>
      <w:r>
        <w:rPr>
          <w:rtl w:val="0"/>
          <w:lang w:val="de-DE"/>
        </w:rPr>
        <w:t xml:space="preserve">] 4.- </w:t>
      </w:r>
      <w:r>
        <w:rPr>
          <w:rtl w:val="0"/>
          <w:lang w:val="de-DE"/>
        </w:rPr>
        <w:t>νίῳ καὶ Ἡρακ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λεί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δῃ</w:t>
      </w:r>
      <w:r>
        <w:rPr>
          <w:rtl w:val="0"/>
          <w:lang w:val="de-DE"/>
        </w:rPr>
        <w:t>|reg|</w:t>
      </w:r>
      <w:r>
        <w:rPr>
          <w:rtl w:val="0"/>
          <w:lang w:val="de-DE"/>
        </w:rPr>
        <w:t>Ἀμ̣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μω</w:t>
      </w:r>
      <w:r>
        <w:rPr>
          <w:rtl w:val="0"/>
          <w:lang w:val="de-DE"/>
        </w:rPr>
        <w:t>]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4.- </w:t>
      </w:r>
      <w:r>
        <w:rPr>
          <w:rtl w:val="0"/>
          <w:lang w:val="de-DE"/>
        </w:rPr>
        <w:t xml:space="preserve">νίου καὶ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Ἡρακ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λεί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δ̣ο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υ</w:t>
      </w:r>
      <w:r>
        <w:rPr>
          <w:rtl w:val="0"/>
          <w:lang w:val="de-DE"/>
        </w:rPr>
        <w:t xml:space="preserve">)):&gt; </w:t>
      </w:r>
      <w:r>
        <w:rPr>
          <w:rtl w:val="0"/>
          <w:lang w:val="de-DE"/>
        </w:rPr>
        <w:t xml:space="preserve">καὶ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μετόχ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οις</w:t>
      </w:r>
      <w:r>
        <w:rPr>
          <w:rtl w:val="0"/>
          <w:lang w:val="de-DE"/>
        </w:rPr>
        <w:t>)) (</w:t>
      </w:r>
      <w:r>
        <w:rPr>
          <w:rtl w:val="0"/>
          <w:lang w:val="de-DE"/>
        </w:rPr>
        <w:t>πράκ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τορσι</w:t>
      </w:r>
      <w:r>
        <w:rPr>
          <w:rtl w:val="0"/>
          <w:lang w:val="de-DE"/>
        </w:rPr>
        <w:t>))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5. [ca.10] </w:t>
      </w:r>
      <w:r>
        <w:rPr>
          <w:rtl w:val="0"/>
          <w:lang w:val="de-DE"/>
        </w:rPr>
        <w:t xml:space="preserve">τέκτων </w:t>
      </w:r>
      <w:r>
        <w:rPr>
          <w:rtl w:val="0"/>
          <w:lang w:val="de-DE"/>
        </w:rPr>
        <w:t>&lt;:</w:t>
      </w:r>
      <w:r>
        <w:rPr>
          <w:rtl w:val="0"/>
          <w:lang w:val="de-DE"/>
        </w:rPr>
        <w:t>χειρωναξίου</w:t>
      </w:r>
      <w:r>
        <w:rPr>
          <w:rtl w:val="0"/>
          <w:lang w:val="de-DE"/>
        </w:rPr>
        <w:t>|reg|</w:t>
      </w:r>
      <w:r>
        <w:rPr>
          <w:rtl w:val="0"/>
          <w:lang w:val="de-DE"/>
        </w:rPr>
        <w:t>χειροναξίου</w:t>
      </w:r>
      <w:r>
        <w:rPr>
          <w:rtl w:val="0"/>
          <w:lang w:val="de-DE"/>
        </w:rPr>
        <w:t>:&gt;</w:t>
      </w:r>
    </w:p>
    <w:p>
      <w:pPr>
        <w:pStyle w:val="Body"/>
        <w:spacing w:line="260" w:lineRule="exact"/>
      </w:pPr>
      <w:r>
        <w:rPr>
          <w:rtl w:val="0"/>
          <w:lang w:val="de-DE"/>
        </w:rPr>
        <w:t>6. [</w:t>
      </w:r>
      <w:r>
        <w:rPr>
          <w:rtl w:val="0"/>
          <w:lang w:val="de-DE"/>
        </w:rPr>
        <w:t xml:space="preserve">τοῦ αὐτοῦ </w:t>
      </w:r>
      <w:r>
        <w:rPr>
          <w:rtl w:val="0"/>
          <w:lang w:val="de-DE"/>
        </w:rPr>
        <w:t>((</w:t>
      </w:r>
      <w:r>
        <w:rPr>
          <w:rtl w:val="0"/>
          <w:lang w:val="de-DE"/>
        </w:rPr>
        <w:t>ἔτους</w:t>
      </w:r>
      <w:r>
        <w:rPr>
          <w:rtl w:val="0"/>
          <w:lang w:val="de-DE"/>
        </w:rPr>
        <w:t>))] ([</w:t>
      </w:r>
      <w:r>
        <w:rPr>
          <w:rtl w:val="0"/>
          <w:lang w:val="de-DE"/>
        </w:rPr>
        <w:t>ἀρ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γ̣υ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ρίου</w:t>
      </w:r>
      <w:r>
        <w:rPr>
          <w:rtl w:val="0"/>
          <w:lang w:val="de-DE"/>
        </w:rPr>
        <w:t>)) ((</w:t>
      </w:r>
      <w:r>
        <w:rPr>
          <w:rtl w:val="0"/>
          <w:lang w:val="de-DE"/>
        </w:rPr>
        <w:t>δραχμὰς</w:t>
      </w:r>
      <w:r>
        <w:rPr>
          <w:rtl w:val="0"/>
          <w:lang w:val="de-DE"/>
        </w:rPr>
        <w:t>)) &lt;#</w:t>
      </w:r>
      <w:r>
        <w:rPr>
          <w:rtl w:val="0"/>
          <w:lang w:val="de-DE"/>
        </w:rPr>
        <w:t>δεκαδύο</w:t>
      </w:r>
      <w:r>
        <w:rPr>
          <w:rtl w:val="0"/>
          <w:lang w:val="de-DE"/>
        </w:rPr>
        <w:t>=12#&gt;, ((</w:t>
      </w:r>
      <w:r>
        <w:rPr>
          <w:rtl w:val="0"/>
          <w:lang w:val="de-DE"/>
        </w:rPr>
        <w:t>γίνονται</w:t>
      </w:r>
      <w:r>
        <w:rPr>
          <w:rtl w:val="0"/>
          <w:lang w:val="de-DE"/>
        </w:rPr>
        <w:t>)) ((</w:t>
      </w:r>
      <w:r>
        <w:rPr>
          <w:rtl w:val="0"/>
          <w:lang w:val="de-DE"/>
        </w:rPr>
        <w:t>δραχμαὶ</w:t>
      </w:r>
      <w:r>
        <w:rPr>
          <w:rtl w:val="0"/>
          <w:lang w:val="de-DE"/>
        </w:rPr>
        <w:t>)) &lt;#</w:t>
      </w:r>
      <w:r>
        <w:rPr>
          <w:rtl w:val="0"/>
          <w:lang w:val="de-DE"/>
        </w:rPr>
        <w:t>ιβ</w:t>
      </w:r>
      <w:r>
        <w:rPr>
          <w:rtl w:val="0"/>
          <w:lang w:val="de-DE"/>
        </w:rPr>
        <w:t>=12#&gt;.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=&gt;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#translation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&lt;T=.</w:t>
      </w:r>
      <w:r>
        <w:rPr>
          <w:rtl w:val="0"/>
          <w:lang w:val="de-DE"/>
        </w:rPr>
        <w:t>de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&lt;=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((1)) </w:t>
      </w:r>
      <w:r>
        <w:rPr>
          <w:rtl w:val="0"/>
          <w:lang w:val="de-DE"/>
        </w:rPr>
        <w:t>Im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 xml:space="preserve"> Jahr des Imperator Caesar Titus Aelius Hadrianus Antoninus Augustus, am 3. Thoth. Eingezahlt hat an Ammonios und Herakleides und ihre Kollegen, die Erheber NN, Zimmerman,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Gewerbesteuer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dasselbe Jahr zw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lf Drachmen, das sind 12 Dr.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=&gt;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=T&gt;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#commentary</w:t>
      </w:r>
    </w:p>
    <w:p>
      <w:pPr>
        <w:pStyle w:val="Body"/>
        <w:spacing w:line="260" w:lineRule="exact"/>
      </w:pPr>
      <w:r>
        <w:rPr>
          <w:rtl w:val="0"/>
          <w:lang w:val="de-DE"/>
        </w:rPr>
        <w:t>3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4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Abk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rzung </w:t>
      </w:r>
      <w:r>
        <w:rPr>
          <w:rtl w:val="0"/>
          <w:lang w:val="de-DE"/>
        </w:rPr>
        <w:t xml:space="preserve">δι ̅ </w:t>
      </w:r>
      <w:r>
        <w:rPr>
          <w:rtl w:val="0"/>
          <w:lang w:val="de-DE"/>
        </w:rPr>
        <w:t xml:space="preserve">gefolgt vom Namen des Steuererhebers im Genitiv, vgl.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"https://papyri.info/ddbdp/p.stras%3B5%3B420"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P.Stras. 5 420</w:t>
      </w:r>
      <w:r>
        <w:rPr/>
        <w:fldChar w:fldCharType="end" w:fldLock="0"/>
      </w:r>
      <w:r>
        <w:rPr>
          <w:rtl w:val="0"/>
          <w:lang w:val="de-DE"/>
        </w:rPr>
        <w:t>. Wenn es sich nicht blo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>um einen Kasusfehler handelt, kann der Einfluss der Abk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rzung </w:t>
      </w:r>
      <w:r>
        <w:rPr>
          <w:rtl w:val="0"/>
          <w:lang w:val="de-DE"/>
        </w:rPr>
        <w:t>δι ̅</w:t>
      </w:r>
      <w:r>
        <w:rPr>
          <w:rtl w:val="0"/>
          <w:lang w:val="de-DE"/>
        </w:rPr>
        <w:t xml:space="preserve">= </w:t>
      </w:r>
      <w:r>
        <w:rPr>
          <w:rtl w:val="0"/>
          <w:lang w:val="de-DE"/>
        </w:rPr>
        <w:t xml:space="preserve">διά </w:t>
      </w:r>
      <w:r>
        <w:rPr>
          <w:rtl w:val="0"/>
          <w:lang w:val="de-DE"/>
        </w:rPr>
        <w:t>in Betracht gezogen werden.</w:t>
      </w:r>
    </w:p>
    <w:p>
      <w:pPr>
        <w:pStyle w:val="Body"/>
        <w:spacing w:line="260" w:lineRule="exact"/>
      </w:pPr>
      <w:r>
        <w:rPr>
          <w:shd w:val="clear" w:color="auto" w:fill="ffff00"/>
          <w:rtl w:val="0"/>
        </w:rPr>
        <w:t>4</w:t>
      </w:r>
      <w:r>
        <w:rPr>
          <w:shd w:val="clear" w:color="auto" w:fill="ffff00"/>
          <w:rtl w:val="0"/>
          <w:lang w:val="de-DE"/>
        </w:rPr>
        <w:t xml:space="preserve"> </w:t>
      </w:r>
      <w:r>
        <w:rPr>
          <w:shd w:val="clear" w:color="auto" w:fill="ffff00"/>
          <w:rtl w:val="0"/>
          <w:lang w:val="de-DE"/>
        </w:rPr>
        <w:t>καὶ μετόχ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οις</w:t>
      </w:r>
      <w:r>
        <w:rPr>
          <w:shd w:val="clear" w:color="auto" w:fill="ffff00"/>
          <w:rtl w:val="0"/>
          <w:lang w:val="de-DE"/>
        </w:rPr>
        <w:t xml:space="preserve">) </w:t>
      </w:r>
      <w:r>
        <w:rPr>
          <w:shd w:val="clear" w:color="auto" w:fill="ffff00"/>
          <w:rtl w:val="0"/>
          <w:lang w:val="de-DE"/>
        </w:rPr>
        <w:t>πράκ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τορσι</w:t>
      </w:r>
      <w:r>
        <w:rPr>
          <w:shd w:val="clear" w:color="auto" w:fill="ffff00"/>
          <w:rtl w:val="0"/>
          <w:lang w:val="de-DE"/>
        </w:rPr>
        <w:t>)</w:t>
      </w:r>
      <w:r>
        <w:rPr>
          <w:shd w:val="clear" w:color="auto" w:fill="ffff00"/>
          <w:rtl w:val="0"/>
        </w:rPr>
        <w:t xml:space="preserve">. </w:t>
      </w:r>
      <w:r>
        <w:rPr>
          <w:shd w:val="clear" w:color="auto" w:fill="ffff00"/>
          <w:rtl w:val="0"/>
          <w:lang w:val="de-DE"/>
        </w:rPr>
        <w:t xml:space="preserve">Im Arsinoites tragen </w:t>
      </w:r>
      <w:r>
        <w:rPr>
          <w:shd w:val="clear" w:color="auto" w:fill="ffff00"/>
          <w:rtl w:val="0"/>
          <w:lang w:val="de-DE"/>
        </w:rPr>
        <w:t xml:space="preserve">normalerweise </w:t>
      </w:r>
      <w:r>
        <w:rPr>
          <w:shd w:val="clear" w:color="auto" w:fill="ffff00"/>
          <w:rtl w:val="0"/>
          <w:lang w:val="de-DE"/>
        </w:rPr>
        <w:t xml:space="preserve">die Erheber des </w:t>
      </w:r>
      <w:r>
        <w:rPr>
          <w:shd w:val="clear" w:color="auto" w:fill="ffff00"/>
          <w:rtl w:val="0"/>
        </w:rPr>
        <w:t xml:space="preserve">χειρωνάξιον </w:t>
      </w:r>
      <w:r>
        <w:rPr>
          <w:shd w:val="clear" w:color="auto" w:fill="ffff00"/>
          <w:rtl w:val="0"/>
          <w:lang w:val="de-DE"/>
        </w:rPr>
        <w:t xml:space="preserve">den Titel </w:t>
      </w:r>
      <w:r>
        <w:rPr>
          <w:shd w:val="clear" w:color="auto" w:fill="ffff00"/>
          <w:rtl w:val="0"/>
        </w:rPr>
        <w:t xml:space="preserve">ἐπιτηρητὴς </w:t>
      </w:r>
      <w:r>
        <w:rPr>
          <w:shd w:val="clear" w:color="auto" w:fill="ffff00"/>
          <w:rtl w:val="0"/>
        </w:rPr>
        <w:t xml:space="preserve">/ </w:t>
      </w:r>
      <w:r>
        <w:rPr>
          <w:shd w:val="clear" w:color="auto" w:fill="ffff00"/>
          <w:rtl w:val="0"/>
        </w:rPr>
        <w:t xml:space="preserve">ἐγλήμπτωρ </w:t>
      </w:r>
      <w:r>
        <w:rPr>
          <w:shd w:val="clear" w:color="auto" w:fill="ffff00"/>
          <w:rtl w:val="0"/>
        </w:rPr>
        <w:t xml:space="preserve">/ </w:t>
      </w:r>
      <w:r>
        <w:rPr>
          <w:shd w:val="clear" w:color="auto" w:fill="ffff00"/>
          <w:rtl w:val="0"/>
        </w:rPr>
        <w:t xml:space="preserve">μισθωτὴς κοπῆς τριχὸς καὶ χειρωναξίου </w:t>
      </w:r>
      <w:r>
        <w:rPr>
          <w:shd w:val="clear" w:color="auto" w:fill="ffff00"/>
          <w:rtl w:val="0"/>
          <w:lang w:val="de-DE"/>
        </w:rPr>
        <w:t xml:space="preserve">(vgl. etwa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"https://papyri.info/biblio/63126"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Hobson 1993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>, 76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 xml:space="preserve">77), aber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"https://papyri.info/ddbdp/p.tebt%3B2%3B579"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P.Tebt. 2 579 descr.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 xml:space="preserve"> (129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>130 n.Chr.) stellt eine Parallele dar.</w:t>
      </w:r>
    </w:p>
    <w:p>
      <w:pPr>
        <w:pStyle w:val="Body"/>
        <w:spacing w:line="260" w:lineRule="exact"/>
      </w:pPr>
      <w:r>
        <w:rPr>
          <w:rtl w:val="0"/>
          <w:lang w:val="de-DE"/>
        </w:rPr>
        <w:t>5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Falls der Erhebungsbezirk der Praktoren im Papyrus genannt wurde, mu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>er abgek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rzt worden sein, da die 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 mindestens den Namen und vielleicht auch den Vatersnamen des Zimmermanns enthielt.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</w:pPr>
      <w:r>
        <w:rPr>
          <w:rtl w:val="0"/>
          <w:lang w:val="de-DE"/>
        </w:rPr>
        <w:t>#b</w:t>
      </w:r>
      <w:r>
        <w:rPr>
          <w:rtl w:val="0"/>
          <w:lang w:val="de-DE"/>
        </w:rPr>
        <w:t>ibliograph</w:t>
      </w:r>
      <w:r>
        <w:rPr>
          <w:rtl w:val="0"/>
          <w:lang w:val="de-DE"/>
        </w:rPr>
        <w:t>y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"https://papyri.info/biblio/78415"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nl-NL"/>
        </w:rPr>
        <w:t xml:space="preserve">Bingen, J.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2010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Trois documents provenant de Soknopaiou N</w:t>
      </w:r>
      <w:r>
        <w:rPr>
          <w:rtl w:val="0"/>
          <w:lang w:val="de-DE"/>
        </w:rPr>
        <w:t>è</w:t>
      </w:r>
      <w:r>
        <w:rPr>
          <w:rtl w:val="0"/>
          <w:lang w:val="de-DE"/>
        </w:rPr>
        <w:t>sos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Cd</w:t>
      </w:r>
      <w:r>
        <w:rPr>
          <w:rtl w:val="0"/>
          <w:lang w:val="de-DE"/>
        </w:rPr>
        <w:t xml:space="preserve">É </w:t>
      </w:r>
      <w:r>
        <w:rPr>
          <w:rtl w:val="0"/>
          <w:lang w:val="de-DE"/>
        </w:rPr>
        <w:t>85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240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248.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"https://papyri.info/biblio/96208"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 xml:space="preserve">Claytor, W.G.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2022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“</w:t>
      </w:r>
      <w:r>
        <w:rPr>
          <w:rtl w:val="0"/>
          <w:lang w:val="de-DE"/>
        </w:rPr>
        <w:t>The Memphis Poll Tax Receipts and Census Declarations,</w:t>
      </w:r>
      <w:r>
        <w:rPr>
          <w:rtl w:val="0"/>
          <w:lang w:val="de-DE"/>
        </w:rPr>
        <w:t xml:space="preserve">” </w:t>
      </w:r>
      <w:r>
        <w:rPr>
          <w:rtl w:val="0"/>
          <w:lang w:val="de-DE"/>
        </w:rPr>
        <w:t>BASP 59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121</w:t>
      </w:r>
      <w:r>
        <w:rPr>
          <w:rtl w:val="0"/>
        </w:rPr>
        <w:t>–</w:t>
      </w:r>
      <w:r>
        <w:rPr>
          <w:rtl w:val="0"/>
          <w:lang w:val="de-DE"/>
        </w:rPr>
        <w:t>133.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Essler, H.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2023</w:t>
      </w:r>
      <w:r>
        <w:rPr>
          <w:rtl w:val="0"/>
          <w:lang w:val="de-DE"/>
        </w:rPr>
        <w:t>)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Zum Ursprung der Papyrussammlungen in Bonn und Frankfurt,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APF (im Druck).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"https://papyri.info/biblio/86999"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Gonis, N. (2016)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Three Receipts from Soknopaiou Nesos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ZPE 200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411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419.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"https://papyri.info/biblio/63126"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Hobson, D. (1993)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 xml:space="preserve">Receipt for </w:t>
      </w:r>
      <w:r>
        <w:rPr>
          <w:rtl w:val="0"/>
          <w:lang w:val="de-DE"/>
        </w:rPr>
        <w:t>χειρωνάξιον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JJP 23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75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92.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"https://papyri.info/biblio/96345"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a-DK"/>
        </w:rPr>
        <w:t xml:space="preserve">Kloppenborg, J.S.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2020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Greco-Roman Associations: Texts, Translations, and Commentary III. Ptolemaic and Early Roman Egypt. Berlin/Boston.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"https://papyri.info/biblio/96344"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 xml:space="preserve">Lewald, H.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1921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Aus der Frankfurter Papyrussammlung (nebst einem unver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ffentlichten Papyrus der Sammlung Gradenwitz),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ZSSR RA 42, S. 115</w:t>
      </w:r>
      <w:r>
        <w:rPr>
          <w:rtl w:val="0"/>
        </w:rPr>
        <w:t>–</w:t>
      </w:r>
      <w:r>
        <w:rPr>
          <w:rtl w:val="0"/>
          <w:lang w:val="de-DE"/>
        </w:rPr>
        <w:t>123.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"https://papyri.info/biblio/51668"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nl-NL"/>
        </w:rPr>
        <w:t xml:space="preserve">Sijpesteijn, P.J.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1976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Ein ptolem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ischer Papyrus aus Frankfurt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ZPE 23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201</w:t>
      </w:r>
      <w:r>
        <w:rPr>
          <w:rtl w:val="0"/>
        </w:rPr>
        <w:t>–</w:t>
      </w:r>
      <w:r>
        <w:rPr>
          <w:rtl w:val="0"/>
          <w:lang w:val="de-DE"/>
        </w:rPr>
        <w:t>202.</w:t>
      </w:r>
    </w:p>
    <w:p>
      <w:pPr>
        <w:pStyle w:val="Body"/>
        <w:spacing w:line="260" w:lineRule="exact"/>
        <w:rPr>
          <w:lang w:val="de-DE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"https://papyri.info/biblio/3811"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 xml:space="preserve">Wallace, S.L.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1938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Taxation in Egypt from Augustus to Diocletian</w:t>
      </w:r>
      <w:r>
        <w:rPr>
          <w:rtl w:val="0"/>
          <w:lang w:val="de-DE"/>
        </w:rPr>
        <w:t>. Princeton.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</w:pPr>
      <w:r>
        <w:rPr>
          <w:lang w:val="de-DE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FAO-Grec Unicod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  <w:lang w:val="de-DE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Unter diesem Nummer finden sich zwei kleine Fragmente, die zum hier vorliegenden Text nicht 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ren.</w:t>
      </w:r>
    </w:p>
  </w:footnote>
  <w:footnote w:id="2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Vgl. nun Essler 2023 zur Erwerbungsgeschichte der Frankfurter Papyri sowie deren Zusammenhang mit dem Deutschen Papyruskartell. Essler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 die Kartonage auf einen Kauf durch das Kartell im Jahr 1907 zur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ck; allerdings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nnten mehrere oder alle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cke der Sammlung auch wie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"https://papyri.info/ddbdp/p.frankf%3B%3B7"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P.Frankf. 7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 im Winter 1913/14 im Fayum erworben worden sein. Der Jurist Hans Lewald hat sieben Papyri in P.Frankf. herausgegeben, dazu zwei weitere im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chsten Jahr (Lewald 1921). Ansonsten ist bis heute nur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"https://papyri.info/ddbdp/sb%3B14%3B12093"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SB 14 12093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 erschienen (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"https://papyri.info/biblio/51668"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Sijpesteijn 1976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vgl. die Einleitung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eine kurze Beschreibung der Sammlung; siehe auch die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"https://www.jura.uni-frankfurt.de/68030310/ContentPage_68030310"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Homepage der Sammlung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). </w:t>
      </w:r>
    </w:p>
  </w:footnote>
  <w:footnote w:id="3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Mein herzlicher Dank gilt dem Kurator der Papyrussamlung, Herrn Prof. Dr. Guido Pfeifer,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seine Gastfreundlichkeit und Unterst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tzung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hrend des Besuches der Warschauer Papyrologengruppe am 16. 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rz 2023.  </w:t>
      </w:r>
    </w:p>
  </w:footnote>
  <w:footnote w:id="4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Eine Ausnahme stellt die memphitische Quittung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"https://papyri.info/ddbdp/sb%3B22%3B15390"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SB 22 15390</w:t>
      </w:r>
      <w:r>
        <w:rPr/>
        <w:fldChar w:fldCharType="end" w:fldLock="0"/>
      </w:r>
      <w:r>
        <w:rPr>
          <w:rtl w:val="0"/>
          <w:lang w:val="de-DE"/>
        </w:rPr>
        <w:t xml:space="preserve"> dar, vgl. meinen Lesevorschlag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Z. 3 (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"https://papyri.info/biblio/96208"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Claytor 2022</w:t>
      </w:r>
      <w:r>
        <w:rPr/>
        <w:fldChar w:fldCharType="end" w:fldLock="0"/>
      </w:r>
      <w:r>
        <w:rPr>
          <w:rtl w:val="0"/>
          <w:lang w:val="de-DE"/>
        </w:rPr>
        <w:t>, 124).</w:t>
      </w:r>
      <w:r>
        <w:rPr>
          <w:rtl w:val="0"/>
          <w:lang w:val="en-US"/>
        </w:rPr>
        <w:t xml:space="preserve"> </w:t>
      </w:r>
      <w:r>
        <w:rPr>
          <w:shd w:val="clear" w:color="auto" w:fill="ffff00"/>
          <w:rtl w:val="0"/>
          <w:lang w:val="en-US"/>
        </w:rPr>
        <w:t>Weitere Quittungen f</w:t>
      </w:r>
      <w:r>
        <w:rPr>
          <w:shd w:val="clear" w:color="auto" w:fill="ffff00"/>
          <w:rtl w:val="0"/>
          <w:lang w:val="en-US"/>
        </w:rPr>
        <w:t>ü</w:t>
      </w:r>
      <w:r>
        <w:rPr>
          <w:shd w:val="clear" w:color="auto" w:fill="ffff00"/>
          <w:rtl w:val="0"/>
          <w:lang w:val="en-US"/>
        </w:rPr>
        <w:t xml:space="preserve">r </w:t>
      </w:r>
      <w:r>
        <w:rPr>
          <w:shd w:val="clear" w:color="auto" w:fill="ffff00"/>
          <w:rtl w:val="0"/>
          <w:lang w:val="de-DE"/>
        </w:rPr>
        <w:t xml:space="preserve">χειρωνάξιον </w:t>
      </w:r>
      <w:r>
        <w:rPr>
          <w:shd w:val="clear" w:color="auto" w:fill="ffff00"/>
          <w:rtl w:val="0"/>
          <w:lang w:val="en-US"/>
        </w:rPr>
        <w:t xml:space="preserve">aus der Regierungszeit von Antoninus Pius sind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"https://papyri.info/ddbdp/cde%3B85%3B247"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P.Brux. inv. E 7908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(ed.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"https://papyri.info/biblio/78415"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Bingen 2010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>, 246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>248; Soknopaiu Nesos, 144</w:t>
      </w:r>
      <w:r>
        <w:rPr>
          <w:shd w:val="clear" w:color="auto" w:fill="ffff00"/>
          <w:rtl w:val="0"/>
          <w:lang w:val="en-US"/>
        </w:rPr>
        <w:t xml:space="preserve">),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"https://papyri.info/ddbdp/sb%3B14%3B11628"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SB 14 11628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(Arsinoites [?], 148</w:t>
      </w:r>
      <w:r>
        <w:rPr>
          <w:shd w:val="clear" w:color="auto" w:fill="ffff00"/>
          <w:rtl w:val="0"/>
          <w:lang w:val="de-DE"/>
        </w:rPr>
        <w:t xml:space="preserve">), und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"https://papyri.info/ddbdp/p.fay%3B%3B58"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P.Fay. 58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</w:t>
      </w:r>
      <w:r>
        <w:rPr>
          <w:shd w:val="clear" w:color="auto" w:fill="ffff00"/>
          <w:rtl w:val="0"/>
          <w:lang w:val="de-DE"/>
        </w:rPr>
        <w:t>Theadelpheia, 155/156</w:t>
      </w:r>
      <w:r>
        <w:rPr>
          <w:shd w:val="clear" w:color="auto" w:fill="ffff00"/>
          <w:rtl w:val="0"/>
          <w:lang w:val="en-US"/>
        </w:rPr>
        <w:t>)</w:t>
      </w:r>
      <w:r>
        <w:rPr>
          <w:shd w:val="clear" w:color="auto" w:fill="ffff00"/>
          <w:rtl w:val="0"/>
          <w:lang w:val="de-DE"/>
        </w:rPr>
        <w:t xml:space="preserve">. In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"https://papyri.info/ddbdp/sb%3B14%3B11628"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SB 14 11628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, </w:t>
      </w:r>
      <w:r>
        <w:rPr>
          <w:shd w:val="clear" w:color="auto" w:fill="ffff00"/>
          <w:rtl w:val="0"/>
          <w:lang w:val="de-DE"/>
        </w:rPr>
        <w:t xml:space="preserve">Z. 3, lies </w:t>
      </w:r>
      <w:r>
        <w:rPr>
          <w:shd w:val="clear" w:color="auto" w:fill="ffff00"/>
          <w:rtl w:val="0"/>
          <w:lang w:val="en-US"/>
        </w:rPr>
        <w:t xml:space="preserve">κουρεύς 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„</w:t>
      </w:r>
      <w:r>
        <w:rPr>
          <w:shd w:val="clear" w:color="auto" w:fill="ffff00"/>
          <w:rtl w:val="0"/>
          <w:lang w:val="de-DE"/>
        </w:rPr>
        <w:t>Friseur, Barbier</w:t>
      </w:r>
      <w:r>
        <w:rPr>
          <w:shd w:val="clear" w:color="auto" w:fill="ffff00"/>
          <w:rtl w:val="0"/>
          <w:lang w:val="de-DE"/>
        </w:rPr>
        <w:t>“</w:t>
      </w:r>
      <w:r>
        <w:rPr>
          <w:shd w:val="clear" w:color="auto" w:fill="ffff00"/>
          <w:rtl w:val="0"/>
          <w:lang w:val="de-DE"/>
        </w:rPr>
        <w:t xml:space="preserve">) </w:t>
      </w:r>
      <w:r>
        <w:rPr>
          <w:shd w:val="clear" w:color="auto" w:fill="ffff00"/>
          <w:rtl w:val="0"/>
          <w:lang w:val="en-US"/>
        </w:rPr>
        <w:t xml:space="preserve">statt des Namens </w:t>
      </w:r>
      <w:r>
        <w:rPr>
          <w:shd w:val="clear" w:color="auto" w:fill="ffff00"/>
          <w:rtl w:val="0"/>
          <w:lang w:val="en-US"/>
        </w:rPr>
        <w:t>Κουρεύς</w:t>
      </w:r>
      <w:r>
        <w:rPr>
          <w:rtl w:val="0"/>
          <w:lang w:val="de-DE"/>
        </w:rPr>
        <w:t>.</w:t>
      </w:r>
    </w:p>
  </w:footnote>
  <w:footnote w:id="5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berblicke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Gewerbesteuer s. O.Wilck., S. 321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 xml:space="preserve">333 und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"https://papyri.info/biblio/3811"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Wallace 1938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191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213.</w:t>
      </w:r>
    </w:p>
  </w:footnote>
  <w:footnote w:id="6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Ü</w:t>
      </w:r>
      <w:r>
        <w:rPr>
          <w:rtl w:val="0"/>
          <w:lang w:val="de-DE"/>
        </w:rPr>
        <w:t xml:space="preserve">bersetzt und analysiert von </w:t>
      </w:r>
      <w:r>
        <w:rPr>
          <w:rStyle w:val="Link"/>
          <w:lang w:val="de-DE"/>
        </w:rPr>
        <w:fldChar w:fldCharType="begin" w:fldLock="0"/>
      </w:r>
      <w:r>
        <w:rPr>
          <w:rStyle w:val="Link"/>
          <w:lang w:val="de-DE"/>
        </w:rPr>
        <w:instrText xml:space="preserve"> HYPERLINK "https://papyri.info/biblio/96345"</w:instrText>
      </w:r>
      <w:r>
        <w:rPr>
          <w:rStyle w:val="Link"/>
          <w:lang w:val="de-DE"/>
        </w:rPr>
        <w:fldChar w:fldCharType="separate" w:fldLock="0"/>
      </w:r>
      <w:r>
        <w:rPr>
          <w:rStyle w:val="Link"/>
          <w:rtl w:val="0"/>
          <w:lang w:val="de-DE"/>
        </w:rPr>
        <w:t>Kloppenborg 2020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Dok. Nr. 230.</w:t>
      </w:r>
    </w:p>
  </w:footnote>
  <w:footnote w:id="7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Vgl.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"https://papyri.info/biblio/3811"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Wallace 1938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205 und 308. In Z. 2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nnte der Titel der Steuererheber nach Parallelen als </w:t>
      </w:r>
      <w:r>
        <w:rPr>
          <w:rtl w:val="0"/>
          <w:lang w:val="de-DE"/>
        </w:rPr>
        <w:t>ἐπιτηρητ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αῖς</w:t>
      </w:r>
      <w:r>
        <w:rPr>
          <w:rtl w:val="0"/>
          <w:lang w:val="de-DE"/>
        </w:rPr>
        <w:t xml:space="preserve">) </w:t>
      </w:r>
      <w:r>
        <w:rPr>
          <w:rtl w:val="0"/>
          <w:lang w:val="de-DE"/>
        </w:rPr>
        <w:t>κοπ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ῆς τριχὸς καὶ χειρωναξίου</w:t>
      </w:r>
      <w:r>
        <w:rPr>
          <w:rtl w:val="0"/>
          <w:lang w:val="de-DE"/>
        </w:rPr>
        <w:t>] erg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nzt werden; im online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gbaren Foto liest man in Z. 3 </w:t>
      </w:r>
      <w:r>
        <w:rPr>
          <w:rtl w:val="0"/>
          <w:lang w:val="de-DE"/>
        </w:rPr>
        <w:t>καὶ οἱ λοιποὶ τέκτωνες Τεβτύ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 xml:space="preserve">νεως … </w:t>
      </w:r>
      <w:r>
        <w:rPr>
          <w:rtl w:val="0"/>
          <w:lang w:val="de-DE"/>
        </w:rPr>
        <w:t>].</w:t>
      </w:r>
    </w:p>
  </w:footnote>
  <w:footnote w:id="8">
    <w:p>
      <w:pPr>
        <w:pStyle w:val="footnote text"/>
      </w:pPr>
      <w:r>
        <w:rPr>
          <w:vertAlign w:val="superscript"/>
          <w:lang w:val="de-DE"/>
        </w:rPr>
        <w:footnoteRef/>
      </w:r>
      <w:r>
        <w:rPr>
          <w:rtl w:val="0"/>
          <w:lang w:val="en-US"/>
        </w:rPr>
        <w:t xml:space="preserve"> </w:t>
      </w:r>
      <w:r>
        <w:rPr>
          <w:shd w:val="clear" w:color="auto" w:fill="ffff00"/>
          <w:rtl w:val="0"/>
          <w:lang w:val="de-DE"/>
        </w:rPr>
        <w:t xml:space="preserve">Im Vergleich dazu zahlten die Weber von Soknopaiu Nesos etwa 76 oder 80 Drachmen pro Jahr ein: vgl. zuletzt </w:t>
      </w:r>
      <w:r>
        <w:rPr>
          <w:rStyle w:val="Hyperlink.2"/>
          <w:shd w:val="clear" w:color="auto" w:fill="ffff00"/>
          <w:lang w:val="de-DE"/>
        </w:rPr>
        <w:fldChar w:fldCharType="begin" w:fldLock="0"/>
      </w:r>
      <w:r>
        <w:rPr>
          <w:rStyle w:val="Hyperlink.2"/>
          <w:shd w:val="clear" w:color="auto" w:fill="ffff00"/>
          <w:lang w:val="de-DE"/>
        </w:rPr>
        <w:instrText xml:space="preserve"> HYPERLINK "https://papyri.info/biblio/86999"</w:instrText>
      </w:r>
      <w:r>
        <w:rPr>
          <w:rStyle w:val="Hyperlink.2"/>
          <w:shd w:val="clear" w:color="auto" w:fill="ffff00"/>
          <w:lang w:val="de-DE"/>
        </w:rPr>
        <w:fldChar w:fldCharType="separate" w:fldLock="0"/>
      </w:r>
      <w:r>
        <w:rPr>
          <w:rStyle w:val="Hyperlink.2"/>
          <w:shd w:val="clear" w:color="auto" w:fill="ffff00"/>
          <w:rtl w:val="0"/>
          <w:lang w:val="de-DE"/>
        </w:rPr>
        <w:t>Gonis 2016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>, 411.</w:t>
      </w:r>
      <w:r>
        <w:rPr>
          <w:rtl w:val="0"/>
          <w:lang w:val="de-DE"/>
        </w:rPr>
        <w:t xml:space="preserve"> 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lang w:val="de-DE"/>
    </w:rPr>
  </w:style>
  <w:style w:type="character" w:styleId="Hyperlink.1">
    <w:name w:val="Hyperlink.1"/>
    <w:basedOn w:val="Link"/>
    <w:next w:val="Hyperlink.1"/>
    <w:rPr>
      <w:shd w:val="clear" w:color="auto" w:fill="ffff00"/>
      <w:lang w:val="en-US"/>
    </w:rPr>
  </w:style>
  <w:style w:type="character" w:styleId="Hyperlink.2">
    <w:name w:val="Hyperlink.2"/>
    <w:basedOn w:val="Link"/>
    <w:next w:val="Hyperlink.2"/>
    <w:rPr>
      <w:shd w:val="clear" w:color="auto" w:fill="ffff00"/>
      <w:lang w:val="de-D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