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Times" w:hAnsi="Times"/>
          <w:b w:val="1"/>
          <w:bCs w:val="1"/>
          <w:sz w:val="32"/>
          <w:szCs w:val="32"/>
          <w:rtl w:val="0"/>
        </w:rPr>
      </w:pPr>
    </w:p>
    <w:p>
      <w:pPr>
        <w:pStyle w:val="Text A"/>
        <w:spacing w:line="240" w:lineRule="auto"/>
        <w:ind w:firstLine="0"/>
        <w:rPr>
          <w:color w:val="d9d9d9"/>
          <w:u w:color="d9d9d9"/>
        </w:rPr>
      </w:pPr>
      <w:r>
        <w:rPr>
          <w:color w:val="d9d9d9"/>
          <w:u w:color="d9d9d9"/>
          <w:rtl w:val="0"/>
          <w:lang w:val="en-US"/>
        </w:rPr>
        <w:t>#articleTitle</w:t>
      </w:r>
    </w:p>
    <w:p>
      <w:pPr>
        <w:pStyle w:val="Text A"/>
        <w:spacing w:line="240" w:lineRule="auto"/>
        <w:ind w:firstLine="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261. Aufstellung 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be monatliche Ausgaben oder Einnahmen</w:t>
      </w:r>
    </w:p>
    <w:p>
      <w:pPr>
        <w:pStyle w:val="Text A"/>
        <w:spacing w:line="240" w:lineRule="auto"/>
        <w:ind w:firstLine="0"/>
        <w:rPr>
          <w:color w:val="d9d9d9"/>
          <w:u w:color="d9d9d9"/>
        </w:rPr>
      </w:pPr>
      <w:r>
        <w:rPr>
          <w:color w:val="d9d9d9"/>
          <w:u w:color="d9d9d9"/>
          <w:rtl w:val="0"/>
          <w:lang w:val="en-US"/>
        </w:rPr>
        <w:t>#author</w:t>
      </w:r>
    </w:p>
    <w:p>
      <w:pPr>
        <w:pStyle w:val="Text A"/>
        <w:spacing w:line="240" w:lineRule="auto"/>
        <w:ind w:firstLine="0"/>
        <w:rPr>
          <w:lang w:val="it-IT"/>
        </w:rPr>
      </w:pPr>
      <w:r>
        <w:rPr>
          <w:rtl w:val="0"/>
          <w:lang w:val="de-DE"/>
        </w:rPr>
        <w:t>Hagedorn</w:t>
      </w:r>
      <w:r>
        <w:rPr>
          <w:rtl w:val="0"/>
          <w:lang w:val="it-IT"/>
        </w:rPr>
        <w:t xml:space="preserve">, </w:t>
      </w:r>
      <w:r>
        <w:rPr>
          <w:rtl w:val="0"/>
          <w:lang w:val="de-DE"/>
        </w:rPr>
        <w:t>Dieter</w:t>
      </w:r>
    </w:p>
    <w:p>
      <w:pPr>
        <w:pStyle w:val="Text A"/>
        <w:spacing w:line="240" w:lineRule="auto"/>
        <w:ind w:firstLine="0"/>
        <w:rPr>
          <w:color w:val="d9d9d9"/>
          <w:u w:color="d9d9d9"/>
          <w:lang w:val="fr-FR"/>
        </w:rPr>
      </w:pPr>
      <w:r>
        <w:rPr>
          <w:color w:val="d9d9d9"/>
          <w:u w:color="d9d9d9"/>
          <w:rtl w:val="0"/>
          <w:lang w:val="fr-FR"/>
        </w:rPr>
        <w:t>#affiliation</w:t>
      </w:r>
    </w:p>
    <w:p>
      <w:pPr>
        <w:pStyle w:val="Text A"/>
        <w:spacing w:line="240" w:lineRule="auto"/>
        <w:ind w:firstLine="0"/>
      </w:pPr>
      <w:r>
        <w:rPr>
          <w:rtl w:val="0"/>
          <w:lang w:val="en-US"/>
        </w:rPr>
        <w:t xml:space="preserve">University of </w:t>
      </w:r>
      <w:r>
        <w:rPr>
          <w:rtl w:val="0"/>
          <w:lang w:val="de-DE"/>
        </w:rPr>
        <w:t>Cologne</w:t>
      </w:r>
    </w:p>
    <w:p>
      <w:pPr>
        <w:pStyle w:val="Text A"/>
        <w:spacing w:line="240" w:lineRule="auto"/>
        <w:ind w:firstLine="0"/>
        <w:rPr>
          <w:color w:val="d9d9d9"/>
          <w:u w:color="d9d9d9"/>
        </w:rPr>
      </w:pPr>
      <w:r>
        <w:rPr>
          <w:color w:val="d9d9d9"/>
          <w:u w:color="d9d9d9"/>
          <w:rtl w:val="0"/>
          <w:lang w:val="en-US"/>
        </w:rPr>
        <w:t>#email</w:t>
      </w:r>
    </w:p>
    <w:p>
      <w:pPr>
        <w:pStyle w:val="Text A"/>
        <w:spacing w:line="240" w:lineRule="auto"/>
        <w:ind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"mailto:dieter.hagedorn@urz.uni-heidelberg.de?subject="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dieter.hagedorn@urz.uni-heidelberg.de</w:t>
      </w:r>
      <w:r>
        <w:rPr/>
        <w:fldChar w:fldCharType="end" w:fldLock="0"/>
      </w:r>
    </w:p>
    <w:p>
      <w:pPr>
        <w:pStyle w:val="Text A"/>
        <w:spacing w:line="240" w:lineRule="auto"/>
        <w:ind w:firstLine="0"/>
      </w:pPr>
    </w:p>
    <w:p>
      <w:pPr>
        <w:pStyle w:val="Standard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tandard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#editionDDB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P.Hamb. Inv. 28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8x15,6cm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2./3. Jh. n.Chr.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Herkunft unbekannt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Tafel XXII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Verso</w:t>
            </w:r>
          </w:p>
        </w:tc>
      </w:tr>
    </w:tbl>
    <w:p>
      <w:pPr>
        <w:pStyle w:val="Standard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Das Blatt ist praktisch unversehrt erhalten. Die Aufstellung reicht uber 14 Monate, </w:t>
      </w:r>
      <w:r>
        <w:rPr>
          <w:rFonts w:ascii="Times" w:hAnsi="Times"/>
          <w:sz w:val="24"/>
          <w:szCs w:val="24"/>
          <w:rtl w:val="0"/>
          <w:lang w:val="de-DE"/>
        </w:rPr>
        <w:t>v</w:t>
      </w:r>
      <w:r>
        <w:rPr>
          <w:rFonts w:ascii="Times" w:hAnsi="Times"/>
          <w:sz w:val="24"/>
          <w:szCs w:val="24"/>
          <w:rtl w:val="0"/>
          <w:lang w:val="de-DE"/>
        </w:rPr>
        <w:t>om Phamenoth eines 4. Regierungsjahres bis zum Pharmuthi des folgenden. Die verzeichneten Betrage sind anfangs im Durchschnitt deutlich h</w:t>
      </w:r>
      <w:r>
        <w:rPr>
          <w:rFonts w:ascii="Times" w:hAnsi="Times" w:hint="default"/>
          <w:sz w:val="24"/>
          <w:szCs w:val="24"/>
          <w:rtl w:val="0"/>
          <w:lang w:val="de-DE"/>
        </w:rPr>
        <w:t>ö</w:t>
      </w:r>
      <w:r>
        <w:rPr>
          <w:rFonts w:ascii="Times" w:hAnsi="Times"/>
          <w:sz w:val="24"/>
          <w:szCs w:val="24"/>
          <w:rtl w:val="0"/>
          <w:lang w:val="de-DE"/>
        </w:rPr>
        <w:t>her als in den folgenden Monaten; so entfallen von insgesam</w:t>
      </w:r>
      <w:r>
        <w:rPr>
          <w:rFonts w:ascii="Times" w:hAnsi="Times"/>
          <w:sz w:val="24"/>
          <w:szCs w:val="24"/>
          <w:rtl w:val="0"/>
          <w:lang w:val="de-DE"/>
        </w:rPr>
        <w:t>t</w:t>
      </w:r>
      <w:r>
        <w:rPr>
          <w:rFonts w:ascii="Times" w:hAnsi="Times"/>
          <w:sz w:val="24"/>
          <w:szCs w:val="24"/>
          <w:rtl w:val="0"/>
          <w:lang w:val="de-DE"/>
        </w:rPr>
        <w:t xml:space="preserve"> 52500 Drachmen allein 18000 Drachmen auf die ersten drei und 33500 Drachmen auf die ersten 7 Monate. Der Zweck der Aufstellung bleib</w:t>
      </w:r>
      <w:r>
        <w:rPr>
          <w:rFonts w:ascii="Times" w:hAnsi="Times"/>
          <w:sz w:val="24"/>
          <w:szCs w:val="24"/>
          <w:rtl w:val="0"/>
          <w:lang w:val="de-DE"/>
        </w:rPr>
        <w:t xml:space="preserve">t </w:t>
      </w:r>
      <w:r>
        <w:rPr>
          <w:rFonts w:ascii="Times" w:hAnsi="Times"/>
          <w:sz w:val="24"/>
          <w:szCs w:val="24"/>
          <w:rtl w:val="0"/>
          <w:lang w:val="de-DE"/>
        </w:rPr>
        <w:t xml:space="preserve">vollkommen verborgen. Von palaographischem Interesse sind die Zeichen fur die Tausender; vgl. die Tafel. 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Die Aufstellung steht auf der Versoseite des Papyrus; da er auf einer Papier- unterlage verglast ist, la</w:t>
      </w:r>
      <w:r>
        <w:rPr>
          <w:rFonts w:ascii="Times" w:hAnsi="Times" w:hint="default"/>
          <w:sz w:val="24"/>
          <w:szCs w:val="24"/>
          <w:rtl w:val="0"/>
          <w:lang w:val="de-DE"/>
        </w:rPr>
        <w:t>ß</w:t>
      </w:r>
      <w:r>
        <w:rPr>
          <w:rFonts w:ascii="Times" w:hAnsi="Times"/>
          <w:sz w:val="24"/>
          <w:szCs w:val="24"/>
          <w:rtl w:val="0"/>
          <w:lang w:val="de-DE"/>
        </w:rPr>
        <w:t xml:space="preserve">t sich nicht kontrollieren, ob die Ruckseite, d.h. das Recto, wirklich unbeschrieben ist. 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#text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</w:rPr>
        <w:t>&lt;S=.grc&lt;=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1. ((</w:t>
      </w:r>
      <w:r>
        <w:rPr>
          <w:rStyle w:val="Ohne"/>
          <w:rFonts w:ascii="Times" w:hAnsi="Times" w:hint="default"/>
          <w:sz w:val="24"/>
          <w:szCs w:val="24"/>
          <w:rtl w:val="0"/>
        </w:rPr>
        <w:t>ἔτους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"/>
          <w:rFonts w:ascii="Times" w:hAnsi="Times" w:hint="default"/>
          <w:sz w:val="24"/>
          <w:szCs w:val="24"/>
          <w:rtl w:val="0"/>
        </w:rPr>
        <w:t>δ</w:t>
      </w:r>
      <w:r>
        <w:rPr>
          <w:rStyle w:val="Ohne"/>
          <w:rFonts w:ascii="Times" w:hAnsi="Times"/>
          <w:sz w:val="24"/>
          <w:szCs w:val="24"/>
          <w:rtl w:val="0"/>
        </w:rPr>
        <w:t>=4#&gt;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2.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Φαμενὼ̣θ̣ </w:t>
      </w:r>
      <w:r>
        <w:rPr>
          <w:rStyle w:val="Ohne"/>
          <w:rFonts w:ascii="Times" w:hAnsi="Times"/>
          <w:sz w:val="24"/>
          <w:szCs w:val="24"/>
          <w:rtl w:val="0"/>
        </w:rPr>
        <w:t>((</w:t>
      </w:r>
      <w:r>
        <w:rPr>
          <w:rStyle w:val="Ohne"/>
          <w:rFonts w:ascii="Times" w:hAnsi="Times" w:hint="default"/>
          <w:sz w:val="24"/>
          <w:szCs w:val="24"/>
          <w:rtl w:val="0"/>
        </w:rPr>
        <w:t>τάλαντον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"/>
          <w:rFonts w:ascii="Times" w:hAnsi="Times" w:hint="default"/>
          <w:sz w:val="24"/>
          <w:szCs w:val="24"/>
          <w:rtl w:val="0"/>
        </w:rPr>
        <w:t>α</w:t>
      </w:r>
      <w:r>
        <w:rPr>
          <w:rStyle w:val="Ohne"/>
          <w:rFonts w:ascii="Times" w:hAnsi="Times"/>
          <w:sz w:val="24"/>
          <w:szCs w:val="24"/>
          <w:rtl w:val="0"/>
        </w:rPr>
        <w:t>=1#&gt;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3.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Φαρμοῦ̣θ̣ι̣ </w:t>
      </w:r>
      <w:r>
        <w:rPr>
          <w:rStyle w:val="Ohne"/>
          <w:rFonts w:ascii="Times" w:hAnsi="Times"/>
          <w:sz w:val="24"/>
          <w:szCs w:val="24"/>
          <w:rtl w:val="0"/>
        </w:rPr>
        <w:t>((</w:t>
      </w:r>
      <w:r>
        <w:rPr>
          <w:rStyle w:val="Ohne"/>
          <w:rFonts w:ascii="Times" w:hAnsi="Times" w:hint="default"/>
          <w:sz w:val="24"/>
          <w:szCs w:val="24"/>
          <w:rtl w:val="0"/>
        </w:rPr>
        <w:t>τάλαντον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"/>
          <w:rFonts w:ascii="Times" w:hAnsi="Times" w:hint="default"/>
          <w:sz w:val="24"/>
          <w:szCs w:val="24"/>
          <w:rtl w:val="0"/>
        </w:rPr>
        <w:t>α</w:t>
      </w:r>
      <w:r>
        <w:rPr>
          <w:rStyle w:val="Ohne"/>
          <w:rFonts w:ascii="Times" w:hAnsi="Times"/>
          <w:sz w:val="24"/>
          <w:szCs w:val="24"/>
          <w:rtl w:val="0"/>
        </w:rPr>
        <w:t>=1#&gt;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4.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Παχὼν </w:t>
      </w:r>
      <w:r>
        <w:rPr>
          <w:rStyle w:val="Ohne"/>
          <w:rFonts w:ascii="Times" w:hAnsi="Times"/>
          <w:sz w:val="24"/>
          <w:szCs w:val="24"/>
          <w:rtl w:val="0"/>
        </w:rPr>
        <w:t>((</w:t>
      </w:r>
      <w:r>
        <w:rPr>
          <w:rStyle w:val="Ohne"/>
          <w:rFonts w:ascii="Times" w:hAnsi="Times" w:hint="default"/>
          <w:sz w:val="24"/>
          <w:szCs w:val="24"/>
          <w:rtl w:val="0"/>
        </w:rPr>
        <w:t>τάλαντον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"/>
          <w:rFonts w:ascii="Times" w:hAnsi="Times" w:hint="default"/>
          <w:sz w:val="24"/>
          <w:szCs w:val="24"/>
          <w:rtl w:val="0"/>
        </w:rPr>
        <w:t>α</w:t>
      </w:r>
      <w:r>
        <w:rPr>
          <w:rStyle w:val="Ohne"/>
          <w:rFonts w:ascii="Times" w:hAnsi="Times"/>
          <w:sz w:val="24"/>
          <w:szCs w:val="24"/>
          <w:rtl w:val="0"/>
        </w:rPr>
        <w:t>=1#&gt;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5.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Παῦνι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Ε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=5000#&gt;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6. &lt;:</w:t>
      </w:r>
      <w:r>
        <w:rPr>
          <w:rStyle w:val="Ohne"/>
          <w:rFonts w:ascii="Times" w:hAnsi="Times" w:hint="default"/>
          <w:sz w:val="24"/>
          <w:szCs w:val="24"/>
          <w:rtl w:val="0"/>
        </w:rPr>
        <w:t>Ἐπεὶφ</w:t>
      </w:r>
      <w:r>
        <w:rPr>
          <w:rStyle w:val="Ohne"/>
          <w:rFonts w:ascii="Times" w:hAnsi="Times"/>
          <w:sz w:val="24"/>
          <w:szCs w:val="24"/>
          <w:rtl w:val="0"/>
        </w:rPr>
        <w:t>|reg|</w:t>
      </w:r>
      <w:r>
        <w:rPr>
          <w:rStyle w:val="Ohne"/>
          <w:rFonts w:ascii="Times" w:hAnsi="Times" w:hint="default"/>
          <w:sz w:val="24"/>
          <w:szCs w:val="24"/>
          <w:rtl w:val="0"/>
        </w:rPr>
        <w:t>Ἐπεὶπ</w:t>
      </w:r>
      <w:r>
        <w:rPr>
          <w:rStyle w:val="Ohne"/>
          <w:rFonts w:ascii="Times" w:hAnsi="Times"/>
          <w:sz w:val="24"/>
          <w:szCs w:val="24"/>
          <w:rtl w:val="0"/>
        </w:rPr>
        <w:t>:&gt; &lt;#</w:t>
      </w:r>
      <w:r>
        <w:rPr>
          <w:rStyle w:val="Ohne"/>
          <w:rFonts w:ascii="Times" w:hAnsi="Times" w:hint="default"/>
          <w:sz w:val="24"/>
          <w:szCs w:val="24"/>
          <w:rtl w:val="0"/>
        </w:rPr>
        <w:t>Δφ</w:t>
      </w:r>
      <w:r>
        <w:rPr>
          <w:rStyle w:val="Ohne"/>
          <w:rFonts w:ascii="Times" w:hAnsi="Times"/>
          <w:sz w:val="24"/>
          <w:szCs w:val="24"/>
          <w:rtl w:val="0"/>
        </w:rPr>
        <w:t>=4500#&gt;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</w:rPr>
        <w:t xml:space="preserve">    7.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Μεσορὴ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Α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=1000#&gt;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8.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Θὼθ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Ε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=5000#&gt;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</w:rPr>
        <w:t xml:space="preserve">    9.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Φαῶφι̣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Γ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10.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Ἁθὺρ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Γ̣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11.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Χοιὰκ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Γ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12.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Τῦβι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Γ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13.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Μεχεὶρ̣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Β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=2000#&gt;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14. 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Φαμενὼθ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Β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=2000#&gt;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15. </w:t>
      </w:r>
      <w:r>
        <w:rPr>
          <w:rStyle w:val="Ohne"/>
          <w:rFonts w:ascii="Times" w:hAnsi="Times" w:hint="default"/>
          <w:sz w:val="24"/>
          <w:szCs w:val="24"/>
          <w:rtl w:val="0"/>
        </w:rPr>
        <w:t>Φαρμο</w:t>
      </w:r>
      <w:r>
        <w:rPr>
          <w:rStyle w:val="Ohne"/>
          <w:rFonts w:ascii="Times" w:hAnsi="Times"/>
          <w:sz w:val="24"/>
          <w:szCs w:val="24"/>
          <w:rtl w:val="0"/>
          <w:lang w:val="pt-PT"/>
        </w:rPr>
        <w:t>[</w:t>
      </w:r>
      <w:r>
        <w:rPr>
          <w:rStyle w:val="Ohne"/>
          <w:rFonts w:ascii="Times" w:hAnsi="Times" w:hint="default"/>
          <w:sz w:val="24"/>
          <w:szCs w:val="24"/>
          <w:rtl w:val="0"/>
        </w:rPr>
        <w:t>ῦ</w:t>
      </w:r>
      <w:r>
        <w:rPr>
          <w:rStyle w:val="Ohne"/>
          <w:rFonts w:ascii="Times" w:hAnsi="Times"/>
          <w:sz w:val="24"/>
          <w:szCs w:val="24"/>
          <w:rtl w:val="0"/>
          <w:lang w:val="pt-PT"/>
        </w:rPr>
        <w:t>]</w:t>
      </w:r>
      <w:r>
        <w:rPr>
          <w:rStyle w:val="Ohne"/>
          <w:rFonts w:ascii="Times" w:hAnsi="Times" w:hint="default"/>
          <w:sz w:val="24"/>
          <w:szCs w:val="24"/>
          <w:rtl w:val="0"/>
        </w:rPr>
        <w:t xml:space="preserve">θ̣ι </w:t>
      </w:r>
      <w:r>
        <w:rPr>
          <w:rStyle w:val="Ohne"/>
          <w:rFonts w:ascii="Times" w:hAnsi="Times"/>
          <w:sz w:val="24"/>
          <w:szCs w:val="24"/>
          <w:rtl w:val="0"/>
        </w:rPr>
        <w:t>&lt;#</w:t>
      </w:r>
      <w:r>
        <w:rPr>
          <w:rStyle w:val="Ohne"/>
          <w:rFonts w:ascii="Times" w:hAnsi="Times" w:hint="default"/>
          <w:sz w:val="24"/>
          <w:szCs w:val="24"/>
          <w:rtl w:val="0"/>
        </w:rPr>
        <w:t>Γ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  <w:r>
        <w:rPr>
          <w:rStyle w:val="Ohne"/>
          <w:rFonts w:ascii="Times" w:hAnsi="Times"/>
          <w:sz w:val="24"/>
          <w:szCs w:val="24"/>
          <w:rtl w:val="0"/>
          <w:lang w:val="de-DE"/>
        </w:rPr>
        <w:t xml:space="preserve">    16. ((</w:t>
      </w:r>
      <w:r>
        <w:rPr>
          <w:rStyle w:val="Ohne"/>
          <w:rFonts w:ascii="Times" w:hAnsi="Times" w:hint="default"/>
          <w:sz w:val="24"/>
          <w:szCs w:val="24"/>
          <w:rtl w:val="0"/>
        </w:rPr>
        <w:t>γίνονται</w:t>
      </w:r>
      <w:r>
        <w:rPr>
          <w:rStyle w:val="Ohne"/>
          <w:rFonts w:ascii="Times" w:hAnsi="Times"/>
          <w:sz w:val="24"/>
          <w:szCs w:val="24"/>
          <w:rtl w:val="0"/>
        </w:rPr>
        <w:t>)) (</w:t>
      </w:r>
      <w:r>
        <w:rPr>
          <w:rStyle w:val="Ohne"/>
          <w:rFonts w:ascii="Times" w:hAnsi="Times" w:hint="default"/>
          <w:sz w:val="24"/>
          <w:szCs w:val="24"/>
          <w:rtl w:val="0"/>
        </w:rPr>
        <w:t>ἐπ</w:t>
      </w:r>
      <w:r>
        <w:rPr>
          <w:rStyle w:val="Ohne"/>
          <w:rFonts w:ascii="Times" w:hAnsi="Times"/>
          <w:sz w:val="24"/>
          <w:szCs w:val="24"/>
          <w:rtl w:val="0"/>
        </w:rPr>
        <w:t>(</w:t>
      </w:r>
      <w:r>
        <w:rPr>
          <w:rStyle w:val="Ohne"/>
          <w:rFonts w:ascii="Times" w:hAnsi="Times" w:hint="default"/>
          <w:sz w:val="24"/>
          <w:szCs w:val="24"/>
          <w:rtl w:val="0"/>
        </w:rPr>
        <w:t>ὶ τὸ αὐτὸ</w:t>
      </w:r>
      <w:r>
        <w:rPr>
          <w:rStyle w:val="Ohne"/>
          <w:rFonts w:ascii="Times" w:hAnsi="Times"/>
          <w:sz w:val="24"/>
          <w:szCs w:val="24"/>
          <w:rtl w:val="0"/>
        </w:rPr>
        <w:t>)) ((</w:t>
      </w:r>
      <w:r>
        <w:rPr>
          <w:rStyle w:val="Ohne"/>
          <w:rFonts w:ascii="Times" w:hAnsi="Times" w:hint="default"/>
          <w:sz w:val="24"/>
          <w:szCs w:val="24"/>
          <w:rtl w:val="0"/>
        </w:rPr>
        <w:t>τάλαντα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"/>
          <w:rFonts w:ascii="Times" w:hAnsi="Times" w:hint="default"/>
          <w:sz w:val="24"/>
          <w:szCs w:val="24"/>
          <w:rtl w:val="0"/>
        </w:rPr>
        <w:t>η</w:t>
      </w:r>
      <w:r>
        <w:rPr>
          <w:rStyle w:val="Ohne"/>
          <w:rFonts w:ascii="Times" w:hAnsi="Times"/>
          <w:sz w:val="24"/>
          <w:szCs w:val="24"/>
          <w:rtl w:val="0"/>
        </w:rPr>
        <w:t>=8#&gt; &lt;#</w:t>
      </w:r>
      <w:r>
        <w:rPr>
          <w:rStyle w:val="Ohne"/>
          <w:rFonts w:ascii="Times" w:hAnsi="Times" w:hint="default"/>
          <w:sz w:val="24"/>
          <w:szCs w:val="24"/>
          <w:rtl w:val="0"/>
        </w:rPr>
        <w:t>Δφ</w:t>
      </w:r>
      <w:r>
        <w:rPr>
          <w:rStyle w:val="Ohne"/>
          <w:rFonts w:ascii="Times" w:hAnsi="Times"/>
          <w:sz w:val="24"/>
          <w:szCs w:val="24"/>
          <w:rtl w:val="0"/>
          <w:lang w:val="en-US"/>
        </w:rPr>
        <w:t>=4500#&gt;=&gt;</w:t>
      </w:r>
    </w:p>
    <w:p>
      <w:pPr>
        <w:pStyle w:val="Text A"/>
        <w:spacing w:line="240" w:lineRule="auto"/>
        <w:ind w:firstLine="0"/>
        <w:rPr>
          <w:rStyle w:val="Ohne"/>
          <w:color w:val="d9d9d9"/>
          <w:u w:color="d9d9d9"/>
          <w:lang w:val="fr-FR"/>
        </w:rPr>
      </w:pPr>
      <w:r>
        <w:rPr>
          <w:rStyle w:val="Ohne"/>
          <w:color w:val="d9d9d9"/>
          <w:u w:color="d9d9d9"/>
          <w:rtl w:val="0"/>
          <w:lang w:val="fr-FR"/>
        </w:rPr>
        <w:t>#bibliography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"https://papyri.info/biblio/96094"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Bagnall, R.S. (2017)</w:t>
      </w:r>
      <w:r>
        <w:rPr/>
        <w:fldChar w:fldCharType="end" w:fldLock="0"/>
      </w:r>
      <w:r>
        <w:rPr>
          <w:rtl w:val="0"/>
          <w:lang w:val="en-US"/>
        </w:rPr>
        <w:t xml:space="preserve"> The Undertakers of the Great Oasis (P. Nekr.). London.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"https://papyri.info/biblio/96082"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Budge, E.A.W. (1920)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Ohne"/>
          <w:color w:val="24292f"/>
          <w:u w:color="24292f"/>
          <w:shd w:val="clear" w:color="auto" w:fill="ffffff"/>
          <w:rtl w:val="0"/>
          <w:lang w:val="en-US"/>
        </w:rPr>
        <w:t>By Nile and Tigris: A Narrative of Journeys in Egypt and Mesopotamia on Behalf of the British Museum between the Years 1886 and 1913. Volume II</w:t>
      </w:r>
      <w:r>
        <w:rPr>
          <w:rtl w:val="0"/>
          <w:lang w:val="en-US"/>
        </w:rPr>
        <w:t>. London.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"https://papyri.info/biblio/96070"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Clapinson, M. and Rogers, T.D. (1991)</w:t>
      </w:r>
      <w:r>
        <w:rPr/>
        <w:fldChar w:fldCharType="end" w:fldLock="0"/>
      </w:r>
      <w:r>
        <w:rPr>
          <w:rtl w:val="0"/>
          <w:lang w:val="en-US"/>
        </w:rPr>
        <w:t xml:space="preserve"> Summary Catalogue of Post-medieval Manuscripts in the Bodleian Library, Oxford. Acquisitions 1916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1975 (SC 37300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55936). Oxford.</w:t>
      </w:r>
    </w:p>
    <w:p>
      <w:pPr>
        <w:pStyle w:val="Text A"/>
        <w:spacing w:line="240" w:lineRule="auto"/>
        <w:ind w:left="720" w:hanging="720"/>
      </w:pPr>
      <w:r>
        <w:rPr>
          <w:rStyle w:val="Hyperlink.1"/>
          <w:color w:val="0563c1"/>
          <w:u w:val="single" w:color="0563c1"/>
          <w:lang w:val="it-IT"/>
        </w:rPr>
        <w:fldChar w:fldCharType="begin" w:fldLock="0"/>
      </w:r>
      <w:r>
        <w:rPr>
          <w:rStyle w:val="Hyperlink.1"/>
          <w:color w:val="0563c1"/>
          <w:u w:val="single" w:color="0563c1"/>
          <w:lang w:val="it-IT"/>
        </w:rPr>
        <w:instrText xml:space="preserve"> HYPERLINK "https://papyri.info/biblio/15202"</w:instrText>
      </w:r>
      <w:r>
        <w:rPr>
          <w:rStyle w:val="Hyperlink.1"/>
          <w:color w:val="0563c1"/>
          <w:u w:val="single" w:color="0563c1"/>
          <w:lang w:val="it-IT"/>
        </w:rPr>
        <w:fldChar w:fldCharType="separate" w:fldLock="0"/>
      </w:r>
      <w:r>
        <w:rPr>
          <w:rStyle w:val="Hyperlink.1"/>
          <w:color w:val="0563c1"/>
          <w:u w:val="single" w:color="0563c1"/>
          <w:rtl w:val="0"/>
          <w:lang w:val="it-IT"/>
        </w:rPr>
        <w:t>Davoli, P. (1998)</w:t>
      </w:r>
      <w:r>
        <w:rPr/>
        <w:fldChar w:fldCharType="end" w:fldLock="0"/>
      </w:r>
      <w:r>
        <w:rPr>
          <w:rStyle w:val="Ohne"/>
          <w:rtl w:val="0"/>
          <w:lang w:val="en-US"/>
        </w:rPr>
        <w:t xml:space="preserve"> L</w:t>
      </w:r>
      <w:r>
        <w:rPr>
          <w:rStyle w:val="Ohne"/>
          <w:rtl w:val="0"/>
          <w:lang w:val="en-US"/>
        </w:rPr>
        <w:t>’</w:t>
      </w:r>
      <w:r>
        <w:rPr>
          <w:rStyle w:val="Ohne"/>
          <w:rtl w:val="0"/>
          <w:lang w:val="it-IT"/>
        </w:rPr>
        <w:t>archeologia urbana nel Fayyum di et</w:t>
      </w:r>
      <w:r>
        <w:rPr>
          <w:rStyle w:val="Ohne"/>
          <w:rtl w:val="0"/>
          <w:lang w:val="fr-FR"/>
        </w:rPr>
        <w:t xml:space="preserve">à </w:t>
      </w:r>
      <w:r>
        <w:rPr>
          <w:rStyle w:val="Ohne"/>
          <w:rtl w:val="0"/>
          <w:lang w:val="it-IT"/>
        </w:rPr>
        <w:t>ellenistica e romana. Napoli.</w:t>
      </w:r>
    </w:p>
    <w:p>
      <w:pPr>
        <w:pStyle w:val="Text A"/>
        <w:spacing w:line="240" w:lineRule="auto"/>
        <w:ind w:left="720" w:hanging="720"/>
      </w:pPr>
      <w:r>
        <w:rPr>
          <w:rStyle w:val="Hyperlink.2"/>
          <w:color w:val="0563c1"/>
          <w:u w:val="single" w:color="0563c1"/>
          <w:lang w:val="nl-NL"/>
        </w:rPr>
        <w:fldChar w:fldCharType="begin" w:fldLock="0"/>
      </w:r>
      <w:r>
        <w:rPr>
          <w:rStyle w:val="Hyperlink.2"/>
          <w:color w:val="0563c1"/>
          <w:u w:val="single" w:color="0563c1"/>
          <w:lang w:val="nl-NL"/>
        </w:rPr>
        <w:instrText xml:space="preserve"> HYPERLINK "https://papyri.info/biblio/96068"</w:instrText>
      </w:r>
      <w:r>
        <w:rPr>
          <w:rStyle w:val="Hyperlink.2"/>
          <w:color w:val="0563c1"/>
          <w:u w:val="single" w:color="0563c1"/>
          <w:lang w:val="nl-NL"/>
        </w:rPr>
        <w:fldChar w:fldCharType="separate" w:fldLock="0"/>
      </w:r>
      <w:r>
        <w:rPr>
          <w:rStyle w:val="Hyperlink.2"/>
          <w:color w:val="0563c1"/>
          <w:u w:val="single" w:color="0563c1"/>
          <w:rtl w:val="0"/>
          <w:lang w:val="nl-NL"/>
        </w:rPr>
        <w:t>Depauw, M. and Gheldof, T. (2014)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en-US"/>
        </w:rPr>
        <w:t>Trismegistos. An Interdisciplinary Platform for Ancient World Texts and Related Information,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 xml:space="preserve">in </w:t>
      </w:r>
      <w:r>
        <w:rPr>
          <w:rStyle w:val="Ohne"/>
          <w:rtl w:val="0"/>
          <w:lang w:val="en-US"/>
        </w:rPr>
        <w:t>Ł</w:t>
      </w:r>
      <w:r>
        <w:rPr>
          <w:rStyle w:val="Ohne"/>
          <w:rtl w:val="0"/>
          <w:lang w:val="it-IT"/>
        </w:rPr>
        <w:t>. Bolikowski, V. Casarosa, P. Goodale, N. Houssos, P. Manghi, J. Schirrwagen (eds),</w:t>
      </w:r>
      <w:r>
        <w:rPr>
          <w:rStyle w:val="Ohne"/>
          <w:rtl w:val="0"/>
          <w:lang w:val="en-US"/>
        </w:rPr>
        <w:t> </w:t>
      </w:r>
      <w:r>
        <w:rPr>
          <w:rStyle w:val="Ohne"/>
          <w:rtl w:val="0"/>
          <w:lang w:val="en-US"/>
        </w:rPr>
        <w:t>Theory and Practice of Digital Libraries - TPDL 2013 Selected Workshops. Cham: 40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52.</w:t>
      </w:r>
    </w:p>
    <w:p>
      <w:pPr>
        <w:pStyle w:val="Text A"/>
        <w:spacing w:line="240" w:lineRule="auto"/>
        <w:ind w:left="720" w:hanging="720"/>
      </w:pPr>
      <w:r>
        <w:rPr>
          <w:rStyle w:val="Hyperlink.3"/>
          <w:color w:val="0563c1"/>
          <w:u w:val="single" w:color="0563c1"/>
          <w:lang w:val="en-US"/>
        </w:rPr>
        <w:fldChar w:fldCharType="begin" w:fldLock="0"/>
      </w:r>
      <w:r>
        <w:rPr>
          <w:rStyle w:val="Hyperlink.3"/>
          <w:color w:val="0563c1"/>
          <w:u w:val="single" w:color="0563c1"/>
          <w:lang w:val="en-US"/>
        </w:rPr>
        <w:instrText xml:space="preserve"> HYPERLINK "https://papyri.info/biblio/96083"</w:instrText>
      </w:r>
      <w:r>
        <w:rPr>
          <w:rStyle w:val="Hyperlink.3"/>
          <w:color w:val="0563c1"/>
          <w:u w:val="single" w:color="0563c1"/>
          <w:lang w:val="en-US"/>
        </w:rPr>
        <w:fldChar w:fldCharType="separate" w:fldLock="0"/>
      </w:r>
      <w:r>
        <w:rPr>
          <w:rStyle w:val="Hyperlink.3"/>
          <w:color w:val="0563c1"/>
          <w:u w:val="single" w:color="0563c1"/>
          <w:rtl w:val="0"/>
          <w:lang w:val="en-US"/>
        </w:rPr>
        <w:t>Garnett, D. ed. (1941)</w:t>
      </w:r>
      <w:r>
        <w:rPr/>
        <w:fldChar w:fldCharType="end" w:fldLock="0"/>
      </w:r>
      <w:r>
        <w:rPr>
          <w:rStyle w:val="Ohne"/>
          <w:rtl w:val="0"/>
          <w:lang w:val="en-US"/>
        </w:rPr>
        <w:t xml:space="preserve"> Selected Letters of T. E. Lawrence. </w:t>
      </w:r>
      <w:r>
        <w:rPr>
          <w:rStyle w:val="Ohne"/>
          <w:rtl w:val="0"/>
          <w:lang w:val="de-DE"/>
        </w:rPr>
        <w:t>London.</w:t>
      </w:r>
    </w:p>
    <w:p>
      <w:pPr>
        <w:pStyle w:val="Text A"/>
        <w:spacing w:line="240" w:lineRule="auto"/>
        <w:ind w:left="720" w:hanging="720"/>
        <w:jc w:val="both"/>
        <w:rPr>
          <w:rStyle w:val="Ohne"/>
          <w:lang w:val="de-DE"/>
        </w:rPr>
      </w:pPr>
      <w:r>
        <w:rPr>
          <w:rStyle w:val="Hyperlink.4"/>
          <w:color w:val="0563c1"/>
          <w:u w:val="single" w:color="0563c1"/>
          <w:lang w:val="de-DE"/>
        </w:rPr>
        <w:fldChar w:fldCharType="begin" w:fldLock="0"/>
      </w:r>
      <w:r>
        <w:rPr>
          <w:rStyle w:val="Hyperlink.4"/>
          <w:color w:val="0563c1"/>
          <w:u w:val="single" w:color="0563c1"/>
          <w:lang w:val="de-DE"/>
        </w:rPr>
        <w:instrText xml:space="preserve"> HYPERLINK "https://papyri.info/biblio/95865"</w:instrText>
      </w:r>
      <w:r>
        <w:rPr>
          <w:rStyle w:val="Hyperlink.4"/>
          <w:color w:val="0563c1"/>
          <w:u w:val="single" w:color="0563c1"/>
          <w:lang w:val="de-DE"/>
        </w:rPr>
        <w:fldChar w:fldCharType="separate" w:fldLock="0"/>
      </w:r>
      <w:r>
        <w:rPr>
          <w:rStyle w:val="Hyperlink.4"/>
          <w:color w:val="0563c1"/>
          <w:u w:val="single" w:color="0563c1"/>
          <w:rtl w:val="0"/>
          <w:lang w:val="de-DE"/>
        </w:rPr>
        <w:t>Gerstinger, H. (1926)</w:t>
      </w:r>
      <w:r>
        <w:rPr>
          <w:lang w:val="de-DE"/>
        </w:rPr>
        <w:fldChar w:fldCharType="end" w:fldLock="0"/>
      </w:r>
      <w:r>
        <w:rPr>
          <w:rStyle w:val="Ohne"/>
          <w:rtl w:val="0"/>
          <w:lang w:val="de-DE"/>
        </w:rPr>
        <w:t xml:space="preserve"> “</w:t>
      </w:r>
      <w:r>
        <w:rPr>
          <w:rStyle w:val="Ohne"/>
          <w:rtl w:val="0"/>
          <w:lang w:val="de-DE"/>
        </w:rPr>
        <w:t xml:space="preserve">Zur Geschichte der Griechischen Abteilung der Papyrussamlung der Nationalbibliothek in Wien, mit einem Anhang: Katalog der Homerpapyri der Sammlung </w:t>
      </w:r>
      <w:r>
        <w:rPr>
          <w:rStyle w:val="Ohne"/>
          <w:rtl w:val="0"/>
          <w:lang w:val="de-DE"/>
        </w:rPr>
        <w:t>‘</w:t>
      </w:r>
      <w:r>
        <w:rPr>
          <w:rStyle w:val="Ohne"/>
          <w:rtl w:val="0"/>
          <w:lang w:val="de-DE"/>
        </w:rPr>
        <w:t>Papyrus Erzherzog Rainer</w:t>
      </w:r>
      <w:r>
        <w:rPr>
          <w:rStyle w:val="Ohne"/>
          <w:rtl w:val="0"/>
          <w:lang w:val="de-DE"/>
        </w:rPr>
        <w:t>’</w:t>
      </w:r>
      <w:r>
        <w:rPr>
          <w:rStyle w:val="Ohne"/>
          <w:rtl w:val="0"/>
          <w:lang w:val="de-DE"/>
        </w:rPr>
        <w:t>,</w:t>
      </w:r>
      <w:r>
        <w:rPr>
          <w:rStyle w:val="Ohne"/>
          <w:rtl w:val="0"/>
          <w:lang w:val="de-DE"/>
        </w:rPr>
        <w:t xml:space="preserve">” </w:t>
      </w:r>
      <w:r>
        <w:rPr>
          <w:rStyle w:val="Ohne"/>
          <w:rtl w:val="0"/>
          <w:lang w:val="de-DE"/>
        </w:rPr>
        <w:t>Archiv f</w:t>
      </w:r>
      <w:r>
        <w:rPr>
          <w:rStyle w:val="Ohne"/>
          <w:rtl w:val="0"/>
          <w:lang w:val="de-DE"/>
        </w:rPr>
        <w:t>ü</w:t>
      </w:r>
      <w:r>
        <w:rPr>
          <w:rStyle w:val="Ohne"/>
          <w:rtl w:val="0"/>
          <w:lang w:val="de-DE"/>
        </w:rPr>
        <w:t>r Bibliographie 1: 82</w:t>
      </w:r>
      <w:r>
        <w:rPr>
          <w:rStyle w:val="Ohne"/>
          <w:rtl w:val="0"/>
          <w:lang w:val="de-DE"/>
        </w:rPr>
        <w:t>–</w:t>
      </w:r>
      <w:r>
        <w:rPr>
          <w:rStyle w:val="Ohne"/>
          <w:rtl w:val="0"/>
          <w:lang w:val="de-DE"/>
        </w:rPr>
        <w:t>93.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"https://papyri.info/biblio/95162"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Grenfell, B.P., and Hunt, A.S. (1897)</w:t>
      </w:r>
      <w:r>
        <w:rPr/>
        <w:fldChar w:fldCharType="end" w:fldLock="0"/>
      </w:r>
      <w:r>
        <w:rPr>
          <w:rtl w:val="0"/>
          <w:lang w:val="en-US"/>
        </w:rPr>
        <w:t xml:space="preserve"> New Classical Fragments and Other Greek and Latin Papyri. Oxford.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"https://papyri.info/biblio/95143"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Grenfell, B.P., Hunt, A.S., and Hogarth, D.G. (1900)</w:t>
      </w:r>
      <w:r>
        <w:rPr/>
        <w:fldChar w:fldCharType="end" w:fldLock="0"/>
      </w:r>
      <w:r>
        <w:rPr>
          <w:rtl w:val="0"/>
          <w:lang w:val="en-US"/>
        </w:rPr>
        <w:t xml:space="preserve"> Fayum Towns and their Papyri. London.</w:t>
      </w:r>
    </w:p>
    <w:p>
      <w:pPr>
        <w:pStyle w:val="Text A"/>
        <w:spacing w:line="240" w:lineRule="auto"/>
        <w:ind w:left="720" w:hanging="720"/>
      </w:pPr>
      <w:r>
        <w:rPr>
          <w:rStyle w:val="Hyperlink.4"/>
          <w:color w:val="0563c1"/>
          <w:u w:val="single" w:color="0563c1"/>
          <w:lang w:val="de-DE"/>
        </w:rPr>
        <w:fldChar w:fldCharType="begin" w:fldLock="0"/>
      </w:r>
      <w:r>
        <w:rPr>
          <w:rStyle w:val="Hyperlink.4"/>
          <w:color w:val="0563c1"/>
          <w:u w:val="single" w:color="0563c1"/>
          <w:lang w:val="de-DE"/>
        </w:rPr>
        <w:instrText xml:space="preserve"> HYPERLINK "https://papyri.info/biblio/84769"</w:instrText>
      </w:r>
      <w:r>
        <w:rPr>
          <w:rStyle w:val="Hyperlink.4"/>
          <w:color w:val="0563c1"/>
          <w:u w:val="single" w:color="0563c1"/>
          <w:lang w:val="de-DE"/>
        </w:rPr>
        <w:fldChar w:fldCharType="separate" w:fldLock="0"/>
      </w:r>
      <w:r>
        <w:rPr>
          <w:rStyle w:val="Hyperlink.4"/>
          <w:color w:val="0563c1"/>
          <w:u w:val="single" w:color="0563c1"/>
          <w:rtl w:val="0"/>
          <w:lang w:val="de-DE"/>
        </w:rPr>
        <w:t>Hagen, F. and Ryholt, K. (2016)</w:t>
      </w:r>
      <w:r>
        <w:rPr/>
        <w:fldChar w:fldCharType="end" w:fldLock="0"/>
      </w:r>
      <w:r>
        <w:rPr>
          <w:rStyle w:val="Ohne"/>
          <w:rtl w:val="0"/>
          <w:lang w:val="en-US"/>
        </w:rPr>
        <w:t xml:space="preserve"> The Antiquities Trade in Egypt: 1880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1930. The H.O. Lange Papers.</w:t>
      </w:r>
      <w:r>
        <w:rPr>
          <w:rStyle w:val="Ohne"/>
          <w:i w:val="1"/>
          <w:iCs w:val="1"/>
          <w:rtl w:val="0"/>
          <w:lang w:val="en-US"/>
        </w:rPr>
        <w:t xml:space="preserve"> </w:t>
      </w:r>
      <w:r>
        <w:rPr>
          <w:rStyle w:val="Ohne"/>
          <w:rtl w:val="0"/>
          <w:lang w:val="en-US"/>
        </w:rPr>
        <w:t xml:space="preserve">Copenhagen. </w:t>
      </w:r>
    </w:p>
    <w:p>
      <w:pPr>
        <w:pStyle w:val="Text A"/>
        <w:spacing w:line="240" w:lineRule="auto"/>
        <w:ind w:left="720" w:hanging="720"/>
      </w:pPr>
      <w:r>
        <w:rPr>
          <w:rStyle w:val="Hyperlink.3"/>
          <w:color w:val="0563c1"/>
          <w:u w:val="single" w:color="0563c1"/>
          <w:lang w:val="en-US"/>
        </w:rPr>
        <w:fldChar w:fldCharType="begin" w:fldLock="0"/>
      </w:r>
      <w:r>
        <w:rPr>
          <w:rStyle w:val="Hyperlink.3"/>
          <w:color w:val="0563c1"/>
          <w:u w:val="single" w:color="0563c1"/>
          <w:lang w:val="en-US"/>
        </w:rPr>
        <w:instrText xml:space="preserve"> HYPERLINK "https://papyri.info/biblio/96095"</w:instrText>
      </w:r>
      <w:r>
        <w:rPr>
          <w:rStyle w:val="Hyperlink.3"/>
          <w:color w:val="0563c1"/>
          <w:u w:val="single" w:color="0563c1"/>
          <w:lang w:val="en-US"/>
        </w:rPr>
        <w:fldChar w:fldCharType="separate" w:fldLock="0"/>
      </w:r>
      <w:r>
        <w:rPr>
          <w:rStyle w:val="Hyperlink.3"/>
          <w:color w:val="0563c1"/>
          <w:u w:val="single" w:color="0563c1"/>
          <w:rtl w:val="0"/>
          <w:lang w:val="en-US"/>
        </w:rPr>
        <w:t>Hall, H. R. (1928)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de-DE"/>
        </w:rPr>
        <w:t>David George Hogarth: Died Nov. 6, 1927.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de-DE"/>
        </w:rPr>
        <w:t>JEA 14: 128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130.</w:t>
      </w:r>
    </w:p>
    <w:p>
      <w:pPr>
        <w:pStyle w:val="Text A"/>
        <w:spacing w:line="240" w:lineRule="auto"/>
        <w:ind w:left="720" w:hanging="720"/>
      </w:pPr>
      <w:r>
        <w:rPr>
          <w:rStyle w:val="Hyperlink.3"/>
          <w:color w:val="0563c1"/>
          <w:u w:val="single" w:color="0563c1"/>
          <w:lang w:val="en-US"/>
        </w:rPr>
        <w:fldChar w:fldCharType="begin" w:fldLock="0"/>
      </w:r>
      <w:r>
        <w:rPr>
          <w:rStyle w:val="Hyperlink.3"/>
          <w:color w:val="0563c1"/>
          <w:u w:val="single" w:color="0563c1"/>
          <w:lang w:val="en-US"/>
        </w:rPr>
        <w:instrText xml:space="preserve"> HYPERLINK "https://papyri.info/biblio/96090"</w:instrText>
      </w:r>
      <w:r>
        <w:rPr>
          <w:rStyle w:val="Hyperlink.3"/>
          <w:color w:val="0563c1"/>
          <w:u w:val="single" w:color="0563c1"/>
          <w:lang w:val="en-US"/>
        </w:rPr>
        <w:fldChar w:fldCharType="separate" w:fldLock="0"/>
      </w:r>
      <w:r>
        <w:rPr>
          <w:rStyle w:val="Hyperlink.3"/>
          <w:color w:val="0563c1"/>
          <w:u w:val="single" w:color="0563c1"/>
          <w:rtl w:val="0"/>
          <w:lang w:val="en-US"/>
        </w:rPr>
        <w:t>Hickey, T. M. and Keenan, J. G. (2016)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en-US"/>
        </w:rPr>
        <w:t>At the Creation. Seven Letters from Grenfell, 1897.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APapyrol 28: 351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382.</w:t>
      </w:r>
    </w:p>
    <w:p>
      <w:pPr>
        <w:pStyle w:val="Text A"/>
        <w:spacing w:line="240" w:lineRule="auto"/>
        <w:ind w:left="720" w:hanging="720"/>
      </w:pPr>
      <w:r>
        <w:rPr>
          <w:rStyle w:val="Hyperlink.3"/>
          <w:color w:val="0563c1"/>
          <w:u w:val="single" w:color="0563c1"/>
          <w:lang w:val="en-US"/>
        </w:rPr>
        <w:fldChar w:fldCharType="begin" w:fldLock="0"/>
      </w:r>
      <w:r>
        <w:rPr>
          <w:rStyle w:val="Hyperlink.3"/>
          <w:color w:val="0563c1"/>
          <w:u w:val="single" w:color="0563c1"/>
          <w:lang w:val="en-US"/>
        </w:rPr>
        <w:instrText xml:space="preserve"> HYPERLINK "https://papyri.info/biblio/96076"</w:instrText>
      </w:r>
      <w:r>
        <w:rPr>
          <w:rStyle w:val="Hyperlink.3"/>
          <w:color w:val="0563c1"/>
          <w:u w:val="single" w:color="0563c1"/>
          <w:lang w:val="en-US"/>
        </w:rPr>
        <w:fldChar w:fldCharType="separate" w:fldLock="0"/>
      </w:r>
      <w:r>
        <w:rPr>
          <w:rStyle w:val="Hyperlink.3"/>
          <w:color w:val="0563c1"/>
          <w:u w:val="single" w:color="0563c1"/>
          <w:rtl w:val="0"/>
          <w:lang w:val="en-US"/>
        </w:rPr>
        <w:t>Hogarth, D.G., and Benson, E.F. (1894</w:t>
      </w:r>
      <w:r>
        <w:rPr>
          <w:rStyle w:val="Hyperlink.3"/>
          <w:color w:val="0563c1"/>
          <w:u w:val="single" w:color="0563c1"/>
          <w:rtl w:val="0"/>
          <w:lang w:val="en-US"/>
        </w:rPr>
        <w:t>–</w:t>
      </w:r>
      <w:r>
        <w:rPr>
          <w:rStyle w:val="Hyperlink.3"/>
          <w:color w:val="0563c1"/>
          <w:u w:val="single" w:color="0563c1"/>
          <w:rtl w:val="0"/>
          <w:lang w:val="en-US"/>
        </w:rPr>
        <w:t>5)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en-US"/>
        </w:rPr>
        <w:t>Report on the Prospects of Research in Alexandria.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Egypt Exploration Fund: Archaeological Report 1894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1895: 1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33.</w:t>
      </w:r>
    </w:p>
    <w:p>
      <w:pPr>
        <w:pStyle w:val="Text A"/>
        <w:spacing w:line="240" w:lineRule="auto"/>
        <w:ind w:left="720" w:hanging="720"/>
      </w:pPr>
      <w:r>
        <w:rPr>
          <w:rStyle w:val="Hyperlink.4"/>
          <w:color w:val="0563c1"/>
          <w:u w:val="single" w:color="0563c1"/>
          <w:lang w:val="de-DE"/>
        </w:rPr>
        <w:fldChar w:fldCharType="begin" w:fldLock="0"/>
      </w:r>
      <w:r>
        <w:rPr>
          <w:rStyle w:val="Hyperlink.4"/>
          <w:color w:val="0563c1"/>
          <w:u w:val="single" w:color="0563c1"/>
          <w:lang w:val="de-DE"/>
        </w:rPr>
        <w:instrText xml:space="preserve"> HYPERLINK "https://papyri.info/biblio/96072"</w:instrText>
      </w:r>
      <w:r>
        <w:rPr>
          <w:rStyle w:val="Hyperlink.4"/>
          <w:color w:val="0563c1"/>
          <w:u w:val="single" w:color="0563c1"/>
          <w:lang w:val="de-DE"/>
        </w:rPr>
        <w:fldChar w:fldCharType="separate" w:fldLock="0"/>
      </w:r>
      <w:r>
        <w:rPr>
          <w:rStyle w:val="Hyperlink.4"/>
          <w:color w:val="0563c1"/>
          <w:u w:val="single" w:color="0563c1"/>
          <w:rtl w:val="0"/>
          <w:lang w:val="de-DE"/>
        </w:rPr>
        <w:t>Hogarth, D.G., and Grenfell, B.P. (1895</w:t>
      </w:r>
      <w:r>
        <w:rPr>
          <w:rStyle w:val="Hyperlink.3"/>
          <w:color w:val="0563c1"/>
          <w:u w:val="single" w:color="0563c1"/>
          <w:rtl w:val="0"/>
          <w:lang w:val="en-US"/>
        </w:rPr>
        <w:t>–</w:t>
      </w:r>
      <w:r>
        <w:rPr>
          <w:rStyle w:val="Hyperlink.3"/>
          <w:color w:val="0563c1"/>
          <w:u w:val="single" w:color="0563c1"/>
          <w:rtl w:val="0"/>
          <w:lang w:val="en-US"/>
        </w:rPr>
        <w:t>6)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en-US"/>
        </w:rPr>
        <w:t>Cities of the Faiy</w:t>
      </w:r>
      <w:r>
        <w:rPr>
          <w:rStyle w:val="Ohne"/>
          <w:rtl w:val="0"/>
          <w:lang w:val="fr-FR"/>
        </w:rPr>
        <w:t>û</w:t>
      </w:r>
      <w:r>
        <w:rPr>
          <w:rStyle w:val="Ohne"/>
          <w:rtl w:val="0"/>
          <w:lang w:val="it-IT"/>
        </w:rPr>
        <w:t>m: Karanis and Bacchias,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Egypt Exploration Fund: Archaeological Report 1895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1896: 14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19.</w:t>
      </w:r>
    </w:p>
    <w:p>
      <w:pPr>
        <w:pStyle w:val="Text A"/>
        <w:spacing w:line="240" w:lineRule="auto"/>
        <w:ind w:left="720" w:hanging="720"/>
      </w:pPr>
      <w:r>
        <w:rPr>
          <w:rStyle w:val="Hyperlink.2"/>
          <w:color w:val="0563c1"/>
          <w:u w:val="single" w:color="0563c1"/>
          <w:lang w:val="nl-NL"/>
        </w:rPr>
        <w:fldChar w:fldCharType="begin" w:fldLock="0"/>
      </w:r>
      <w:r>
        <w:rPr>
          <w:rStyle w:val="Hyperlink.2"/>
          <w:color w:val="0563c1"/>
          <w:u w:val="single" w:color="0563c1"/>
          <w:lang w:val="nl-NL"/>
        </w:rPr>
        <w:instrText xml:space="preserve"> HYPERLINK "https://papyri.info/biblio/96074"</w:instrText>
      </w:r>
      <w:r>
        <w:rPr>
          <w:rStyle w:val="Hyperlink.2"/>
          <w:color w:val="0563c1"/>
          <w:u w:val="single" w:color="0563c1"/>
          <w:lang w:val="nl-NL"/>
        </w:rPr>
        <w:fldChar w:fldCharType="separate" w:fldLock="0"/>
      </w:r>
      <w:r>
        <w:rPr>
          <w:rStyle w:val="Hyperlink.2"/>
          <w:color w:val="0563c1"/>
          <w:u w:val="single" w:color="0563c1"/>
          <w:rtl w:val="0"/>
          <w:lang w:val="nl-NL"/>
        </w:rPr>
        <w:t>Hunt, A.S. (1926)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de-DE"/>
        </w:rPr>
        <w:t>B. P. Grenfell 1869-1926,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PBA 12: 357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364.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"https://papyri.info/biblio/95198"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Kenyon, F.G. and Bell, H.I. (1907)</w:t>
      </w:r>
      <w:r>
        <w:rPr/>
        <w:fldChar w:fldCharType="end" w:fldLock="0"/>
      </w:r>
      <w:r>
        <w:rPr>
          <w:rtl w:val="0"/>
          <w:lang w:val="en-US"/>
        </w:rPr>
        <w:t xml:space="preserve"> Greek Papyri in the British Museum. Catalogue, with Texts. Vol. III. London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"https://papyri.info/biblio/96080"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Kenyon, F.G. (1897)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Ohne"/>
          <w:color w:val="24292f"/>
          <w:u w:color="24292f"/>
          <w:shd w:val="clear" w:color="auto" w:fill="ffffff"/>
          <w:rtl w:val="0"/>
          <w:lang w:val="en-US"/>
        </w:rPr>
        <w:t>The poems of Bacchylides from a papyrus in the British Museum.</w:t>
      </w:r>
      <w:r>
        <w:rPr>
          <w:rtl w:val="0"/>
          <w:lang w:val="en-US"/>
        </w:rPr>
        <w:t xml:space="preserve"> London.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"https://papyri.info/biblio/14863"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Leonard, A. (1997)</w:t>
      </w:r>
      <w:r>
        <w:rPr/>
        <w:fldChar w:fldCharType="end" w:fldLock="0"/>
      </w:r>
      <w:r>
        <w:rPr>
          <w:rtl w:val="0"/>
          <w:lang w:val="en-US"/>
        </w:rPr>
        <w:t xml:space="preserve"> Ancient Naukratis: Excavations at a Greek Emporium in Egypt. Part I: The Excavations at Kom Ge'if. The Annual of the American Schools of Oriental Research, Vol. 54. Atlanta.</w:t>
      </w:r>
    </w:p>
    <w:p>
      <w:pPr>
        <w:pStyle w:val="Text A"/>
        <w:spacing w:line="240" w:lineRule="auto"/>
        <w:ind w:left="720" w:hanging="720"/>
      </w:pPr>
      <w:r>
        <w:rPr>
          <w:rStyle w:val="Hyperlink.3"/>
          <w:color w:val="0563c1"/>
          <w:u w:val="single" w:color="0563c1"/>
          <w:lang w:val="en-US"/>
        </w:rPr>
        <w:fldChar w:fldCharType="begin" w:fldLock="0"/>
      </w:r>
      <w:r>
        <w:rPr>
          <w:rStyle w:val="Hyperlink.3"/>
          <w:color w:val="0563c1"/>
          <w:u w:val="single" w:color="0563c1"/>
          <w:lang w:val="en-US"/>
        </w:rPr>
        <w:instrText xml:space="preserve"> HYPERLINK "https://papyri.info/biblio/35712"</w:instrText>
      </w:r>
      <w:r>
        <w:rPr>
          <w:rStyle w:val="Hyperlink.3"/>
          <w:color w:val="0563c1"/>
          <w:u w:val="single" w:color="0563c1"/>
          <w:lang w:val="en-US"/>
        </w:rPr>
        <w:fldChar w:fldCharType="separate" w:fldLock="0"/>
      </w:r>
      <w:r>
        <w:rPr>
          <w:rStyle w:val="Hyperlink.3"/>
          <w:color w:val="0563c1"/>
          <w:u w:val="single" w:color="0563c1"/>
          <w:rtl w:val="0"/>
          <w:lang w:val="en-US"/>
        </w:rPr>
        <w:t>Lobel, E. (1936)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de-DE"/>
        </w:rPr>
        <w:t>A Tragic Fragment,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in C. Bailey et al. (eds.), Greek Poetry and Life: Essays Presented to Professor Gilbert Murray. London: 295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298.</w:t>
      </w:r>
    </w:p>
    <w:p>
      <w:pPr>
        <w:pStyle w:val="Text A"/>
        <w:spacing w:line="240" w:lineRule="auto"/>
        <w:ind w:left="720" w:hanging="720"/>
      </w:pPr>
      <w:r>
        <w:rPr>
          <w:rStyle w:val="Hyperlink.3"/>
          <w:color w:val="0563c1"/>
          <w:u w:val="single" w:color="0563c1"/>
          <w:lang w:val="en-US"/>
        </w:rPr>
        <w:fldChar w:fldCharType="begin" w:fldLock="0"/>
      </w:r>
      <w:r>
        <w:rPr>
          <w:rStyle w:val="Hyperlink.3"/>
          <w:color w:val="0563c1"/>
          <w:u w:val="single" w:color="0563c1"/>
          <w:lang w:val="en-US"/>
        </w:rPr>
        <w:instrText xml:space="preserve"> HYPERLINK "https://papyri.info/biblio/96066"</w:instrText>
      </w:r>
      <w:r>
        <w:rPr>
          <w:rStyle w:val="Hyperlink.3"/>
          <w:color w:val="0563c1"/>
          <w:u w:val="single" w:color="0563c1"/>
          <w:lang w:val="en-US"/>
        </w:rPr>
        <w:fldChar w:fldCharType="separate" w:fldLock="0"/>
      </w:r>
      <w:r>
        <w:rPr>
          <w:rStyle w:val="Hyperlink.3"/>
          <w:color w:val="0563c1"/>
          <w:u w:val="single" w:color="0563c1"/>
          <w:rtl w:val="0"/>
          <w:lang w:val="en-US"/>
        </w:rPr>
        <w:t>Lock, P. (1990)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en-US"/>
        </w:rPr>
        <w:t>D.G. Hogarth (1869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 xml:space="preserve">1927): </w:t>
      </w:r>
      <w:r>
        <w:rPr>
          <w:rStyle w:val="Ohne"/>
          <w:rtl w:val="0"/>
          <w:lang w:val="en-US"/>
        </w:rPr>
        <w:t xml:space="preserve">‘… </w:t>
      </w:r>
      <w:r>
        <w:rPr>
          <w:rStyle w:val="Ohne"/>
          <w:rtl w:val="0"/>
          <w:lang w:val="en-US"/>
        </w:rPr>
        <w:t>A Specialist in the Science of Archaeology</w:t>
      </w:r>
      <w:r>
        <w:rPr>
          <w:rStyle w:val="Ohne"/>
          <w:rtl w:val="0"/>
          <w:lang w:val="en-US"/>
        </w:rPr>
        <w:t>’</w:t>
      </w:r>
      <w:r>
        <w:rPr>
          <w:rStyle w:val="Ohne"/>
          <w:rtl w:val="0"/>
          <w:lang w:val="en-US"/>
        </w:rPr>
        <w:t>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ABSA 85: 175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200.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"https://papyri.info/biblio/96069"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Madan, F. and Craster, H. H. E. (1924)</w:t>
      </w:r>
      <w:r>
        <w:rPr/>
        <w:fldChar w:fldCharType="end" w:fldLock="0"/>
      </w:r>
      <w:r>
        <w:rPr>
          <w:rtl w:val="0"/>
          <w:lang w:val="en-US"/>
        </w:rPr>
        <w:t xml:space="preserve"> Summary Catalogue of Western Manuscripts in the Bodleian Library at Oxford. Vol. VI (Accessions 1890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1915) Nos. 31001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37299. Oxford.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"https://papyri.info/biblio/65966"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Montserrat, D. (1996)</w:t>
      </w:r>
      <w:r>
        <w:rPr/>
        <w:fldChar w:fldCharType="end" w:fldLock="0"/>
      </w:r>
      <w:r>
        <w:rPr>
          <w:rtl w:val="0"/>
          <w:lang w:val="en-US"/>
        </w:rPr>
        <w:t xml:space="preserve"> “‘</w:t>
      </w:r>
      <w:r>
        <w:rPr>
          <w:rtl w:val="0"/>
          <w:lang w:val="en-US"/>
        </w:rPr>
        <w:t>No Papyrus and No Portraits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 Hogarth, Grenfell, and the First Season in the Fayum, 1895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BASP 33: 133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176.</w:t>
      </w:r>
    </w:p>
    <w:p>
      <w:pPr>
        <w:pStyle w:val="Text A"/>
        <w:spacing w:line="240" w:lineRule="auto"/>
        <w:ind w:left="720" w:hanging="720"/>
      </w:pPr>
      <w:r>
        <w:rPr>
          <w:rStyle w:val="Hyperlink.3"/>
          <w:color w:val="0563c1"/>
          <w:u w:val="single" w:color="0563c1"/>
          <w:lang w:val="en-US"/>
        </w:rPr>
        <w:fldChar w:fldCharType="begin" w:fldLock="0"/>
      </w:r>
      <w:r>
        <w:rPr>
          <w:rStyle w:val="Hyperlink.3"/>
          <w:color w:val="0563c1"/>
          <w:u w:val="single" w:color="0563c1"/>
          <w:lang w:val="en-US"/>
        </w:rPr>
        <w:instrText xml:space="preserve"> HYPERLINK "https://papyri.info/biblio/76740"</w:instrText>
      </w:r>
      <w:r>
        <w:rPr>
          <w:rStyle w:val="Hyperlink.3"/>
          <w:color w:val="0563c1"/>
          <w:u w:val="single" w:color="0563c1"/>
          <w:lang w:val="en-US"/>
        </w:rPr>
        <w:fldChar w:fldCharType="separate" w:fldLock="0"/>
      </w:r>
      <w:r>
        <w:rPr>
          <w:rStyle w:val="Hyperlink.3"/>
          <w:color w:val="0563c1"/>
          <w:u w:val="single" w:color="0563c1"/>
          <w:rtl w:val="0"/>
          <w:lang w:val="en-US"/>
        </w:rPr>
        <w:t>Rathbone, D. (2007)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en-US"/>
        </w:rPr>
        <w:t>Grenfell and Hunt at Oxyrhynchus and in the Fayum,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 xml:space="preserve">in P. Spencer (ed.), The Egypt Exploration Society </w:t>
      </w:r>
      <w:r>
        <w:rPr>
          <w:rStyle w:val="Ohne"/>
          <w:rtl w:val="0"/>
          <w:lang w:val="en-US"/>
        </w:rPr>
        <w:t xml:space="preserve">– </w:t>
      </w:r>
      <w:r>
        <w:rPr>
          <w:rStyle w:val="Ohne"/>
          <w:rtl w:val="0"/>
          <w:lang w:val="en-US"/>
        </w:rPr>
        <w:t>The Early Years. London: 199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229.</w:t>
      </w:r>
    </w:p>
    <w:p>
      <w:pPr>
        <w:pStyle w:val="Text A"/>
        <w:spacing w:line="240" w:lineRule="auto"/>
        <w:ind w:left="720" w:hanging="720"/>
      </w:pPr>
      <w:r>
        <w:rPr>
          <w:rStyle w:val="Hyperlink.1"/>
          <w:color w:val="0563c1"/>
          <w:u w:val="single" w:color="0563c1"/>
          <w:lang w:val="it-IT"/>
        </w:rPr>
        <w:fldChar w:fldCharType="begin" w:fldLock="0"/>
      </w:r>
      <w:r>
        <w:rPr>
          <w:rStyle w:val="Hyperlink.1"/>
          <w:color w:val="0563c1"/>
          <w:u w:val="single" w:color="0563c1"/>
          <w:lang w:val="it-IT"/>
        </w:rPr>
        <w:instrText xml:space="preserve"> HYPERLINK "https://papyri.info/biblio/14543"</w:instrText>
      </w:r>
      <w:r>
        <w:rPr>
          <w:rStyle w:val="Hyperlink.1"/>
          <w:color w:val="0563c1"/>
          <w:u w:val="single" w:color="0563c1"/>
          <w:lang w:val="it-IT"/>
        </w:rPr>
        <w:fldChar w:fldCharType="separate" w:fldLock="0"/>
      </w:r>
      <w:r>
        <w:rPr>
          <w:rStyle w:val="Hyperlink.1"/>
          <w:color w:val="0563c1"/>
          <w:u w:val="single" w:color="0563c1"/>
          <w:rtl w:val="0"/>
          <w:lang w:val="it-IT"/>
        </w:rPr>
        <w:t>Salomons, R.P. (1996)</w:t>
      </w:r>
      <w:r>
        <w:rPr/>
        <w:fldChar w:fldCharType="end" w:fldLock="0"/>
      </w:r>
      <w:r>
        <w:rPr>
          <w:rStyle w:val="Ohne"/>
          <w:rtl w:val="0"/>
          <w:lang w:val="nl-NL"/>
        </w:rPr>
        <w:t xml:space="preserve"> Papyri Bodleianae I. Amsterdam.</w:t>
      </w:r>
    </w:p>
    <w:p>
      <w:pPr>
        <w:pStyle w:val="Text A"/>
        <w:spacing w:line="240" w:lineRule="auto"/>
        <w:ind w:left="720" w:hanging="720"/>
      </w:pPr>
      <w:r>
        <w:rPr>
          <w:rStyle w:val="Hyperlink.3"/>
          <w:color w:val="0563c1"/>
          <w:u w:val="single" w:color="0563c1"/>
          <w:lang w:val="en-US"/>
        </w:rPr>
        <w:fldChar w:fldCharType="begin" w:fldLock="0"/>
      </w:r>
      <w:r>
        <w:rPr>
          <w:rStyle w:val="Hyperlink.3"/>
          <w:color w:val="0563c1"/>
          <w:u w:val="single" w:color="0563c1"/>
          <w:lang w:val="en-US"/>
        </w:rPr>
        <w:instrText xml:space="preserve"> HYPERLINK "https://papyri.info/biblio/96099"</w:instrText>
      </w:r>
      <w:r>
        <w:rPr>
          <w:rStyle w:val="Hyperlink.3"/>
          <w:color w:val="0563c1"/>
          <w:u w:val="single" w:color="0563c1"/>
          <w:lang w:val="en-US"/>
        </w:rPr>
        <w:fldChar w:fldCharType="separate" w:fldLock="0"/>
      </w:r>
      <w:r>
        <w:rPr>
          <w:rStyle w:val="Hyperlink.3"/>
          <w:color w:val="0563c1"/>
          <w:u w:val="single" w:color="0563c1"/>
          <w:rtl w:val="0"/>
          <w:lang w:val="en-US"/>
        </w:rPr>
        <w:t>Sampson, C. M. (2022a)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en-US"/>
        </w:rPr>
        <w:t>P.Hamb.graec. 185: Garden Tax Between the Archives of (Lucius) Iulius Serenus and Gemellus Horioin,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Pylon 1.</w:t>
      </w:r>
    </w:p>
    <w:p>
      <w:pPr>
        <w:pStyle w:val="Text A"/>
        <w:spacing w:line="240" w:lineRule="auto"/>
        <w:ind w:left="720" w:hanging="720"/>
      </w:pPr>
      <w:r>
        <w:rPr>
          <w:rStyle w:val="Ohne"/>
          <w:rtl w:val="0"/>
          <w:lang w:val="en-US"/>
        </w:rPr>
        <w:t xml:space="preserve">Sampson, C. M. (forthcoming 2022b) </w:t>
      </w:r>
      <w:r>
        <w:rPr>
          <w:rStyle w:val="Ohne"/>
          <w:rtl w:val="0"/>
          <w:lang w:val="de-DE"/>
        </w:rPr>
        <w:t>“</w:t>
      </w:r>
      <w:r>
        <w:rPr>
          <w:rStyle w:val="Ohne"/>
          <w:rtl w:val="0"/>
          <w:lang w:val="en-US"/>
        </w:rPr>
        <w:t>New Light on P.Mich. 15 686,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Pylon 2.</w:t>
      </w:r>
    </w:p>
    <w:p>
      <w:pPr>
        <w:pStyle w:val="Text A"/>
        <w:spacing w:line="240" w:lineRule="auto"/>
        <w:ind w:left="720" w:hanging="720"/>
      </w:pPr>
      <w:r>
        <w:rPr>
          <w:rStyle w:val="Hyperlink.3"/>
          <w:color w:val="0563c1"/>
          <w:u w:val="single" w:color="0563c1"/>
          <w:lang w:val="en-US"/>
        </w:rPr>
        <w:fldChar w:fldCharType="begin" w:fldLock="0"/>
      </w:r>
      <w:r>
        <w:rPr>
          <w:rStyle w:val="Hyperlink.3"/>
          <w:color w:val="0563c1"/>
          <w:u w:val="single" w:color="0563c1"/>
          <w:lang w:val="en-US"/>
        </w:rPr>
        <w:instrText xml:space="preserve"> HYPERLINK "https://papyri.info/biblio/56129"</w:instrText>
      </w:r>
      <w:r>
        <w:rPr>
          <w:rStyle w:val="Hyperlink.3"/>
          <w:color w:val="0563c1"/>
          <w:u w:val="single" w:color="0563c1"/>
          <w:lang w:val="en-US"/>
        </w:rPr>
        <w:fldChar w:fldCharType="separate" w:fldLock="0"/>
      </w:r>
      <w:r>
        <w:rPr>
          <w:rStyle w:val="Hyperlink.3"/>
          <w:color w:val="0563c1"/>
          <w:u w:val="single" w:color="0563c1"/>
          <w:rtl w:val="0"/>
          <w:lang w:val="en-US"/>
        </w:rPr>
        <w:t>Turner, E. G. (1983)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de-DE"/>
        </w:rPr>
        <w:t>Edgar Lobel,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Gnomon 55: 275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280.</w:t>
      </w:r>
    </w:p>
    <w:p>
      <w:pPr>
        <w:pStyle w:val="Text A"/>
        <w:spacing w:line="240" w:lineRule="auto"/>
        <w:ind w:left="720" w:hanging="720"/>
      </w:pPr>
      <w:r>
        <w:rPr>
          <w:rStyle w:val="Hyperlink.2"/>
          <w:color w:val="0563c1"/>
          <w:u w:val="single" w:color="0563c1"/>
          <w:lang w:val="nl-NL"/>
        </w:rPr>
        <w:fldChar w:fldCharType="begin" w:fldLock="0"/>
      </w:r>
      <w:r>
        <w:rPr>
          <w:rStyle w:val="Hyperlink.2"/>
          <w:color w:val="0563c1"/>
          <w:u w:val="single" w:color="0563c1"/>
          <w:lang w:val="nl-NL"/>
        </w:rPr>
        <w:instrText xml:space="preserve"> HYPERLINK "https://papyri.info/biblio/64412"</w:instrText>
      </w:r>
      <w:r>
        <w:rPr>
          <w:rStyle w:val="Hyperlink.2"/>
          <w:color w:val="0563c1"/>
          <w:u w:val="single" w:color="0563c1"/>
          <w:lang w:val="nl-NL"/>
        </w:rPr>
        <w:fldChar w:fldCharType="separate" w:fldLock="0"/>
      </w:r>
      <w:r>
        <w:rPr>
          <w:rStyle w:val="Hyperlink.2"/>
          <w:color w:val="0563c1"/>
          <w:u w:val="single" w:color="0563c1"/>
          <w:rtl w:val="0"/>
          <w:lang w:val="nl-NL"/>
        </w:rPr>
        <w:t>Vandorpe, K. (1994)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en-US"/>
        </w:rPr>
        <w:t>Museum Archaeology or How to Reconstruct Pathyris Archives.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de-DE"/>
        </w:rPr>
        <w:t>EVO 17: 289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300.</w:t>
      </w:r>
    </w:p>
    <w:p>
      <w:pPr>
        <w:pStyle w:val="Text A"/>
        <w:spacing w:line="240" w:lineRule="auto"/>
        <w:ind w:left="720" w:hanging="720"/>
      </w:pPr>
      <w:r>
        <w:rPr>
          <w:rStyle w:val="Hyperlink.4"/>
          <w:color w:val="0563c1"/>
          <w:u w:val="single" w:color="0563c1"/>
          <w:lang w:val="de-DE"/>
        </w:rPr>
        <w:fldChar w:fldCharType="begin" w:fldLock="0"/>
      </w:r>
      <w:r>
        <w:rPr>
          <w:rStyle w:val="Hyperlink.4"/>
          <w:color w:val="0563c1"/>
          <w:u w:val="single" w:color="0563c1"/>
          <w:lang w:val="de-DE"/>
        </w:rPr>
        <w:instrText xml:space="preserve"> HYPERLINK "https://papyri.info/biblio/20939"</w:instrText>
      </w:r>
      <w:r>
        <w:rPr>
          <w:rStyle w:val="Hyperlink.4"/>
          <w:color w:val="0563c1"/>
          <w:u w:val="single" w:color="0563c1"/>
          <w:lang w:val="de-DE"/>
        </w:rPr>
        <w:fldChar w:fldCharType="separate" w:fldLock="0"/>
      </w:r>
      <w:r>
        <w:rPr>
          <w:rStyle w:val="Hyperlink.4"/>
          <w:color w:val="0563c1"/>
          <w:u w:val="single" w:color="0563c1"/>
          <w:rtl w:val="0"/>
          <w:lang w:val="de-DE"/>
        </w:rPr>
        <w:t>Vandorpe, K., and Waebens, S. (2009)</w:t>
      </w:r>
      <w:r>
        <w:rPr/>
        <w:fldChar w:fldCharType="end" w:fldLock="0"/>
      </w:r>
      <w:r>
        <w:rPr>
          <w:rStyle w:val="Ohne"/>
          <w:rtl w:val="0"/>
          <w:lang w:val="en-US"/>
        </w:rPr>
        <w:t>. Reconstructing Pathyris</w:t>
      </w:r>
      <w:r>
        <w:rPr>
          <w:rStyle w:val="Ohne"/>
          <w:rtl w:val="0"/>
          <w:lang w:val="en-US"/>
        </w:rPr>
        <w:t xml:space="preserve">’ </w:t>
      </w:r>
      <w:r>
        <w:rPr>
          <w:rStyle w:val="Ohne"/>
          <w:rtl w:val="0"/>
          <w:lang w:val="en-US"/>
        </w:rPr>
        <w:t>Archives. A Multicultural Community in Hellenistic Egypt. Brussels.</w:t>
      </w:r>
    </w:p>
    <w:p>
      <w:pPr>
        <w:pStyle w:val="Text A"/>
        <w:spacing w:line="240" w:lineRule="auto"/>
        <w:ind w:left="720" w:hanging="720"/>
        <w:rPr>
          <w:rStyle w:val="Ohne"/>
          <w:sz w:val="24"/>
          <w:szCs w:val="24"/>
        </w:rPr>
      </w:pPr>
      <w:r>
        <w:rPr>
          <w:rStyle w:val="Hyperlink.4"/>
          <w:color w:val="0563c1"/>
          <w:u w:val="single" w:color="0563c1"/>
          <w:lang w:val="de-DE"/>
        </w:rPr>
        <w:fldChar w:fldCharType="begin" w:fldLock="0"/>
      </w:r>
      <w:r>
        <w:rPr>
          <w:rStyle w:val="Hyperlink.4"/>
          <w:color w:val="0563c1"/>
          <w:u w:val="single" w:color="0563c1"/>
          <w:lang w:val="de-DE"/>
        </w:rPr>
        <w:instrText xml:space="preserve"> HYPERLINK "https://papyri.info/biblio/36243"</w:instrText>
      </w:r>
      <w:r>
        <w:rPr>
          <w:rStyle w:val="Hyperlink.4"/>
          <w:color w:val="0563c1"/>
          <w:u w:val="single" w:color="0563c1"/>
          <w:lang w:val="de-DE"/>
        </w:rPr>
        <w:fldChar w:fldCharType="separate" w:fldLock="0"/>
      </w:r>
      <w:r>
        <w:rPr>
          <w:rStyle w:val="Hyperlink.4"/>
          <w:color w:val="0563c1"/>
          <w:u w:val="single" w:color="0563c1"/>
          <w:rtl w:val="0"/>
          <w:lang w:val="de-DE"/>
        </w:rPr>
        <w:t>Wegener, E. P. (1937)</w:t>
      </w:r>
      <w:r>
        <w:rPr/>
        <w:fldChar w:fldCharType="end" w:fldLock="0"/>
      </w:r>
      <w:r>
        <w:rPr>
          <w:rStyle w:val="Ohne"/>
          <w:rtl w:val="0"/>
          <w:lang w:val="pt-PT"/>
        </w:rPr>
        <w:t xml:space="preserve"> “</w:t>
      </w:r>
      <w:r>
        <w:rPr>
          <w:rStyle w:val="Ohne"/>
          <w:rtl w:val="0"/>
          <w:lang w:val="en-US"/>
        </w:rPr>
        <w:t>Some Oxford Papyri,</w:t>
      </w:r>
      <w:r>
        <w:rPr>
          <w:rStyle w:val="Ohne"/>
          <w:rtl w:val="0"/>
          <w:lang w:val="en-US"/>
        </w:rPr>
        <w:t xml:space="preserve">” </w:t>
      </w:r>
      <w:r>
        <w:rPr>
          <w:rStyle w:val="Ohne"/>
          <w:rtl w:val="0"/>
          <w:lang w:val="en-US"/>
        </w:rPr>
        <w:t>JEA 23: 204</w:t>
      </w:r>
      <w:r>
        <w:rPr>
          <w:rStyle w:val="Ohne"/>
          <w:rtl w:val="0"/>
          <w:lang w:val="en-US"/>
        </w:rPr>
        <w:t>–</w:t>
      </w:r>
      <w:r>
        <w:rPr>
          <w:rStyle w:val="Ohne"/>
          <w:rtl w:val="0"/>
          <w:lang w:val="en-US"/>
        </w:rPr>
        <w:t>225.</w:t>
      </w: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Style w:val="Ohne"/>
          <w:rFonts w:ascii="Times" w:cs="Times" w:hAnsi="Times" w:eastAsia="Times"/>
          <w:sz w:val="24"/>
          <w:szCs w:val="24"/>
          <w:rtl w:val="0"/>
        </w:rPr>
      </w:pPr>
    </w:p>
    <w:p>
      <w:pPr>
        <w:pStyle w:val="Standard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Style w:val="Ohne"/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color w:val="0563c1"/>
      <w:u w:val="single" w:color="0563c1"/>
    </w:rPr>
  </w:style>
  <w:style w:type="character" w:styleId="Hyperlink.1">
    <w:name w:val="Hyperlink.1"/>
    <w:basedOn w:val="Ohne"/>
    <w:next w:val="Hyperlink.1"/>
    <w:rPr>
      <w:color w:val="0563c1"/>
      <w:u w:val="single" w:color="0563c1"/>
      <w:lang w:val="it-IT"/>
    </w:rPr>
  </w:style>
  <w:style w:type="character" w:styleId="Hyperlink.2">
    <w:name w:val="Hyperlink.2"/>
    <w:basedOn w:val="Ohne"/>
    <w:next w:val="Hyperlink.2"/>
    <w:rPr>
      <w:color w:val="0563c1"/>
      <w:u w:val="single" w:color="0563c1"/>
      <w:lang w:val="nl-NL"/>
    </w:rPr>
  </w:style>
  <w:style w:type="character" w:styleId="Hyperlink.3">
    <w:name w:val="Hyperlink.3"/>
    <w:basedOn w:val="Ohne"/>
    <w:next w:val="Hyperlink.3"/>
    <w:rPr>
      <w:color w:val="0563c1"/>
      <w:u w:val="single" w:color="0563c1"/>
      <w:lang w:val="en-US"/>
    </w:rPr>
  </w:style>
  <w:style w:type="character" w:styleId="Hyperlink.4">
    <w:name w:val="Hyperlink.4"/>
    <w:basedOn w:val="Ohne"/>
    <w:next w:val="Hyperlink.4"/>
    <w:rPr>
      <w:color w:val="0563c1"/>
      <w:u w:val="single" w:color="0563c1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