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60" w:lineRule="exact"/>
        <w:rPr>
          <w:rFonts w:ascii="Times New Roman" w:cs="Times New Roman" w:hAnsi="Times New Roman" w:eastAsia="Times New Roman"/>
          <w:u w:color="000000"/>
        </w:rPr>
      </w:pPr>
      <w:r>
        <w:rPr>
          <w:rFonts w:ascii="Times New Roman" w:hAnsi="Times New Roman"/>
          <w:u w:color="000000"/>
          <w:rtl w:val="0"/>
          <w:lang w:val="en-US"/>
        </w:rPr>
        <w:t>#articleTitle</w:t>
      </w:r>
    </w:p>
    <w:p>
      <w:pPr>
        <w:pStyle w:val="Normal.0"/>
        <w:tabs>
          <w:tab w:val="right" w:pos="9046"/>
        </w:tabs>
        <w:spacing w:after="0" w:line="36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An Arabic Private Letter from the Eighth Century</w:t>
      </w:r>
    </w:p>
    <w:p>
      <w:pPr>
        <w:pStyle w:val="Normal.0"/>
        <w:tabs>
          <w:tab w:val="right" w:pos="9046"/>
        </w:tabs>
        <w:spacing w:after="0" w:line="360" w:lineRule="auto"/>
        <w:jc w:val="center"/>
        <w:rPr>
          <w:rFonts w:ascii="Times New Roman" w:cs="Times New Roman" w:hAnsi="Times New Roman" w:eastAsia="Times New Roman"/>
          <w:b w:val="1"/>
          <w:bCs w:val="1"/>
          <w:sz w:val="24"/>
          <w:szCs w:val="24"/>
          <w:lang w:val="en-US"/>
        </w:rPr>
      </w:pPr>
    </w:p>
    <w:p>
      <w:pPr>
        <w:pStyle w:val="Normal.0"/>
        <w:tabs>
          <w:tab w:val="left" w:pos="425"/>
          <w:tab w:val="right" w:pos="5953"/>
        </w:tabs>
        <w:spacing w:after="0" w:line="360" w:lineRule="auto"/>
        <w:jc w:val="both"/>
        <w:rPr>
          <w:rFonts w:ascii="Times New Roman" w:cs="Times New Roman" w:hAnsi="Times New Roman" w:eastAsia="Times New Roman"/>
          <w:sz w:val="24"/>
          <w:szCs w:val="24"/>
          <w:lang w:val="fr-FR"/>
        </w:rPr>
      </w:pPr>
      <w:r>
        <w:rPr>
          <w:rFonts w:ascii="Times New Roman" w:hAnsi="Times New Roman"/>
          <w:sz w:val="24"/>
          <w:szCs w:val="24"/>
          <w:rtl w:val="0"/>
          <w:lang w:val="fr-FR"/>
        </w:rPr>
        <w:t xml:space="preserve">#author </w:t>
      </w:r>
    </w:p>
    <w:p>
      <w:pPr>
        <w:pStyle w:val="Normal.0"/>
        <w:tabs>
          <w:tab w:val="left" w:pos="425"/>
          <w:tab w:val="right" w:pos="5953"/>
        </w:tabs>
        <w:spacing w:after="0" w:line="360" w:lineRule="auto"/>
        <w:jc w:val="both"/>
        <w:rPr>
          <w:rFonts w:ascii="Times New Roman" w:cs="Times New Roman" w:hAnsi="Times New Roman" w:eastAsia="Times New Roman"/>
          <w:sz w:val="24"/>
          <w:szCs w:val="24"/>
          <w:lang w:val="fr-FR"/>
        </w:rPr>
      </w:pPr>
      <w:r>
        <w:rPr>
          <w:rFonts w:ascii="Times New Roman" w:hAnsi="Times New Roman"/>
          <w:sz w:val="24"/>
          <w:szCs w:val="24"/>
          <w:rtl w:val="0"/>
          <w:lang w:val="fr-FR"/>
        </w:rPr>
        <w:t>Berkes, Lajos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u w:color="000000"/>
        </w:rPr>
      </w:pPr>
      <w:r>
        <w:rPr>
          <w:rFonts w:ascii="Times New Roman" w:hAnsi="Times New Roman"/>
          <w:sz w:val="24"/>
          <w:szCs w:val="24"/>
          <w:u w:color="000000"/>
          <w:rtl w:val="0"/>
          <w:lang w:val="de-DE"/>
        </w:rPr>
        <w:t>#affiliation</w:t>
      </w:r>
    </w:p>
    <w:p>
      <w:pPr>
        <w:pStyle w:val="Default"/>
        <w:spacing w:before="0" w:line="260" w:lineRule="exact"/>
        <w:jc w:val="both"/>
        <w:rPr>
          <w:rFonts w:ascii="Times New Roman" w:cs="Times New Roman" w:hAnsi="Times New Roman" w:eastAsia="Times New Roman"/>
          <w:outline w:val="0"/>
          <w:color w:val="222222"/>
          <w:u w:color="222222"/>
          <w:shd w:val="clear" w:color="auto" w:fill="ffffff"/>
          <w14:textFill>
            <w14:solidFill>
              <w14:srgbClr w14:val="222222"/>
            </w14:solidFill>
          </w14:textFill>
        </w:rPr>
      </w:pPr>
      <w:r>
        <w:rPr>
          <w:rFonts w:ascii="Times New Roman" w:hAnsi="Times New Roman"/>
          <w:u w:color="000000"/>
          <w:rtl w:val="0"/>
          <w:lang w:val="en-US"/>
        </w:rPr>
        <w:t>Humboldt-Universit</w:t>
      </w:r>
      <w:r>
        <w:rPr>
          <w:rFonts w:ascii="Times New Roman" w:hAnsi="Times New Roman" w:hint="default"/>
          <w:u w:color="000000"/>
          <w:rtl w:val="0"/>
          <w:lang w:val="en-US"/>
        </w:rPr>
        <w:t>ä</w:t>
      </w:r>
      <w:r>
        <w:rPr>
          <w:rFonts w:ascii="Times New Roman" w:hAnsi="Times New Roman"/>
          <w:u w:color="000000"/>
          <w:rtl w:val="0"/>
          <w:lang w:val="en-US"/>
        </w:rPr>
        <w:t>t zu Berlin,</w:t>
      </w:r>
      <w:r>
        <w:rPr>
          <w:rFonts w:ascii="Times New Roman" w:hAnsi="Times New Roman"/>
          <w:u w:color="000000"/>
          <w:rtl w:val="0"/>
          <w:lang w:val="de-DE"/>
        </w:rPr>
        <w:t xml:space="preserve"> </w:t>
      </w:r>
      <w:r>
        <w:rPr>
          <w:rFonts w:ascii="Times New Roman" w:hAnsi="Times New Roman"/>
          <w:u w:color="000000"/>
          <w:rtl w:val="0"/>
          <w:lang w:val="en-US"/>
        </w:rPr>
        <w:t>Theologische Fakult</w:t>
      </w:r>
      <w:r>
        <w:rPr>
          <w:rFonts w:ascii="Times New Roman" w:hAnsi="Times New Roman" w:hint="default"/>
          <w:u w:color="000000"/>
          <w:rtl w:val="0"/>
          <w:lang w:val="en-US"/>
        </w:rPr>
        <w:t>ä</w:t>
      </w:r>
      <w:r>
        <w:rPr>
          <w:rFonts w:ascii="Times New Roman" w:hAnsi="Times New Roman"/>
          <w:u w:color="000000"/>
          <w:rtl w:val="0"/>
          <w:lang w:val="en-US"/>
        </w:rPr>
        <w:t>t, Seminar: Neues Testament</w:t>
      </w:r>
    </w:p>
    <w:p>
      <w:pPr>
        <w:pStyle w:val="Default"/>
        <w:spacing w:before="0" w:line="260" w:lineRule="exact"/>
        <w:jc w:val="both"/>
        <w:rPr>
          <w:rFonts w:ascii="Times New Roman" w:cs="Times New Roman" w:hAnsi="Times New Roman" w:eastAsia="Times New Roman"/>
          <w:outline w:val="0"/>
          <w:color w:val="222222"/>
          <w:u w:color="222222"/>
          <w:shd w:val="clear" w:color="auto" w:fill="ffffff"/>
          <w14:textFill>
            <w14:solidFill>
              <w14:srgbClr w14:val="222222"/>
            </w14:solidFill>
          </w14:textFill>
        </w:rPr>
      </w:pPr>
    </w:p>
    <w:p>
      <w:pPr>
        <w:pStyle w:val="Default"/>
        <w:spacing w:before="0" w:line="260" w:lineRule="exact"/>
        <w:jc w:val="both"/>
        <w:rPr>
          <w:rFonts w:ascii="Times New Roman" w:cs="Times New Roman" w:hAnsi="Times New Roman" w:eastAsia="Times New Roman"/>
          <w:u w:color="000000"/>
          <w:lang w:val="de-DE"/>
        </w:rPr>
      </w:pPr>
      <w:r>
        <w:rPr>
          <w:rFonts w:ascii="Times New Roman" w:hAnsi="Times New Roman"/>
          <w:u w:color="000000"/>
          <w:rtl w:val="0"/>
          <w:lang w:val="de-DE"/>
        </w:rPr>
        <w:t>#email</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berkesla@hu-berlin.de</w:t>
      </w:r>
    </w:p>
    <w:p>
      <w:pPr>
        <w:pStyle w:val="Normal.0"/>
        <w:tabs>
          <w:tab w:val="left" w:pos="425"/>
          <w:tab w:val="right" w:pos="5953"/>
        </w:tabs>
        <w:spacing w:after="0" w:line="360" w:lineRule="auto"/>
        <w:jc w:val="both"/>
        <w:rPr>
          <w:rFonts w:ascii="Times New Roman" w:cs="Times New Roman" w:hAnsi="Times New Roman" w:eastAsia="Times New Roman"/>
          <w:sz w:val="24"/>
          <w:szCs w:val="24"/>
        </w:rPr>
      </w:pPr>
    </w:p>
    <w:p>
      <w:pPr>
        <w:pStyle w:val="Default"/>
        <w:spacing w:before="0" w:line="260" w:lineRule="exact"/>
        <w:rPr>
          <w:rFonts w:ascii="Times New Roman" w:cs="Times New Roman" w:hAnsi="Times New Roman" w:eastAsia="Times New Roman"/>
          <w:u w:color="000000"/>
          <w:lang w:val="de-DE"/>
        </w:rPr>
      </w:pPr>
      <w:r>
        <w:rPr>
          <w:rFonts w:ascii="Times New Roman" w:hAnsi="Times New Roman"/>
          <w:u w:color="000000"/>
          <w:rtl w:val="0"/>
          <w:lang w:val="de-DE"/>
        </w:rPr>
        <w:t>#acknowledgement</w:t>
      </w:r>
    </w:p>
    <w:p>
      <w:pPr>
        <w:pStyle w:val="Normal.0"/>
        <w:tabs>
          <w:tab w:val="right" w:pos="9046"/>
        </w:tabs>
        <w:spacing w:after="0" w:line="36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I thank Andrea J</w:t>
      </w:r>
      <w:r>
        <w:rPr>
          <w:rFonts w:ascii="Times New Roman" w:hAnsi="Times New Roman" w:hint="default"/>
          <w:sz w:val="24"/>
          <w:szCs w:val="24"/>
          <w:rtl w:val="0"/>
          <w:lang w:val="en-US"/>
        </w:rPr>
        <w:t>ö</w:t>
      </w:r>
      <w:r>
        <w:rPr>
          <w:rFonts w:ascii="Times New Roman" w:hAnsi="Times New Roman"/>
          <w:sz w:val="24"/>
          <w:szCs w:val="24"/>
          <w:rtl w:val="0"/>
          <w:lang w:val="en-US"/>
        </w:rPr>
        <w:t>rdens and Rodney Ast for permission to publish P.Heid. Inv. Arab 734. Thanks are also due to Ursula Hammed, Marie Legendre, and Na</w:t>
      </w:r>
      <w:r>
        <w:rPr>
          <w:rFonts w:ascii="Times New Roman" w:hAnsi="Times New Roman" w:hint="default"/>
          <w:sz w:val="24"/>
          <w:szCs w:val="24"/>
          <w:rtl w:val="0"/>
          <w:lang w:val="en-US"/>
        </w:rPr>
        <w:t>ï</w:t>
      </w:r>
      <w:r>
        <w:rPr>
          <w:rFonts w:ascii="Times New Roman" w:hAnsi="Times New Roman"/>
          <w:sz w:val="24"/>
          <w:szCs w:val="24"/>
          <w:rtl w:val="0"/>
          <w:lang w:val="en-US"/>
        </w:rPr>
        <w:t>m Vanthieghem for helpful corrections and comments.</w:t>
      </w:r>
    </w:p>
    <w:p>
      <w:pPr>
        <w:pStyle w:val="Normal.0"/>
        <w:tabs>
          <w:tab w:val="right" w:pos="9046"/>
        </w:tabs>
        <w:spacing w:after="0" w:line="360" w:lineRule="auto"/>
        <w:jc w:val="both"/>
        <w:rPr>
          <w:rFonts w:ascii="Times New Roman" w:cs="Times New Roman" w:hAnsi="Times New Roman" w:eastAsia="Times New Roman"/>
          <w:b w:val="1"/>
          <w:bCs w:val="1"/>
          <w:sz w:val="24"/>
          <w:szCs w:val="24"/>
          <w:lang w:val="en-US"/>
        </w:rPr>
      </w:pPr>
    </w:p>
    <w:p>
      <w:pPr>
        <w:pStyle w:val="Normal.0"/>
        <w:spacing w:after="0" w:line="360" w:lineRule="auto"/>
        <w:jc w:val="both"/>
        <w:rPr>
          <w:rStyle w:val="None"/>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left part of a private letter sent by a certain </w:t>
      </w:r>
      <w:r>
        <w:rPr>
          <w:rFonts w:ascii="Times New Roman" w:hAnsi="Times New Roman" w:hint="default"/>
          <w:sz w:val="24"/>
          <w:szCs w:val="24"/>
          <w:rtl w:val="0"/>
          <w:lang w:val="en-US"/>
        </w:rPr>
        <w:t>ʿ</w:t>
      </w:r>
      <w:r>
        <w:rPr>
          <w:rFonts w:ascii="Times New Roman" w:hAnsi="Times New Roman"/>
          <w:sz w:val="24"/>
          <w:szCs w:val="24"/>
          <w:rtl w:val="0"/>
          <w:lang w:val="en-US"/>
        </w:rPr>
        <w:t xml:space="preserve">Umar b. Muslim has been preserved. The message is addressed to his son and daughter and another person, presumably also from his household, perhaps his wife. The phraseology and handwriting are consistent with the conventional format of early Arabic papyrus letters, which suggests that the document dates from the eighth century, see </w: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"https://papyri.info/biblio/97228"</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Grob 2010</w:t>
      </w:r>
      <w:r>
        <w:rPr>
          <w:lang w:val="en-US"/>
        </w:rPr>
        <w:fldChar w:fldCharType="end" w:fldLock="0"/>
      </w:r>
      <w:r>
        <w:rPr>
          <w:rStyle w:val="None"/>
          <w:rFonts w:ascii="Times New Roman" w:hAnsi="Times New Roman"/>
          <w:sz w:val="24"/>
          <w:szCs w:val="24"/>
          <w:rtl w:val="0"/>
          <w:lang w:val="en-US"/>
        </w:rPr>
        <w:t>: 40</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42. The subject matter remains obscure, but the mention of 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mil</w:t>
      </w:r>
      <w:r>
        <w:rPr>
          <w:rStyle w:val="None"/>
          <w:rFonts w:ascii="Times New Roman" w:hAnsi="Times New Roman"/>
          <w:sz w:val="24"/>
          <w:szCs w:val="24"/>
          <w:rtl w:val="0"/>
          <w:lang w:val="en-US"/>
        </w:rPr>
        <w:t xml:space="preserve">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 xml:space="preserve">n is a point of interest. The term is generally understood to refer to an unspecified official, but in this context, it may also signify the representative of the financial director, see </w: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"https://papyri.info/biblio/97227"</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Legendre 2016</w:t>
      </w:r>
      <w:r>
        <w:rPr>
          <w:lang w:val="en-US"/>
        </w:rPr>
        <w:fldChar w:fldCharType="end" w:fldLock="0"/>
      </w:r>
      <w:r>
        <w:rPr>
          <w:rStyle w:val="None"/>
          <w:rFonts w:ascii="Times New Roman" w:hAnsi="Times New Roman"/>
          <w:sz w:val="24"/>
          <w:szCs w:val="24"/>
          <w:rtl w:val="0"/>
          <w:lang w:val="en-US"/>
        </w:rPr>
        <w:t>: 15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16.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b. Muslim appears to have been involved in the affairs or the network of 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mil</w:t>
      </w:r>
      <w:r>
        <w:rPr>
          <w:rStyle w:val="None"/>
          <w:rFonts w:ascii="Times New Roman" w:hAnsi="Times New Roman"/>
          <w:sz w:val="24"/>
          <w:szCs w:val="24"/>
          <w:rtl w:val="0"/>
          <w:lang w:val="en-US"/>
        </w:rPr>
        <w:t xml:space="preserve">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 xml:space="preserve">n, possibly even as an official. The mention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n may indicate a provenance from its region for the papyrus, but the text may well have been written elsewhere and may only make passing reference to the city.</w:t>
      </w:r>
    </w:p>
    <w:p>
      <w:pPr>
        <w:pStyle w:val="Normal.0"/>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P.Heid. Inv. Arab. 734 belongs to the so-called 'Schott-Reinhard papyri'. They were part of the collection of C. Reinhard, the dragoman of the German Consulate in Cairo, which he acquired in Egypt in 1897. After his death, the collection was purchased by the industrial magnate and philanthropist Friedrich Schott and donated to the University of Heidelberg in 1904. On the 'Schott-Reinhard papyri', see C. Becker, P.Heid.Arab. 1, p. 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6.</w:t>
      </w:r>
    </w:p>
    <w:p>
      <w:pPr>
        <w:pStyle w:val="Normal.0"/>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The fragment is only complete on the top and the left side. Three distinct vertical folds are discernible, suggesting that the papyrus was broken along a vertical and a horizontal fold. The writing in black ink goes against the fibres on the recto, and parallel to it on the verso. Some Arabic words are visible between the lines, such as for instance on the top of the recto and between the third and the fourth lines. These words, which I have not been able to decipher, give a rather clumsy impression, suggesting that they were writing exercises. Some undecipherable traces of ink on the verso, especially below the address, could also indicate that the papyrus was reused for pen trials.</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de-DE"/>
        </w:rPr>
        <w:t>#editionDDB</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de-DE"/>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Papyrus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spacing w:before="0" w:after="240" w:line="320" w:lineRule="atLeast"/>
            </w:pPr>
            <w:r>
              <w:rPr>
                <w:rStyle w:val="None"/>
                <w:rFonts w:ascii="IFAO-Grec Unicode" w:hAnsi="IFAO-Grec Unicode"/>
                <w:shd w:val="nil" w:color="auto" w:fill="auto"/>
                <w:rtl w:val="0"/>
                <w:lang w:val="en-US"/>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12.2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spacing w:before="0" w:after="240" w:line="320" w:lineRule="atLeast"/>
            </w:pPr>
            <w:r>
              <w:rPr>
                <w:rStyle w:val="None"/>
                <w:rFonts w:ascii="IFAO-Grec Unicode" w:hAnsi="IFAO-Grec Unicode"/>
                <w:shd w:val="nil" w:color="auto" w:fill="auto"/>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15.6</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704976</w:t>
            </w:r>
          </w:p>
        </w:tc>
      </w:tr>
      <w:tr>
        <w:tblPrEx>
          <w:shd w:val="clear" w:color="auto" w:fill="ced7e7"/>
        </w:tblPrEx>
        <w:trPr>
          <w:trHeight w:val="58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Heading 2"/>
              <w:keepLines w:val="1"/>
              <w:tabs>
                <w:tab w:val="left" w:pos="720"/>
                <w:tab w:val="left" w:pos="1440"/>
                <w:tab w:val="left" w:pos="2160"/>
                <w:tab w:val="left" w:pos="2880"/>
                <w:tab w:val="left" w:pos="3600"/>
                <w:tab w:val="left" w:pos="4320"/>
              </w:tabs>
              <w:spacing w:before="40"/>
              <w:outlineLvl w:val="0"/>
            </w:pPr>
            <w:r>
              <w:rPr>
                <w:rStyle w:val="None"/>
                <w:rFonts w:ascii="Cambria" w:hAnsi="Cambria"/>
                <w:b w:val="0"/>
                <w:bCs w:val="0"/>
                <w:sz w:val="24"/>
                <w:szCs w:val="24"/>
                <w:shd w:val="nil" w:color="auto" w:fill="auto"/>
                <w:rtl w:val="0"/>
                <w:lang w:val="en-US"/>
              </w:rPr>
              <w:t>An Arabic Private Letter from the Eighth Century</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8th century</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Arsinoites</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de-DE"/>
              </w:rPr>
              <w:t>P.Heid. inv. Arab. 734</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Brief (privat), Gesundheit</w:t>
            </w:r>
          </w:p>
        </w:tc>
      </w:tr>
    </w:tbl>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5"/>
        <w:gridCol w:w="3015"/>
        <w:gridCol w:w="3016"/>
      </w:tblGrid>
      <w:tr>
        <w:tblPrEx>
          <w:shd w:val="clear" w:color="auto" w:fill="ced7e7"/>
        </w:tblPrEx>
        <w:trPr>
          <w:trHeight w:val="31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P.Heid. Inv. Arab. 734</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 xml:space="preserve">15.6 (w) </w:t>
            </w:r>
            <w:r>
              <w:rPr>
                <w:rStyle w:val="None"/>
                <w:rFonts w:ascii="Cambria" w:hAnsi="Cambria" w:hint="default"/>
                <w:sz w:val="24"/>
                <w:szCs w:val="24"/>
                <w:shd w:val="nil" w:color="auto" w:fill="auto"/>
                <w:rtl w:val="0"/>
                <w:lang w:val="en-US"/>
              </w:rPr>
              <w:t xml:space="preserve">× </w:t>
            </w:r>
            <w:r>
              <w:rPr>
                <w:rStyle w:val="None"/>
                <w:rFonts w:ascii="Cambria" w:hAnsi="Cambria"/>
                <w:sz w:val="24"/>
                <w:szCs w:val="24"/>
                <w:shd w:val="nil" w:color="auto" w:fill="auto"/>
                <w:rtl w:val="0"/>
                <w:lang w:val="en-US"/>
              </w:rPr>
              <w:t>12.2 cm (h)</w:t>
            </w: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Provenance unknown</w:t>
            </w:r>
          </w:p>
        </w:tc>
      </w:tr>
      <w:tr>
        <w:tblPrEx>
          <w:shd w:val="clear" w:color="auto" w:fill="ced7e7"/>
        </w:tblPrEx>
        <w:trPr>
          <w:trHeight w:val="31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8</w:t>
            </w:r>
            <w:r>
              <w:rPr>
                <w:rStyle w:val="None"/>
                <w:rFonts w:ascii="Cambria" w:hAnsi="Cambria"/>
                <w:sz w:val="24"/>
                <w:szCs w:val="24"/>
                <w:shd w:val="nil" w:color="auto" w:fill="auto"/>
                <w:vertAlign w:val="superscript"/>
                <w:rtl w:val="0"/>
                <w:lang w:val="en-US"/>
              </w:rPr>
              <w:t>th</w:t>
            </w:r>
            <w:r>
              <w:rPr>
                <w:rStyle w:val="None"/>
                <w:rFonts w:ascii="Cambria" w:hAnsi="Cambria"/>
                <w:sz w:val="24"/>
                <w:szCs w:val="24"/>
                <w:shd w:val="nil" w:color="auto" w:fill="auto"/>
                <w:rtl w:val="0"/>
                <w:lang w:val="en-US"/>
              </w:rPr>
              <w:t xml:space="preserve"> century</w:t>
            </w:r>
          </w:p>
        </w:tc>
      </w:tr>
    </w:tbl>
    <w:p>
      <w:pPr>
        <w:pStyle w:val="Normal.0"/>
        <w:widowControl w:val="0"/>
        <w:tabs>
          <w:tab w:val="right" w:pos="9046"/>
        </w:tabs>
        <w:spacing w:after="0" w:line="240" w:lineRule="auto"/>
        <w:ind w:left="108" w:hanging="108"/>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#text</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&lt;S=.ar</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&lt;=</w:t>
      </w:r>
    </w:p>
    <w:p>
      <w:pPr>
        <w:pStyle w:val="Normal.0"/>
        <w:numPr>
          <w:ilvl w:val="0"/>
          <w:numId w:val="2"/>
        </w:numPr>
        <w:spacing w:after="0" w:line="360" w:lineRule="auto"/>
        <w:jc w:val="both"/>
        <w:rPr>
          <w:sz w:val="24"/>
          <w:szCs w:val="24"/>
          <w:lang w:val="en-US"/>
        </w:rPr>
      </w:pPr>
      <w:r>
        <w:rPr>
          <w:rStyle w:val="None"/>
          <w:rFonts w:ascii="Times New Roman" w:hAnsi="Times New Roman"/>
          <w:sz w:val="24"/>
          <w:szCs w:val="24"/>
          <w:rtl w:val="0"/>
          <w:lang w:val="en-US"/>
        </w:rPr>
        <w:t>[.?]</w:t>
      </w:r>
    </w:p>
    <w:p>
      <w:pPr>
        <w:pStyle w:val="Normal.0"/>
        <w:tabs>
          <w:tab w:val="right" w:pos="9046"/>
        </w:tabs>
        <w:spacing w:after="0" w:line="360" w:lineRule="auto"/>
        <w:jc w:val="both"/>
        <w:rPr>
          <w:rStyle w:val="None"/>
          <w:rFonts w:ascii="Times New Roman" w:cs="Times New Roman" w:hAnsi="Times New Roman" w:eastAsia="Times New Roman"/>
          <w:u w:color="000000"/>
          <w:lang w:val="en-US"/>
        </w:rPr>
      </w:pPr>
      <w:r>
        <w:rPr>
          <w:rStyle w:val="None"/>
          <w:rFonts w:ascii="Times New Roman" w:hAnsi="Times New Roman"/>
          <w:u w:color="000000"/>
          <w:rtl w:val="0"/>
          <w:lang w:val="de-DE"/>
        </w:rPr>
        <w:t>=&gt;</w:t>
      </w: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#translation</w:t>
      </w:r>
    </w:p>
    <w:p>
      <w:pPr>
        <w:pStyle w:val="Default"/>
        <w:spacing w:before="0" w:line="260" w:lineRule="exact"/>
        <w:rPr>
          <w:rStyle w:val="None"/>
          <w:rFonts w:ascii="Times New Roman" w:cs="Times New Roman" w:hAnsi="Times New Roman" w:eastAsia="Times New Roman"/>
          <w:u w:color="000000"/>
        </w:rPr>
      </w:pPr>
      <w:r>
        <w:rPr>
          <w:rStyle w:val="None"/>
          <w:rFonts w:ascii="Times New Roman" w:hAnsi="Times New Roman"/>
          <w:u w:color="000000"/>
          <w:rtl w:val="0"/>
          <w:lang w:val="en-US"/>
        </w:rPr>
        <w:t>&lt;</w:t>
      </w:r>
      <w:r>
        <w:rPr>
          <w:rStyle w:val="None"/>
          <w:rFonts w:ascii="Times New Roman" w:hAnsi="Times New Roman"/>
          <w:u w:color="000000"/>
          <w:rtl w:val="0"/>
          <w:lang w:val="de-DE"/>
        </w:rPr>
        <w:t>T</w:t>
      </w:r>
      <w:r>
        <w:rPr>
          <w:rStyle w:val="None"/>
          <w:rFonts w:ascii="Times New Roman" w:hAnsi="Times New Roman"/>
          <w:u w:color="000000"/>
          <w:rtl w:val="0"/>
          <w:lang w:val="en-US"/>
        </w:rPr>
        <w:t>=.</w:t>
      </w:r>
      <w:r>
        <w:rPr>
          <w:rStyle w:val="None"/>
          <w:rFonts w:ascii="Times New Roman" w:hAnsi="Times New Roman"/>
          <w:u w:color="000000"/>
          <w:rtl w:val="0"/>
          <w:lang w:val="de-DE"/>
        </w:rPr>
        <w:t>en</w:t>
      </w:r>
    </w:p>
    <w:p>
      <w:pPr>
        <w:pStyle w:val="Default"/>
        <w:spacing w:before="0" w:line="260" w:lineRule="exact"/>
        <w:rPr>
          <w:rStyle w:val="None"/>
          <w:rFonts w:ascii="Times New Roman" w:cs="Times New Roman" w:hAnsi="Times New Roman" w:eastAsia="Times New Roman"/>
          <w:u w:color="000000"/>
        </w:rPr>
      </w:pPr>
      <w:r>
        <w:rPr>
          <w:rStyle w:val="None"/>
          <w:rFonts w:ascii="Times New Roman" w:hAnsi="Times New Roman"/>
          <w:u w:color="000000"/>
          <w:rtl w:val="0"/>
          <w:lang w:val="en-US"/>
        </w:rPr>
        <w:t>&lt;=</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w:t>
      </w:r>
      <w:r>
        <w:rPr>
          <w:rStyle w:val="None"/>
          <w:rFonts w:ascii="Times New Roman" w:hAnsi="Times New Roman"/>
          <w:sz w:val="24"/>
          <w:szCs w:val="24"/>
          <w:vertAlign w:val="superscript"/>
          <w:rtl w:val="0"/>
          <w:lang w:val="en-US"/>
        </w:rPr>
        <w:t>1</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In the name of God, the Compassionate, the Merciful.</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r>
        <w:rPr>
          <w:rStyle w:val="None"/>
          <w:rFonts w:ascii="Times New Roman" w:hAnsi="Times New Roman"/>
          <w:sz w:val="24"/>
          <w:szCs w:val="24"/>
          <w:vertAlign w:val="superscript"/>
          <w:rtl w:val="0"/>
          <w:lang w:val="en-US"/>
        </w:rPr>
        <w:t>2</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[From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b. Muslim to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]d and A</w:t>
      </w:r>
      <w:r>
        <w:rPr>
          <w:rStyle w:val="None"/>
          <w:rFonts w:ascii="Times New Roman" w:hAnsi="Times New Roman" w:hint="default"/>
          <w:sz w:val="24"/>
          <w:szCs w:val="24"/>
          <w:rtl w:val="0"/>
          <w:lang w:val="en-US"/>
        </w:rPr>
        <w:t>ḥ</w:t>
      </w:r>
      <w:r>
        <w:rPr>
          <w:rStyle w:val="None"/>
          <w:rFonts w:ascii="Times New Roman" w:hAnsi="Times New Roman"/>
          <w:sz w:val="24"/>
          <w:szCs w:val="24"/>
          <w:rtl w:val="0"/>
          <w:lang w:val="en-US"/>
        </w:rPr>
        <w:t>mad and F</w:t>
      </w:r>
      <w:r>
        <w:rPr>
          <w:rStyle w:val="None"/>
          <w:rFonts w:ascii="Times New Roman" w:hAnsi="Times New Roman" w:hint="default"/>
          <w:sz w:val="24"/>
          <w:szCs w:val="24"/>
          <w:rtl w:val="0"/>
          <w:lang w:val="en-US"/>
        </w:rPr>
        <w:t>āṭ</w:t>
      </w:r>
      <w:r>
        <w:rPr>
          <w:rStyle w:val="None"/>
          <w:rFonts w:ascii="Times New Roman" w:hAnsi="Times New Roman"/>
          <w:sz w:val="24"/>
          <w:szCs w:val="24"/>
          <w:rtl w:val="0"/>
          <w:lang w:val="en-US"/>
        </w:rPr>
        <w:t xml:space="preserve">ima, the children of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w:t>
      </w:r>
      <w:r>
        <w:rPr>
          <w:rStyle w:val="None"/>
          <w:rFonts w:ascii="Times New Roman" w:hAnsi="Times New Roman"/>
          <w:sz w:val="24"/>
          <w:szCs w:val="24"/>
          <w:rtl w:val="0"/>
          <w:lang w:val="de-DE"/>
        </w:rPr>
        <w:t>|</w:t>
      </w:r>
      <w:r>
        <w:rPr>
          <w:rStyle w:val="None"/>
          <w:rFonts w:ascii="Times New Roman" w:hAnsi="Times New Roman"/>
          <w:sz w:val="24"/>
          <w:szCs w:val="24"/>
          <w:vertAlign w:val="superscript"/>
          <w:rtl w:val="0"/>
          <w:lang w:val="en-US"/>
        </w:rPr>
        <w:t>3</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[Peace be upon you. I praise for your sake G]od besides Whom there is no god but He.</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w:t>
      </w:r>
      <w:r>
        <w:rPr>
          <w:rStyle w:val="None"/>
          <w:rFonts w:ascii="Times New Roman" w:hAnsi="Times New Roman"/>
          <w:sz w:val="24"/>
          <w:szCs w:val="24"/>
          <w:vertAlign w:val="superscript"/>
          <w:rtl w:val="0"/>
          <w:lang w:val="en-US"/>
        </w:rPr>
        <w:t>4</w:t>
      </w:r>
      <w:r>
        <w:rPr>
          <w:rStyle w:val="None"/>
          <w:rFonts w:ascii="Times New Roman" w:hAnsi="Times New Roman" w:hint="default"/>
          <w:sz w:val="24"/>
          <w:szCs w:val="24"/>
          <w:vertAlign w:val="superscript"/>
          <w:rtl w:val="0"/>
          <w:lang w:val="en-US"/>
        </w:rPr>
        <w:t> </w:t>
      </w:r>
      <w:r>
        <w:rPr>
          <w:rStyle w:val="None"/>
          <w:rFonts w:ascii="Times New Roman" w:hAnsi="Times New Roman"/>
          <w:sz w:val="24"/>
          <w:szCs w:val="24"/>
          <w:rtl w:val="0"/>
          <w:lang w:val="en-US"/>
        </w:rPr>
        <w:t>[As for what follows, May God grant us and you the best of his health and may He perfect it in this world |</w:t>
      </w:r>
      <w:r>
        <w:rPr>
          <w:rStyle w:val="None"/>
          <w:rFonts w:ascii="Times New Roman" w:hAnsi="Times New Roman"/>
          <w:sz w:val="24"/>
          <w:szCs w:val="24"/>
          <w:vertAlign w:val="superscript"/>
          <w:rtl w:val="0"/>
          <w:lang w:val="en-US"/>
        </w:rPr>
        <w:t>5</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[and the hereafter </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and God is blessed. Nothing happened to me after you (pl.), |</w:t>
      </w:r>
      <w:r>
        <w:rPr>
          <w:rStyle w:val="None"/>
          <w:rFonts w:ascii="Times New Roman" w:hAnsi="Times New Roman"/>
          <w:sz w:val="24"/>
          <w:szCs w:val="24"/>
          <w:vertAlign w:val="superscript"/>
          <w:rtl w:val="0"/>
          <w:lang w:val="en-US"/>
        </w:rPr>
        <w:t>6</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[except good things </w:t>
      </w:r>
      <w:r>
        <w:rPr>
          <w:rStyle w:val="None"/>
          <w:rFonts w:ascii="Times New Roman" w:hAnsi="Times New Roman"/>
          <w:sz w:val="24"/>
          <w:szCs w:val="24"/>
          <w:vertAlign w:val="superscript"/>
          <w:rtl w:val="0"/>
          <w:lang w:val="en-US"/>
        </w:rPr>
        <w:t xml:space="preserve"> </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 with 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mil</w:t>
      </w:r>
      <w:r>
        <w:rPr>
          <w:rStyle w:val="None"/>
          <w:rFonts w:ascii="Times New Roman" w:hAnsi="Times New Roman"/>
          <w:sz w:val="24"/>
          <w:szCs w:val="24"/>
          <w:rtl w:val="0"/>
          <w:lang w:val="en-US"/>
        </w:rPr>
        <w:t xml:space="preserve"> of 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 xml:space="preserve">n and you/I wrote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w:t>
      </w:r>
      <w:r>
        <w:rPr>
          <w:rStyle w:val="None"/>
          <w:rFonts w:ascii="Times New Roman" w:hAnsi="Times New Roman"/>
          <w:sz w:val="24"/>
          <w:szCs w:val="24"/>
          <w:vertAlign w:val="superscript"/>
          <w:rtl w:val="0"/>
          <w:lang w:val="en-US"/>
        </w:rPr>
        <w:t>7</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 </w:t>
      </w:r>
      <w:r>
        <w:rPr>
          <w:rStyle w:val="None"/>
          <w:rFonts w:ascii="Times New Roman" w:hAnsi="Times New Roman"/>
          <w:sz w:val="24"/>
          <w:szCs w:val="24"/>
          <w:rtl w:val="0"/>
          <w:lang w:val="en-US"/>
        </w:rPr>
        <w:t>] and you (sing.) have already written to me about the news concerning your condition</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w:t>
      </w:r>
      <w:r>
        <w:rPr>
          <w:rStyle w:val="None"/>
          <w:rFonts w:ascii="Times New Roman" w:hAnsi="Times New Roman"/>
          <w:sz w:val="24"/>
          <w:szCs w:val="24"/>
          <w:vertAlign w:val="superscript"/>
          <w:rtl w:val="0"/>
          <w:lang w:val="en-US"/>
        </w:rPr>
        <w:t>8</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 </w:t>
      </w:r>
      <w:r>
        <w:rPr>
          <w:rStyle w:val="None"/>
          <w:rFonts w:ascii="Times New Roman" w:hAnsi="Times New Roman"/>
          <w:sz w:val="24"/>
          <w:szCs w:val="24"/>
          <w:rtl w:val="0"/>
          <w:lang w:val="en-US"/>
        </w:rPr>
        <w:t xml:space="preserv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 xml:space="preserve">mil </w:t>
      </w:r>
      <w:r>
        <w:rPr>
          <w:rStyle w:val="None"/>
          <w:rFonts w:ascii="Times New Roman" w:hAnsi="Times New Roman"/>
          <w:sz w:val="24"/>
          <w:szCs w:val="24"/>
          <w:rtl w:val="0"/>
          <w:lang w:val="en-US"/>
        </w:rPr>
        <w:t>takes care of/has good intentions towards him/it |</w:t>
      </w:r>
      <w:r>
        <w:rPr>
          <w:rStyle w:val="None"/>
          <w:rFonts w:ascii="Times New Roman" w:hAnsi="Times New Roman"/>
          <w:sz w:val="24"/>
          <w:szCs w:val="24"/>
          <w:vertAlign w:val="superscript"/>
          <w:rtl w:val="0"/>
          <w:lang w:val="en-US"/>
        </w:rPr>
        <w:t>9</w:t>
      </w:r>
      <w:r>
        <w:rPr>
          <w:rStyle w:val="None"/>
          <w:rFonts w:ascii="Times New Roman" w:hAnsi="Times New Roman" w:hint="default"/>
          <w:sz w:val="24"/>
          <w:szCs w:val="24"/>
          <w:vertAlign w:val="superscript"/>
          <w:rtl w:val="0"/>
          <w:lang w:val="en-US"/>
        </w:rPr>
        <w:t> </w:t>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 </w:t>
      </w:r>
      <w:r>
        <w:rPr>
          <w:rStyle w:val="None"/>
          <w:rFonts w:ascii="Times New Roman" w:hAnsi="Times New Roman"/>
          <w:sz w:val="24"/>
          <w:szCs w:val="24"/>
          <w:rtl w:val="0"/>
          <w:lang w:val="en-US"/>
        </w:rPr>
        <w:t xml:space="preserve">] </w:t>
      </w:r>
      <w:r>
        <w:rPr>
          <w:rStyle w:val="None"/>
          <w:rFonts w:ascii="Times New Roman" w:hAnsi="Times New Roman" w:hint="default"/>
          <w:sz w:val="24"/>
          <w:szCs w:val="24"/>
          <w:rtl w:val="0"/>
          <w:lang w:val="en-US"/>
        </w:rPr>
        <w:t>…’</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cs="Times New Roman" w:hAnsi="Times New Roman" w:eastAsia="Times New Roman"/>
          <w:sz w:val="24"/>
          <w:szCs w:val="24"/>
          <w:rtl w:val="0"/>
          <w:lang w:val="en-US"/>
        </w:rPr>
        <w:tab/>
        <w:t>Back:</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From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b. Muslim to </w:t>
      </w:r>
      <w:r>
        <w:rPr>
          <w:rStyle w:val="None"/>
          <w:rFonts w:ascii="Times New Roman" w:hAnsi="Times New Roman" w:hint="default"/>
          <w:sz w:val="24"/>
          <w:szCs w:val="24"/>
          <w:rtl w:val="0"/>
          <w:lang w:val="en-US"/>
        </w:rPr>
        <w:t>…’</w:t>
      </w:r>
    </w:p>
    <w:p>
      <w:pPr>
        <w:pStyle w:val="Default"/>
        <w:spacing w:before="0" w:line="260" w:lineRule="exact"/>
        <w:jc w:val="both"/>
        <w:rPr>
          <w:rStyle w:val="None"/>
          <w:rFonts w:ascii="Times New Roman" w:cs="Times New Roman" w:hAnsi="Times New Roman" w:eastAsia="Times New Roman"/>
          <w:u w:color="000000"/>
        </w:rPr>
      </w:pPr>
      <w:r>
        <w:rPr>
          <w:rStyle w:val="None"/>
          <w:rFonts w:ascii="Times New Roman" w:hAnsi="Times New Roman"/>
          <w:u w:color="000000"/>
          <w:rtl w:val="0"/>
          <w:lang w:val="en-US"/>
        </w:rPr>
        <w:t>=&gt;</w:t>
      </w: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=T&gt;</w:t>
      </w: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#commentary</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4</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5 </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f</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n</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All</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h wa-iyy</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kum bi-a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en-US"/>
        </w:rPr>
        <w:t xml:space="preserve">]san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fiyati-hi f</w:t>
      </w:r>
      <w:r>
        <w:rPr>
          <w:rStyle w:val="None"/>
          <w:rFonts w:ascii="Times New Roman" w:hAnsi="Times New Roman" w:hint="default"/>
          <w:i w:val="1"/>
          <w:iCs w:val="1"/>
          <w:sz w:val="24"/>
          <w:szCs w:val="24"/>
          <w:rtl w:val="0"/>
          <w:lang w:val="en-US"/>
        </w:rPr>
        <w:t xml:space="preserve">ī </w:t>
      </w:r>
      <w:r>
        <w:rPr>
          <w:rStyle w:val="None"/>
          <w:rFonts w:ascii="Times New Roman" w:hAnsi="Times New Roman"/>
          <w:i w:val="1"/>
          <w:iCs w:val="1"/>
          <w:sz w:val="24"/>
          <w:szCs w:val="24"/>
          <w:rtl w:val="0"/>
          <w:lang w:val="en-US"/>
        </w:rPr>
        <w:t>l-duny</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 [wa-l-</w:t>
      </w:r>
      <w:r>
        <w:rPr>
          <w:rStyle w:val="None"/>
          <w:rFonts w:ascii="Times New Roman" w:hAnsi="Times New Roman" w:hint="default"/>
          <w:i w:val="1"/>
          <w:iCs w:val="1"/>
          <w:sz w:val="24"/>
          <w:szCs w:val="24"/>
          <w:rtl w:val="0"/>
          <w:lang w:val="en-US"/>
        </w:rPr>
        <w:t>āḫ</w:t>
      </w:r>
      <w:r>
        <w:rPr>
          <w:rStyle w:val="None"/>
          <w:rFonts w:ascii="Times New Roman" w:hAnsi="Times New Roman"/>
          <w:i w:val="1"/>
          <w:iCs w:val="1"/>
          <w:sz w:val="24"/>
          <w:szCs w:val="24"/>
          <w:rtl w:val="0"/>
          <w:lang w:val="en-US"/>
        </w:rPr>
        <w:t>irati</w:t>
      </w:r>
      <w:r>
        <w:rPr>
          <w:rStyle w:val="None"/>
          <w:rFonts w:ascii="Times New Roman" w:hAnsi="Times New Roman"/>
          <w:sz w:val="24"/>
          <w:szCs w:val="24"/>
          <w:rtl w:val="0"/>
          <w:lang w:val="en-US"/>
        </w:rPr>
        <w:t>: The same initial blessing can be found in P.Berl.Arab 2 75.5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6 (Fayyum,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Cf. also P.Mird 42.4 (Khirbet al-Mird, 7</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P.JoySorrow 32.4 (Dimy</w:t>
      </w:r>
      <w:r>
        <w:rPr>
          <w:rStyle w:val="None"/>
          <w:rFonts w:ascii="Times New Roman" w:hAnsi="Times New Roman" w:hint="default"/>
          <w:sz w:val="24"/>
          <w:szCs w:val="24"/>
          <w:rtl w:val="0"/>
          <w:lang w:val="en-US"/>
        </w:rPr>
        <w:t>āṭ</w:t>
      </w:r>
      <w:r>
        <w:rPr>
          <w:rStyle w:val="None"/>
          <w:rFonts w:ascii="Times New Roman" w:hAnsi="Times New Roman"/>
          <w:sz w:val="24"/>
          <w:szCs w:val="24"/>
          <w:rtl w:val="0"/>
          <w:lang w:val="en-US"/>
        </w:rPr>
        <w:t>,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and P.JoySorrow 39.4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w:t>
      </w:r>
    </w:p>
    <w:p>
      <w:pPr>
        <w:pStyle w:val="annotation text"/>
        <w:spacing w:after="0" w:line="36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5 </w:t>
      </w:r>
      <w:r>
        <w:rPr>
          <w:rStyle w:val="None"/>
          <w:rFonts w:ascii="Times New Roman" w:hAnsi="Times New Roman"/>
          <w:i w:val="1"/>
          <w:iCs w:val="1"/>
          <w:sz w:val="24"/>
          <w:szCs w:val="24"/>
          <w:rtl w:val="0"/>
          <w:lang w:val="de-DE"/>
        </w:rPr>
        <w:t>wa-llah ma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de-DE"/>
        </w:rPr>
        <w:t>m</w:t>
      </w:r>
      <w:r>
        <w:rPr>
          <w:rStyle w:val="None"/>
          <w:rFonts w:ascii="Times New Roman" w:hAnsi="Times New Roman" w:hint="default"/>
          <w:i w:val="1"/>
          <w:iCs w:val="1"/>
          <w:sz w:val="24"/>
          <w:szCs w:val="24"/>
          <w:rtl w:val="0"/>
          <w:lang w:val="en-US"/>
        </w:rPr>
        <w:t>ū</w:t>
      </w:r>
      <w:r>
        <w:rPr>
          <w:rStyle w:val="None"/>
          <w:rFonts w:ascii="Times New Roman" w:hAnsi="Times New Roman"/>
          <w:i w:val="1"/>
          <w:iCs w:val="1"/>
          <w:sz w:val="24"/>
          <w:szCs w:val="24"/>
          <w:rtl w:val="0"/>
          <w:lang w:val="de-DE"/>
        </w:rPr>
        <w:t>d</w:t>
      </w:r>
      <w:r>
        <w:rPr>
          <w:rStyle w:val="None"/>
          <w:rFonts w:ascii="Times New Roman" w:hAnsi="Times New Roman"/>
          <w:sz w:val="24"/>
          <w:szCs w:val="24"/>
          <w:rtl w:val="0"/>
          <w:lang w:val="de-DE"/>
        </w:rPr>
        <w:t xml:space="preserve">: This phrase was preceded by the sender's affirmation of his good health and was used to thank God for it, see </w:t>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instrText xml:space="preserve"> HYPERLINK "https://papyri.info/biblio/97228"</w:instrText>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fldChar w:fldCharType="separate" w:fldLock="0"/>
      </w:r>
      <w:r>
        <w:rPr>
          <w:rStyle w:val="Hyperlink.1"/>
          <w:rFonts w:ascii="Times New Roman" w:hAnsi="Times New Roman"/>
          <w:outline w:val="0"/>
          <w:color w:val="0000ff"/>
          <w:sz w:val="24"/>
          <w:szCs w:val="24"/>
          <w:u w:val="single" w:color="0000ff"/>
          <w:rtl w:val="0"/>
          <w:lang w:val="de-DE"/>
          <w14:textFill>
            <w14:solidFill>
              <w14:srgbClr w14:val="0000FF"/>
            </w14:solidFill>
          </w14:textFill>
        </w:rPr>
        <w:t>Grob 2010</w:t>
      </w:r>
      <w:r>
        <w:rPr/>
        <w:fldChar w:fldCharType="end" w:fldLock="0"/>
      </w:r>
      <w:r>
        <w:rPr>
          <w:rStyle w:val="None"/>
          <w:rFonts w:ascii="Times New Roman" w:hAnsi="Times New Roman"/>
          <w:sz w:val="24"/>
          <w:szCs w:val="24"/>
          <w:rtl w:val="0"/>
          <w:lang w:val="de-DE"/>
        </w:rPr>
        <w:t>: 49</w:t>
      </w:r>
      <w:r>
        <w:rPr>
          <w:rStyle w:val="None"/>
          <w:rFonts w:ascii="Times New Roman" w:hAnsi="Times New Roman" w:hint="default"/>
          <w:sz w:val="24"/>
          <w:szCs w:val="24"/>
          <w:rtl w:val="0"/>
          <w:lang w:val="de-DE"/>
        </w:rPr>
        <w:t>–</w:t>
      </w:r>
      <w:r>
        <w:rPr>
          <w:rStyle w:val="None"/>
          <w:rFonts w:ascii="Times New Roman" w:hAnsi="Times New Roman"/>
          <w:sz w:val="24"/>
          <w:szCs w:val="24"/>
          <w:rtl w:val="0"/>
          <w:lang w:val="de-DE"/>
        </w:rPr>
        <w:t xml:space="preserve">50. </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6 </w:t>
      </w:r>
      <w:r>
        <w:rPr>
          <w:rStyle w:val="None"/>
          <w:rFonts w:ascii="Times New Roman" w:hAnsi="Times New Roman"/>
          <w:i w:val="1"/>
          <w:iCs w:val="1"/>
          <w:sz w:val="24"/>
          <w:szCs w:val="24"/>
          <w:rtl w:val="0"/>
          <w:lang w:val="en-US"/>
        </w:rPr>
        <w:t>lam ya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en-US"/>
        </w:rPr>
        <w:t>du</w:t>
      </w:r>
      <w:r>
        <w:rPr>
          <w:rStyle w:val="None"/>
          <w:rFonts w:ascii="Times New Roman" w:hAnsi="Times New Roman" w:hint="default"/>
          <w:i w:val="1"/>
          <w:iCs w:val="1"/>
          <w:sz w:val="24"/>
          <w:szCs w:val="24"/>
          <w:rtl w:val="0"/>
          <w:lang w:val="en-US"/>
        </w:rPr>
        <w:t>ṯ ʿ</w:t>
      </w:r>
      <w:r>
        <w:rPr>
          <w:rStyle w:val="None"/>
          <w:rFonts w:ascii="Times New Roman" w:hAnsi="Times New Roman"/>
          <w:i w:val="1"/>
          <w:iCs w:val="1"/>
          <w:sz w:val="24"/>
          <w:szCs w:val="24"/>
          <w:rtl w:val="0"/>
          <w:lang w:val="en-US"/>
        </w:rPr>
        <w:t>alayya ba</w:t>
      </w:r>
      <w:r>
        <w:rPr>
          <w:rStyle w:val="None"/>
          <w:rFonts w:ascii="Times New Roman" w:hAnsi="Times New Roman" w:hint="default"/>
          <w:i w:val="1"/>
          <w:iCs w:val="1"/>
          <w:sz w:val="24"/>
          <w:szCs w:val="24"/>
          <w:rtl w:val="0"/>
          <w:lang w:val="en-US"/>
        </w:rPr>
        <w:t>ʿ</w:t>
      </w:r>
      <w:r>
        <w:rPr>
          <w:rStyle w:val="None"/>
          <w:rFonts w:ascii="Times New Roman" w:hAnsi="Times New Roman"/>
          <w:i w:val="1"/>
          <w:iCs w:val="1"/>
          <w:sz w:val="24"/>
          <w:szCs w:val="24"/>
          <w:rtl w:val="0"/>
          <w:lang w:val="en-US"/>
        </w:rPr>
        <w:t xml:space="preserve">da-kum </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ill</w:t>
      </w:r>
      <w:r>
        <w:rPr>
          <w:rStyle w:val="None"/>
          <w:rFonts w:ascii="Times New Roman" w:hAnsi="Times New Roman" w:hint="default"/>
          <w:i w:val="1"/>
          <w:iCs w:val="1"/>
          <w:sz w:val="24"/>
          <w:szCs w:val="24"/>
          <w:rtl w:val="0"/>
          <w:lang w:val="en-US"/>
        </w:rPr>
        <w:t>ā</w:t>
      </w:r>
      <w:r>
        <w:rPr>
          <w:rStyle w:val="None"/>
          <w:rFonts w:ascii="Times New Roman" w:hAnsi="Times New Roman"/>
          <w:sz w:val="24"/>
          <w:szCs w:val="24"/>
          <w:rtl w:val="0"/>
          <w:lang w:val="en-US"/>
        </w:rPr>
        <w:t xml:space="preserve"> </w:t>
      </w:r>
      <w:r>
        <w:rPr>
          <w:rStyle w:val="None"/>
          <w:rFonts w:ascii="Times New Roman" w:hAnsi="Times New Roman"/>
          <w:i w:val="1"/>
          <w:iCs w:val="1"/>
          <w:sz w:val="24"/>
          <w:szCs w:val="24"/>
          <w:rtl w:val="0"/>
          <w:lang w:val="en-US"/>
        </w:rPr>
        <w:t>[</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ayrun</w:t>
      </w:r>
      <w:r>
        <w:rPr>
          <w:rStyle w:val="None"/>
          <w:rFonts w:ascii="Times New Roman" w:hAnsi="Times New Roman"/>
          <w:sz w:val="24"/>
          <w:szCs w:val="24"/>
          <w:rtl w:val="0"/>
          <w:lang w:val="en-US"/>
        </w:rPr>
        <w:t>: For this phrase and its parallels, see Khaled Younes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comments in P.JoySorrow 8.4</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5n.</w:t>
      </w:r>
    </w:p>
    <w:p>
      <w:pPr>
        <w:pStyle w:val="Normal.0"/>
        <w:tabs>
          <w:tab w:val="left" w:pos="425"/>
          <w:tab w:val="right" w:pos="5953"/>
        </w:tabs>
        <w:spacing w:after="0" w:line="360" w:lineRule="auto"/>
        <w:jc w:val="both"/>
        <w:rPr>
          <w:rStyle w:val="None"/>
          <w:rFonts w:ascii="Times New Roman" w:cs="Times New Roman" w:hAnsi="Times New Roman" w:eastAsia="Times New Roman"/>
          <w:i w:val="1"/>
          <w:iCs w:val="1"/>
          <w:sz w:val="24"/>
          <w:szCs w:val="24"/>
          <w:lang w:val="en-US"/>
        </w:rPr>
      </w:pPr>
      <w:r>
        <w:rPr>
          <w:rStyle w:val="None"/>
          <w:rFonts w:ascii="Times New Roman" w:hAnsi="Times New Roman"/>
          <w:sz w:val="24"/>
          <w:szCs w:val="24"/>
          <w:rtl w:val="0"/>
          <w:lang w:val="en-US"/>
        </w:rPr>
        <w:t>7</w:t>
      </w:r>
      <w:r>
        <w:rPr>
          <w:rStyle w:val="None"/>
          <w:rFonts w:ascii="Times New Roman" w:hAnsi="Times New Roman"/>
          <w:i w:val="1"/>
          <w:iCs w:val="1"/>
          <w:sz w:val="24"/>
          <w:szCs w:val="24"/>
          <w:rtl w:val="0"/>
          <w:lang w:val="en-US"/>
        </w:rPr>
        <w:t xml:space="preserve"> qad katabta </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ilayya bi</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 xml:space="preserve">abari min </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 xml:space="preserve">li-ka: </w:t>
      </w:r>
      <w:r>
        <w:rPr>
          <w:rStyle w:val="None"/>
          <w:rFonts w:ascii="Times New Roman" w:hAnsi="Times New Roman"/>
          <w:sz w:val="24"/>
          <w:szCs w:val="24"/>
          <w:rtl w:val="0"/>
          <w:lang w:val="en-US"/>
        </w:rPr>
        <w:t>There is no exact parallel for this phrase, but one may compare the fragmentary P.Heid.Arab. 2 25.1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w:t>
      </w:r>
      <w:r>
        <w:rPr>
          <w:rStyle w:val="None"/>
          <w:rFonts w:ascii="Times New Roman" w:hAnsi="Times New Roman"/>
          <w:i w:val="1"/>
          <w:iCs w:val="1"/>
          <w:sz w:val="24"/>
          <w:szCs w:val="24"/>
          <w:rtl w:val="0"/>
          <w:lang w:val="en-US"/>
        </w:rPr>
        <w:t xml:space="preserve">min </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abari-ka wa-</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lika</w:t>
      </w:r>
      <w:r>
        <w:rPr>
          <w:rStyle w:val="None"/>
          <w:rFonts w:ascii="Times New Roman" w:hAnsi="Times New Roman"/>
          <w:sz w:val="24"/>
          <w:szCs w:val="24"/>
          <w:rtl w:val="0"/>
          <w:lang w:val="en-US"/>
        </w:rPr>
        <w:t xml:space="preserve"> which may have contained a similar phrase to P.RagibLettres 4.7</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8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w:t>
      </w:r>
      <w:r>
        <w:rPr>
          <w:rStyle w:val="None"/>
          <w:rFonts w:ascii="Times New Roman" w:hAnsi="Times New Roman" w:hint="default"/>
          <w:i w:val="1"/>
          <w:iCs w:val="1"/>
          <w:sz w:val="24"/>
          <w:szCs w:val="24"/>
          <w:rtl w:val="0"/>
          <w:lang w:val="en-US"/>
        </w:rPr>
        <w:t>ǧāʾ</w:t>
      </w:r>
      <w:r>
        <w:rPr>
          <w:rStyle w:val="None"/>
          <w:rFonts w:ascii="Times New Roman" w:hAnsi="Times New Roman"/>
          <w:i w:val="1"/>
          <w:iCs w:val="1"/>
          <w:sz w:val="24"/>
          <w:szCs w:val="24"/>
          <w:rtl w:val="0"/>
          <w:lang w:val="en-US"/>
        </w:rPr>
        <w:t>a-n</w:t>
      </w:r>
      <w:r>
        <w:rPr>
          <w:rStyle w:val="None"/>
          <w:rFonts w:ascii="Times New Roman" w:hAnsi="Times New Roman" w:hint="default"/>
          <w:i w:val="1"/>
          <w:iCs w:val="1"/>
          <w:sz w:val="24"/>
          <w:szCs w:val="24"/>
          <w:rtl w:val="0"/>
          <w:lang w:val="en-US"/>
        </w:rPr>
        <w:t xml:space="preserve">ī </w:t>
      </w:r>
      <w:r>
        <w:rPr>
          <w:rStyle w:val="None"/>
          <w:rFonts w:ascii="Times New Roman" w:hAnsi="Times New Roman"/>
          <w:i w:val="1"/>
          <w:iCs w:val="1"/>
          <w:sz w:val="24"/>
          <w:szCs w:val="24"/>
          <w:rtl w:val="0"/>
          <w:lang w:val="en-US"/>
        </w:rPr>
        <w:t>kit</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bu-ka al-</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awwalu wa-al</w:t>
      </w:r>
      <w:r>
        <w:rPr>
          <w:rStyle w:val="None"/>
          <w:rFonts w:ascii="Times New Roman" w:hAnsi="Times New Roman" w:hint="default"/>
          <w:i w:val="1"/>
          <w:iCs w:val="1"/>
          <w:sz w:val="24"/>
          <w:szCs w:val="24"/>
          <w:rtl w:val="0"/>
          <w:lang w:val="en-US"/>
        </w:rPr>
        <w:t>ʾāḫ</w:t>
      </w:r>
      <w:r>
        <w:rPr>
          <w:rStyle w:val="None"/>
          <w:rFonts w:ascii="Times New Roman" w:hAnsi="Times New Roman"/>
          <w:i w:val="1"/>
          <w:iCs w:val="1"/>
          <w:sz w:val="24"/>
          <w:szCs w:val="24"/>
          <w:rtl w:val="0"/>
          <w:lang w:val="en-US"/>
        </w:rPr>
        <w:t>aru wa-fahimtu m</w:t>
      </w:r>
      <w:r>
        <w:rPr>
          <w:rStyle w:val="None"/>
          <w:rFonts w:ascii="Times New Roman" w:hAnsi="Times New Roman" w:hint="default"/>
          <w:i w:val="1"/>
          <w:iCs w:val="1"/>
          <w:sz w:val="24"/>
          <w:szCs w:val="24"/>
          <w:rtl w:val="0"/>
          <w:lang w:val="en-US"/>
        </w:rPr>
        <w:t>ā ḏ</w:t>
      </w:r>
      <w:r>
        <w:rPr>
          <w:rStyle w:val="None"/>
          <w:rFonts w:ascii="Times New Roman" w:hAnsi="Times New Roman"/>
          <w:i w:val="1"/>
          <w:iCs w:val="1"/>
          <w:sz w:val="24"/>
          <w:szCs w:val="24"/>
          <w:rtl w:val="0"/>
          <w:lang w:val="en-US"/>
        </w:rPr>
        <w:t>akarta f</w:t>
      </w:r>
      <w:r>
        <w:rPr>
          <w:rStyle w:val="None"/>
          <w:rFonts w:ascii="Times New Roman" w:hAnsi="Times New Roman" w:hint="default"/>
          <w:i w:val="1"/>
          <w:iCs w:val="1"/>
          <w:sz w:val="24"/>
          <w:szCs w:val="24"/>
          <w:rtl w:val="0"/>
          <w:lang w:val="en-US"/>
        </w:rPr>
        <w:t>ī</w:t>
      </w:r>
      <w:r>
        <w:rPr>
          <w:rStyle w:val="None"/>
          <w:rFonts w:ascii="Times New Roman" w:hAnsi="Times New Roman"/>
          <w:i w:val="1"/>
          <w:iCs w:val="1"/>
          <w:sz w:val="24"/>
          <w:szCs w:val="24"/>
          <w:rtl w:val="0"/>
          <w:lang w:val="en-US"/>
        </w:rPr>
        <w:t xml:space="preserve">-hi | min </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li-ka wa-</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 m</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qibala-ka.</w:t>
      </w:r>
    </w:p>
    <w:p>
      <w:pPr>
        <w:pStyle w:val="Normal.0"/>
        <w:tabs>
          <w:tab w:val="left" w:pos="425"/>
          <w:tab w:val="right" w:pos="5953"/>
        </w:tabs>
        <w:spacing w:after="0" w:line="360" w:lineRule="auto"/>
        <w:jc w:val="both"/>
        <w:rPr>
          <w:rStyle w:val="None"/>
          <w:rFonts w:ascii="Times New Roman" w:cs="Times New Roman" w:hAnsi="Times New Roman" w:eastAsia="Times New Roman"/>
          <w:i w:val="1"/>
          <w:iCs w:val="1"/>
          <w:sz w:val="24"/>
          <w:szCs w:val="24"/>
          <w:lang w:val="en-US"/>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#bibliography</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"https://papyri.info/biblio/97228"</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Grob, E.M. (2010)</w:t>
      </w:r>
      <w:r>
        <w:rPr>
          <w:lang w:val="en-US"/>
        </w:rPr>
        <w:fldChar w:fldCharType="end" w:fldLock="0"/>
      </w:r>
      <w:r>
        <w:rPr>
          <w:rStyle w:val="None"/>
          <w:rFonts w:ascii="Times New Roman" w:hAnsi="Times New Roman"/>
          <w:sz w:val="24"/>
          <w:szCs w:val="24"/>
          <w:rtl w:val="0"/>
          <w:lang w:val="en-US"/>
        </w:rPr>
        <w:t xml:space="preserve"> Documentary Arabic Private and Business Letters on Papyrus: Form and Function, Content and Context (APF Beihefte 29). Berlin.</w:t>
      </w:r>
    </w:p>
    <w:p>
      <w:pPr>
        <w:pStyle w:val="Normal.0"/>
        <w:tabs>
          <w:tab w:val="left" w:pos="425"/>
          <w:tab w:val="right" w:pos="5953"/>
        </w:tabs>
        <w:spacing w:after="0" w:line="360" w:lineRule="auto"/>
        <w:jc w:val="both"/>
      </w:pP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"https://papyri.info/biblio/97227"</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Legendre, M. (2016)</w:t>
      </w:r>
      <w:r>
        <w:rPr/>
        <w:fldChar w:fldCharType="end" w:fldLock="0"/>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Neither Byzantine nor Islamic? The duke of the Thebaid and the formation of the Umayyad state,</w:t>
      </w:r>
      <w:r>
        <w:rPr>
          <w:rStyle w:val="None"/>
          <w:rFonts w:ascii="Times New Roman" w:hAnsi="Times New Roman"/>
          <w:sz w:val="24"/>
          <w:szCs w:val="24"/>
          <w:rtl w:val="0"/>
          <w:lang w:val="de-DE"/>
        </w:rPr>
        <w:t xml:space="preserv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Historical Research 89: 3</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18.</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right" w:pos="9046"/>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right" w:pos="9046"/>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right" w:pos="9046"/>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right" w:pos="9046"/>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right" w:pos="9046"/>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right" w:pos="9046"/>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right" w:pos="9046"/>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right" w:pos="9046"/>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right" w:pos="9046"/>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sz w:val="24"/>
      <w:szCs w:val="24"/>
      <w:u w:val="single" w:color="0000ff"/>
      <w:lang w:val="en-US"/>
      <w14:textFill>
        <w14:solidFill>
          <w14:srgbClr w14:val="0000FF"/>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Hyperlink.1">
    <w:name w:val="Hyperlink.1"/>
    <w:basedOn w:val="None"/>
    <w:next w:val="Hyperlink.1"/>
    <w:rPr>
      <w:rFonts w:ascii="Times New Roman" w:cs="Times New Roman" w:hAnsi="Times New Roman" w:eastAsia="Times New Roman"/>
      <w:outline w:val="0"/>
      <w:color w:val="0000ff"/>
      <w:sz w:val="24"/>
      <w:szCs w:val="24"/>
      <w:u w:val="single" w:color="0000ff"/>
      <w:lang w:val="de-D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