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spacing w:line="240" w:lineRule="auto"/>
        <w:ind w:firstLine="0"/>
        <w:rPr>
          <w:rStyle w:val="page number"/>
          <w:color w:val="d9d9d9"/>
          <w:u w:color="d9d9d9"/>
        </w:rPr>
      </w:pPr>
      <w:r>
        <w:rPr>
          <w:rStyle w:val="page number"/>
          <w:color w:val="d9d9d9"/>
          <w:u w:color="d9d9d9"/>
          <w:rtl w:val="0"/>
          <w:lang w:val="en-US"/>
        </w:rPr>
        <w:t>#articleTitle</w:t>
      </w:r>
    </w:p>
    <w:p>
      <w:pPr>
        <w:pStyle w:val="Text"/>
        <w:spacing w:line="240" w:lineRule="auto"/>
        <w:ind w:firstLine="0"/>
        <w:rPr>
          <w:rStyle w:val="page number"/>
          <w:b w:val="1"/>
          <w:bCs w:val="1"/>
        </w:rPr>
      </w:pPr>
      <w:r>
        <w:rPr>
          <w:rStyle w:val="page number"/>
          <w:b w:val="1"/>
          <w:bCs w:val="1"/>
          <w:rtl w:val="0"/>
          <w:lang w:val="en-US"/>
        </w:rPr>
        <w:t>The David G. Hogarth Papyri</w:t>
      </w:r>
    </w:p>
    <w:p>
      <w:pPr>
        <w:pStyle w:val="Text"/>
        <w:spacing w:line="240" w:lineRule="auto"/>
        <w:ind w:firstLine="0"/>
        <w:rPr>
          <w:rStyle w:val="page number"/>
          <w:color w:val="d9d9d9"/>
          <w:u w:color="d9d9d9"/>
        </w:rPr>
      </w:pPr>
      <w:r>
        <w:rPr>
          <w:rStyle w:val="page number"/>
          <w:color w:val="d9d9d9"/>
          <w:u w:color="d9d9d9"/>
          <w:rtl w:val="0"/>
          <w:lang w:val="en-US"/>
        </w:rPr>
        <w:t>#author</w:t>
      </w:r>
    </w:p>
    <w:p>
      <w:pPr>
        <w:pStyle w:val="Text"/>
        <w:spacing w:line="240" w:lineRule="auto"/>
        <w:ind w:firstLine="0"/>
      </w:pPr>
      <w:r>
        <w:rPr>
          <w:rtl w:val="0"/>
          <w:lang w:val="it-IT"/>
        </w:rPr>
        <w:t>Sampson, C. Michael</w:t>
      </w:r>
    </w:p>
    <w:p>
      <w:pPr>
        <w:pStyle w:val="Text"/>
        <w:spacing w:line="240" w:lineRule="auto"/>
        <w:ind w:firstLine="0"/>
        <w:rPr>
          <w:rStyle w:val="page number"/>
          <w:color w:val="d9d9d9"/>
          <w:u w:color="d9d9d9"/>
        </w:rPr>
      </w:pPr>
      <w:r>
        <w:rPr>
          <w:rStyle w:val="page number"/>
          <w:color w:val="d9d9d9"/>
          <w:u w:color="d9d9d9"/>
          <w:rtl w:val="0"/>
          <w:lang w:val="fr-FR"/>
        </w:rPr>
        <w:t>#affiliation</w:t>
      </w:r>
    </w:p>
    <w:p>
      <w:pPr>
        <w:pStyle w:val="Text"/>
        <w:spacing w:line="240" w:lineRule="auto"/>
        <w:ind w:firstLine="0"/>
      </w:pPr>
      <w:r>
        <w:rPr>
          <w:rtl w:val="0"/>
          <w:lang w:val="en-US"/>
        </w:rPr>
        <w:t>University of Manitoba</w:t>
      </w:r>
    </w:p>
    <w:p>
      <w:pPr>
        <w:pStyle w:val="Text"/>
        <w:spacing w:line="240" w:lineRule="auto"/>
        <w:ind w:firstLine="0"/>
        <w:rPr>
          <w:rStyle w:val="page number"/>
          <w:color w:val="d9d9d9"/>
          <w:u w:color="d9d9d9"/>
        </w:rPr>
      </w:pPr>
      <w:r>
        <w:rPr>
          <w:rStyle w:val="page number"/>
          <w:color w:val="d9d9d9"/>
          <w:u w:color="d9d9d9"/>
          <w:rtl w:val="0"/>
          <w:lang w:val="en-US"/>
        </w:rPr>
        <w:t>#email</w:t>
      </w:r>
    </w:p>
    <w:p>
      <w:pPr>
        <w:pStyle w:val="Text"/>
        <w:spacing w:line="240" w:lineRule="auto"/>
        <w:ind w:firstLine="0"/>
      </w:pPr>
      <w:r>
        <w:rPr>
          <w:rtl w:val="0"/>
        </w:rPr>
        <w:t>mike.sampson@umanitoba.ca</w:t>
      </w:r>
    </w:p>
    <w:p>
      <w:pPr>
        <w:pStyle w:val="Text"/>
        <w:spacing w:line="240" w:lineRule="auto"/>
        <w:ind w:firstLine="0"/>
        <w:rPr>
          <w:rStyle w:val="page number"/>
          <w:color w:val="d9d9d9"/>
          <w:u w:color="d9d9d9"/>
        </w:rPr>
      </w:pPr>
    </w:p>
    <w:p>
      <w:pPr>
        <w:pStyle w:val="Text"/>
        <w:spacing w:line="240" w:lineRule="auto"/>
        <w:ind w:firstLine="0"/>
        <w:rPr>
          <w:rStyle w:val="page number"/>
          <w:color w:val="d9d9d9"/>
          <w:u w:color="d9d9d9"/>
        </w:rPr>
      </w:pPr>
      <w:r>
        <w:rPr>
          <w:rStyle w:val="page number"/>
          <w:color w:val="d9d9d9"/>
          <w:u w:color="d9d9d9"/>
          <w:rtl w:val="0"/>
          <w:lang w:val="en-US"/>
        </w:rPr>
        <w:t>#articleHeader</w:t>
      </w:r>
    </w:p>
    <w:p>
      <w:pPr>
        <w:pStyle w:val="Text"/>
        <w:ind w:firstLine="0"/>
        <w:rPr>
          <w:rStyle w:val="page number"/>
          <w:b w:val="1"/>
          <w:bCs w:val="1"/>
        </w:rPr>
      </w:pPr>
      <w:r>
        <w:rPr>
          <w:rStyle w:val="page number"/>
          <w:b w:val="1"/>
          <w:bCs w:val="1"/>
          <w:rtl w:val="0"/>
          <w:lang w:val="en-US"/>
        </w:rPr>
        <w:t>Hogarth and Papyrology</w:t>
      </w:r>
    </w:p>
    <w:p>
      <w:pPr>
        <w:pStyle w:val="Text"/>
      </w:pPr>
      <w:r>
        <w:rPr>
          <w:rtl w:val="0"/>
        </w:rPr>
        <w:t>It is easy to overlook David George Hogarth (1862</w:t>
      </w:r>
      <w:r>
        <w:rPr>
          <w:rtl w:val="0"/>
        </w:rPr>
        <w:t>–</w:t>
      </w:r>
      <w:r>
        <w:rPr>
          <w:rtl w:val="0"/>
        </w:rPr>
        <w:t>1927) in the history of papyrology. He is better known for his archaeological fieldwork, which included excavations in Egypt but which also ranged broadly across Greece, Turkey, and Syria.</w:t>
      </w:r>
      <w:r>
        <w:rPr>
          <w:rStyle w:val="footnote reference"/>
          <w:rFonts w:ascii="Times New Roman" w:cs="Times New Roman" w:hAnsi="Times New Roman" w:eastAsia="Times New Roman"/>
          <w:b w:val="0"/>
          <w:bCs w:val="0"/>
          <w:i w:val="0"/>
          <w:iCs w:val="0"/>
        </w:rPr>
        <w:footnoteReference w:id="1"/>
      </w:r>
      <w:r>
        <w:rPr>
          <w:rtl w:val="0"/>
        </w:rPr>
        <w:t xml:space="preserve"> Museological circles know him as Arthur Evans</w:t>
      </w:r>
      <w:r>
        <w:rPr>
          <w:rtl w:val="0"/>
        </w:rPr>
        <w:t xml:space="preserve">’ </w:t>
      </w:r>
      <w:r>
        <w:rPr>
          <w:rtl w:val="0"/>
        </w:rPr>
        <w:t>successor as Keeper of the Ashmolean (1909</w:t>
      </w:r>
      <w:r>
        <w:rPr>
          <w:rtl w:val="0"/>
        </w:rPr>
        <w:t>–</w:t>
      </w:r>
      <w:r>
        <w:rPr>
          <w:rtl w:val="0"/>
        </w:rPr>
        <w:t>1927), a man whose travels and decades of excavations enriched its collections as well as those of other institutions such as the Pitt Rivers and British Museums.</w:t>
      </w:r>
      <w:r>
        <w:rPr>
          <w:rStyle w:val="footnote reference"/>
          <w:rFonts w:ascii="Times New Roman" w:cs="Times New Roman" w:hAnsi="Times New Roman" w:eastAsia="Times New Roman"/>
          <w:b w:val="0"/>
          <w:bCs w:val="0"/>
          <w:i w:val="0"/>
          <w:iCs w:val="0"/>
        </w:rPr>
        <w:footnoteReference w:id="2"/>
      </w:r>
      <w:r>
        <w:rPr>
          <w:rtl w:val="0"/>
        </w:rPr>
        <w:t xml:space="preserve"> In the popular imagination, moreover, he will be forever linked with the Arab Bureau and especially the activities of Thomas E. Lawrence (</w:t>
      </w:r>
      <w:r>
        <w:rPr>
          <w:rtl w:val="0"/>
          <w:lang w:val="de-DE"/>
        </w:rPr>
        <w:t>“</w:t>
      </w:r>
      <w:r>
        <w:rPr>
          <w:rtl w:val="0"/>
        </w:rPr>
        <w:t>Lawrence of Arabia</w:t>
      </w:r>
      <w:r>
        <w:rPr>
          <w:rtl w:val="0"/>
        </w:rPr>
        <w:t>”</w:t>
      </w:r>
      <w:r>
        <w:rPr>
          <w:rtl w:val="0"/>
        </w:rPr>
        <w:t>), whose career he supported generously.</w:t>
      </w:r>
      <w:r>
        <w:rPr>
          <w:rStyle w:val="footnote reference"/>
          <w:rFonts w:ascii="Times New Roman" w:cs="Times New Roman" w:hAnsi="Times New Roman" w:eastAsia="Times New Roman"/>
          <w:b w:val="0"/>
          <w:bCs w:val="0"/>
          <w:i w:val="0"/>
          <w:iCs w:val="0"/>
        </w:rPr>
        <w:footnoteReference w:id="3"/>
      </w:r>
      <w:r>
        <w:rPr>
          <w:rtl w:val="0"/>
        </w:rPr>
        <w:t xml:space="preserve"> </w:t>
      </w:r>
    </w:p>
    <w:p>
      <w:pPr>
        <w:pStyle w:val="Text"/>
      </w:pPr>
      <w:r>
        <w:rPr>
          <w:rtl w:val="0"/>
        </w:rPr>
        <w:t>By comparison, the brief period in which Hogarth was occupied by papyrology as an employee of the Egypt Exploration Fund (1893</w:t>
      </w:r>
      <w:r>
        <w:rPr>
          <w:rtl w:val="0"/>
        </w:rPr>
        <w:t>–</w:t>
      </w:r>
      <w:r>
        <w:rPr>
          <w:rtl w:val="0"/>
        </w:rPr>
        <w:t>6) appears but a footnote.</w:t>
      </w:r>
      <w:r>
        <w:rPr>
          <w:rStyle w:val="footnote reference"/>
          <w:rFonts w:ascii="Times New Roman" w:cs="Times New Roman" w:hAnsi="Times New Roman" w:eastAsia="Times New Roman"/>
          <w:b w:val="0"/>
          <w:bCs w:val="0"/>
          <w:i w:val="0"/>
          <w:iCs w:val="0"/>
        </w:rPr>
        <w:footnoteReference w:id="4"/>
      </w:r>
      <w:r>
        <w:rPr>
          <w:rtl w:val="0"/>
        </w:rPr>
        <w:t xml:space="preserve"> For the Fund he participated in several excavations, but of papyrological interest was his single, pioneering season in the Fayum (1895/6) alongside Bernard P. Grenfell.</w:t>
      </w:r>
      <w:r>
        <w:rPr>
          <w:rStyle w:val="footnote reference"/>
          <w:rFonts w:ascii="Times New Roman" w:cs="Times New Roman" w:hAnsi="Times New Roman" w:eastAsia="Times New Roman"/>
          <w:b w:val="0"/>
          <w:bCs w:val="0"/>
          <w:i w:val="0"/>
          <w:iCs w:val="0"/>
        </w:rPr>
        <w:footnoteReference w:id="5"/>
      </w:r>
      <w:r>
        <w:rPr>
          <w:rtl w:val="0"/>
        </w:rPr>
        <w:t xml:space="preserve"> This dig was unconventional in its time for targeting Graeco-Roman towns instead of Egyptian temples and tombs, and for its pursuit of a singular objective: as Hogarth wrote from the field, </w:t>
      </w:r>
      <w:r>
        <w:rPr>
          <w:rtl w:val="0"/>
          <w:lang w:val="de-DE"/>
        </w:rPr>
        <w:t>“</w:t>
      </w:r>
      <w:r>
        <w:rPr>
          <w:rtl w:val="0"/>
        </w:rPr>
        <w:t>all know it</w:t>
      </w:r>
      <w:r>
        <w:rPr>
          <w:rtl w:val="0"/>
        </w:rPr>
        <w:t>’</w:t>
      </w:r>
      <w:r>
        <w:rPr>
          <w:rtl w:val="0"/>
        </w:rPr>
        <w:t>s papyrus we want.</w:t>
      </w:r>
      <w:r>
        <w:rPr>
          <w:rtl w:val="0"/>
        </w:rPr>
        <w:t>”</w:t>
      </w:r>
      <w:r>
        <w:rPr>
          <w:rStyle w:val="footnote reference"/>
          <w:rFonts w:ascii="Times New Roman" w:cs="Times New Roman" w:hAnsi="Times New Roman" w:eastAsia="Times New Roman"/>
          <w:b w:val="0"/>
          <w:bCs w:val="0"/>
          <w:i w:val="0"/>
          <w:iCs w:val="0"/>
        </w:rPr>
        <w:footnoteReference w:id="6"/>
      </w:r>
      <w:r>
        <w:rPr>
          <w:rtl w:val="0"/>
        </w:rPr>
        <w:t xml:space="preserve"> The idea for the expedition, according to a contemporary account, was Grenfell</w:t>
      </w:r>
      <w:r>
        <w:rPr>
          <w:rtl w:val="0"/>
        </w:rPr>
        <w:t>’</w:t>
      </w:r>
      <w:r>
        <w:rPr>
          <w:rtl w:val="0"/>
        </w:rPr>
        <w:t>s,</w:t>
      </w:r>
      <w:r>
        <w:rPr>
          <w:rStyle w:val="footnote reference"/>
          <w:rFonts w:ascii="Times New Roman" w:cs="Times New Roman" w:hAnsi="Times New Roman" w:eastAsia="Times New Roman"/>
          <w:b w:val="0"/>
          <w:bCs w:val="0"/>
          <w:i w:val="0"/>
          <w:iCs w:val="0"/>
        </w:rPr>
        <w:footnoteReference w:id="7"/>
      </w:r>
      <w:r>
        <w:rPr>
          <w:rtl w:val="0"/>
        </w:rPr>
        <w:t xml:space="preserve"> but it was doubtless inspired by official excavations that Egyptian dealers conducted until 1898, under concession from the Antiquities Service. These too yielded papyri.</w:t>
      </w:r>
      <w:r>
        <w:rPr>
          <w:rStyle w:val="footnote reference"/>
          <w:rFonts w:ascii="Times New Roman" w:cs="Times New Roman" w:hAnsi="Times New Roman" w:eastAsia="Times New Roman"/>
          <w:b w:val="0"/>
          <w:bCs w:val="0"/>
          <w:i w:val="0"/>
          <w:iCs w:val="0"/>
        </w:rPr>
        <w:footnoteReference w:id="8"/>
      </w:r>
    </w:p>
    <w:p>
      <w:pPr>
        <w:pStyle w:val="Text"/>
      </w:pPr>
      <w:r>
        <w:rPr>
          <w:rtl w:val="0"/>
        </w:rPr>
        <w:t xml:space="preserve">The motivation to dig specifically for papyri was prompted by financial considerations </w:t>
      </w:r>
      <w:r>
        <w:rPr>
          <w:rtl w:val="0"/>
        </w:rPr>
        <w:t xml:space="preserve">– </w:t>
      </w:r>
      <w:r>
        <w:rPr>
          <w:rtl w:val="0"/>
        </w:rPr>
        <w:t>wouldn</w:t>
      </w:r>
      <w:r>
        <w:rPr>
          <w:rtl w:val="0"/>
        </w:rPr>
        <w:t>’</w:t>
      </w:r>
      <w:r>
        <w:rPr>
          <w:rtl w:val="0"/>
        </w:rPr>
        <w:t xml:space="preserve">t it be cheaper in the long run to excavate than to purchase? </w:t>
      </w:r>
      <w:r>
        <w:rPr>
          <w:rtl w:val="0"/>
        </w:rPr>
        <w:t xml:space="preserve">– </w:t>
      </w:r>
      <w:r>
        <w:rPr>
          <w:rtl w:val="0"/>
        </w:rPr>
        <w:t>but also by scholarly ones. Although one should not equate the techniques, goals, and records of nineteenth-century archaeology with those of sophisticated twenty-first century digs, there was a desire both to ascertain the provenance of the papyri being sought and to identify the ancient sites under excavation,</w:t>
      </w:r>
      <w:r>
        <w:rPr>
          <w:rStyle w:val="footnote reference"/>
          <w:rFonts w:ascii="Times New Roman" w:cs="Times New Roman" w:hAnsi="Times New Roman" w:eastAsia="Times New Roman"/>
          <w:b w:val="0"/>
          <w:bCs w:val="0"/>
          <w:i w:val="0"/>
          <w:iCs w:val="0"/>
        </w:rPr>
        <w:footnoteReference w:id="9"/>
      </w:r>
      <w:r>
        <w:rPr>
          <w:rtl w:val="0"/>
        </w:rPr>
        <w:t xml:space="preserve"> knowledge that was inhibited by the uncertainties and unsavory aspects of the antiquities market.</w:t>
      </w:r>
      <w:bookmarkStart w:name="_Ref104883879" w:id="0"/>
      <w:r>
        <w:rPr>
          <w:rStyle w:val="footnote reference"/>
          <w:rFonts w:ascii="Times New Roman" w:cs="Times New Roman" w:hAnsi="Times New Roman" w:eastAsia="Times New Roman"/>
          <w:b w:val="0"/>
          <w:bCs w:val="0"/>
          <w:i w:val="0"/>
          <w:iCs w:val="0"/>
        </w:rPr>
        <w:footnoteReference w:id="10"/>
      </w:r>
      <w:bookmarkEnd w:id="0"/>
      <w:r>
        <w:rPr>
          <w:rtl w:val="0"/>
        </w:rPr>
        <w:t xml:space="preserve"> The Fund</w:t>
      </w:r>
      <w:r>
        <w:rPr>
          <w:rtl w:val="0"/>
        </w:rPr>
        <w:t>’</w:t>
      </w:r>
      <w:r>
        <w:rPr>
          <w:rtl w:val="0"/>
        </w:rPr>
        <w:t>s joint appointment of Hogarth and Grenfell, whose expertise lay in field archaeology and papyrology, respectively, reflects the dig</w:t>
      </w:r>
      <w:r>
        <w:rPr>
          <w:rtl w:val="0"/>
        </w:rPr>
        <w:t>’</w:t>
      </w:r>
      <w:r>
        <w:rPr>
          <w:rtl w:val="0"/>
        </w:rPr>
        <w:t xml:space="preserve">s various imperatives. </w:t>
      </w:r>
    </w:p>
    <w:p>
      <w:pPr>
        <w:pStyle w:val="Text"/>
      </w:pPr>
      <w:r>
        <w:rPr>
          <w:rtl w:val="0"/>
        </w:rPr>
        <w:t>Hogarth was the more experienced member of the team and brought an approach to fieldwork that was typical of his era</w:t>
      </w:r>
      <w:r>
        <w:rPr>
          <w:rtl w:val="0"/>
        </w:rPr>
        <w:t>’</w:t>
      </w:r>
      <w:r>
        <w:rPr>
          <w:rtl w:val="0"/>
        </w:rPr>
        <w:t>s methodology.</w:t>
      </w:r>
      <w:r>
        <w:rPr>
          <w:rStyle w:val="footnote reference"/>
          <w:rFonts w:ascii="Times New Roman" w:cs="Times New Roman" w:hAnsi="Times New Roman" w:eastAsia="Times New Roman"/>
          <w:b w:val="0"/>
          <w:bCs w:val="0"/>
          <w:i w:val="0"/>
          <w:iCs w:val="0"/>
        </w:rPr>
        <w:footnoteReference w:id="11"/>
      </w:r>
      <w:r>
        <w:rPr>
          <w:rtl w:val="0"/>
        </w:rPr>
        <w:t xml:space="preserve"> He made plans of important structures under excavation and recorded in a daybook both his observations of the environment as well as the dig</w:t>
      </w:r>
      <w:r>
        <w:rPr>
          <w:rtl w:val="0"/>
        </w:rPr>
        <w:t>’</w:t>
      </w:r>
      <w:r>
        <w:rPr>
          <w:rtl w:val="0"/>
        </w:rPr>
        <w:t>s activities. As a consequence, of the papyrological volumes in the Fund</w:t>
      </w:r>
      <w:r>
        <w:rPr>
          <w:rtl w:val="0"/>
        </w:rPr>
        <w:t>’</w:t>
      </w:r>
      <w:r>
        <w:rPr>
          <w:rtl w:val="0"/>
          <w:lang w:val="fr-FR"/>
        </w:rPr>
        <w:t>s Graeco-Roman Memoirs</w:t>
      </w:r>
      <w:r>
        <w:rPr>
          <w:rStyle w:val="page number"/>
          <w:i w:val="1"/>
          <w:iCs w:val="1"/>
          <w:rtl w:val="0"/>
        </w:rPr>
        <w:t xml:space="preserve"> </w:t>
      </w:r>
      <w:r>
        <w:rPr>
          <w:rtl w:val="0"/>
        </w:rPr>
        <w:t xml:space="preserve">series, </w:t>
      </w:r>
      <w:r>
        <w:rPr>
          <w:rStyle w:val="page number"/>
          <w:i w:val="1"/>
          <w:iCs w:val="1"/>
          <w:rtl w:val="0"/>
          <w:lang w:val="en-US"/>
        </w:rPr>
        <w:t xml:space="preserve">Fayum Towns and their Papyri </w:t>
      </w:r>
      <w:r>
        <w:rPr>
          <w:rtl w:val="0"/>
        </w:rPr>
        <w:t xml:space="preserve">(=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tl w:val="0"/>
        </w:rPr>
        <w:t>P.Fay.</w:t>
      </w:r>
      <w:r>
        <w:rPr/>
        <w:fldChar w:fldCharType="end" w:fldLock="0"/>
      </w:r>
      <w:r>
        <w:rPr>
          <w:rtl w:val="0"/>
        </w:rPr>
        <w:t>) stands out for its attention to the villages</w:t>
      </w:r>
      <w:r>
        <w:rPr>
          <w:rtl w:val="0"/>
        </w:rPr>
        <w:t xml:space="preserve">’ </w:t>
      </w:r>
      <w:r>
        <w:rPr>
          <w:rtl w:val="0"/>
        </w:rPr>
        <w:t>archaeology.</w:t>
      </w:r>
      <w:r>
        <w:rPr>
          <w:rStyle w:val="footnote reference"/>
          <w:rFonts w:ascii="Times New Roman" w:cs="Times New Roman" w:hAnsi="Times New Roman" w:eastAsia="Times New Roman"/>
          <w:b w:val="0"/>
          <w:bCs w:val="0"/>
          <w:i w:val="0"/>
          <w:iCs w:val="0"/>
        </w:rPr>
        <w:footnoteReference w:id="12"/>
      </w:r>
      <w:r>
        <w:rPr>
          <w:rtl w:val="0"/>
        </w:rPr>
        <w:t xml:space="preserve"> But despite the excavation</w:t>
      </w:r>
      <w:r>
        <w:rPr>
          <w:rtl w:val="0"/>
        </w:rPr>
        <w:t>’</w:t>
      </w:r>
      <w:r>
        <w:rPr>
          <w:rtl w:val="0"/>
        </w:rPr>
        <w:t>s novel objectives and the added value of Hogarth</w:t>
      </w:r>
      <w:r>
        <w:rPr>
          <w:rtl w:val="0"/>
        </w:rPr>
        <w:t>’</w:t>
      </w:r>
      <w:r>
        <w:rPr>
          <w:rtl w:val="0"/>
        </w:rPr>
        <w:t>s expertise, several events quickly conspired to relegate him to papyrological obscurity. For one, he tendered his resignation to the Fund on 14 March 1896, following the conclusion of the season. He would never dig for papyri again personally, instead recommending that Grenfell be entrusted the work in the future.</w:t>
      </w:r>
      <w:r>
        <w:rPr>
          <w:rStyle w:val="footnote reference"/>
          <w:rFonts w:ascii="Times New Roman" w:cs="Times New Roman" w:hAnsi="Times New Roman" w:eastAsia="Times New Roman"/>
          <w:b w:val="0"/>
          <w:bCs w:val="0"/>
          <w:i w:val="0"/>
          <w:iCs w:val="0"/>
        </w:rPr>
        <w:footnoteReference w:id="13"/>
      </w:r>
      <w:r>
        <w:rPr>
          <w:rtl w:val="0"/>
        </w:rPr>
        <w:t xml:space="preserve"> That advice was heeded; the initial Fayum season</w:t>
      </w:r>
      <w:r>
        <w:rPr>
          <w:rtl w:val="0"/>
        </w:rPr>
        <w:t>’</w:t>
      </w:r>
      <w:r>
        <w:rPr>
          <w:rtl w:val="0"/>
        </w:rPr>
        <w:t>s success justified not only further expeditions for papyri but also, in time, the Fund</w:t>
      </w:r>
      <w:r>
        <w:rPr>
          <w:rtl w:val="0"/>
        </w:rPr>
        <w:t>’</w:t>
      </w:r>
      <w:r>
        <w:rPr>
          <w:rtl w:val="0"/>
        </w:rPr>
        <w:t>s creation of a dedicated Graeco-Roman branch. The rest, as they say, is history: instead of a hoped-for second season in the Fayum,</w:t>
      </w:r>
      <w:r>
        <w:rPr>
          <w:rStyle w:val="footnote reference"/>
          <w:rFonts w:ascii="Times New Roman" w:cs="Times New Roman" w:hAnsi="Times New Roman" w:eastAsia="Times New Roman"/>
          <w:b w:val="0"/>
          <w:bCs w:val="0"/>
          <w:i w:val="0"/>
          <w:iCs w:val="0"/>
        </w:rPr>
        <w:footnoteReference w:id="14"/>
      </w:r>
      <w:r>
        <w:rPr>
          <w:rtl w:val="0"/>
        </w:rPr>
        <w:t xml:space="preserve"> the very next winter Grenfell and Hunt hit upon a papyrological bonanza in the trash heaps of ancient Oxyrhynchus at Behnesa, to their everlasting fame. Hogarth may have dug for papyri with Grenfell before Hunt had even set foot in Egypt, but the Oxford Dioscuri</w:t>
      </w:r>
      <w:r>
        <w:rPr>
          <w:rtl w:val="0"/>
        </w:rPr>
        <w:t>’</w:t>
      </w:r>
      <w:r>
        <w:rPr>
          <w:rtl w:val="0"/>
        </w:rPr>
        <w:t xml:space="preserve">s pre-eminence meant that the phrase </w:t>
      </w:r>
      <w:r>
        <w:rPr>
          <w:rtl w:val="0"/>
        </w:rPr>
        <w:t>‘</w:t>
      </w:r>
      <w:r>
        <w:rPr>
          <w:rtl w:val="0"/>
        </w:rPr>
        <w:t>Grenfell and ________</w:t>
      </w:r>
      <w:r>
        <w:rPr>
          <w:rtl w:val="0"/>
        </w:rPr>
        <w:t xml:space="preserve">’ </w:t>
      </w:r>
      <w:r>
        <w:rPr>
          <w:rtl w:val="0"/>
        </w:rPr>
        <w:t xml:space="preserve">would evermore be reflexively supplemented by </w:t>
      </w:r>
      <w:r>
        <w:rPr>
          <w:rtl w:val="0"/>
        </w:rPr>
        <w:t>‘</w:t>
      </w:r>
      <w:r>
        <w:rPr>
          <w:rtl w:val="0"/>
          <w:lang w:val="da-DK"/>
        </w:rPr>
        <w:t>Hunt</w:t>
      </w:r>
      <w:r>
        <w:rPr>
          <w:rtl w:val="0"/>
        </w:rPr>
        <w:t xml:space="preserve">’ </w:t>
      </w:r>
      <w:r>
        <w:rPr>
          <w:rtl w:val="0"/>
        </w:rPr>
        <w:t xml:space="preserve">instead of </w:t>
      </w:r>
      <w:r>
        <w:rPr>
          <w:rtl w:val="0"/>
        </w:rPr>
        <w:t>‘</w:t>
      </w:r>
      <w:r>
        <w:rPr>
          <w:rtl w:val="0"/>
        </w:rPr>
        <w:t>Hogarth.</w:t>
      </w:r>
      <w:r>
        <w:rPr>
          <w:rtl w:val="0"/>
        </w:rPr>
        <w:t xml:space="preserve">’ </w:t>
      </w:r>
      <w:r>
        <w:rPr>
          <w:rtl w:val="0"/>
        </w:rPr>
        <w:t xml:space="preserve">He became the forgotten man of the first Fayum season </w:t>
      </w:r>
      <w:r>
        <w:rPr>
          <w:rtl w:val="0"/>
        </w:rPr>
        <w:t xml:space="preserve">– </w:t>
      </w:r>
      <w:r>
        <w:rPr>
          <w:rtl w:val="0"/>
        </w:rPr>
        <w:t>the Michael Collins of the crew. That neither Grenfell nor Hunt applied his more archaeological approach to fieldwork in their future endeavors is an appropriate metaphor for papyrology</w:t>
      </w:r>
      <w:r>
        <w:rPr>
          <w:rtl w:val="0"/>
        </w:rPr>
        <w:t>’</w:t>
      </w:r>
      <w:r>
        <w:rPr>
          <w:rtl w:val="0"/>
        </w:rPr>
        <w:t>s memory of Hogarth more generally.</w:t>
      </w:r>
      <w:r>
        <w:rPr>
          <w:rStyle w:val="footnote reference"/>
          <w:rFonts w:ascii="Times New Roman" w:cs="Times New Roman" w:hAnsi="Times New Roman" w:eastAsia="Times New Roman"/>
          <w:b w:val="0"/>
          <w:bCs w:val="0"/>
          <w:i w:val="0"/>
          <w:iCs w:val="0"/>
        </w:rPr>
        <w:footnoteReference w:id="15"/>
      </w:r>
    </w:p>
    <w:p>
      <w:pPr>
        <w:pStyle w:val="Text"/>
        <w:spacing w:line="240" w:lineRule="auto"/>
        <w:ind w:firstLine="0"/>
        <w:rPr>
          <w:rStyle w:val="page number"/>
          <w:color w:val="d9d9d9"/>
          <w:u w:color="d9d9d9"/>
        </w:rPr>
      </w:pPr>
      <w:r>
        <w:rPr>
          <w:rStyle w:val="page number"/>
          <w:color w:val="d9d9d9"/>
          <w:u w:color="d9d9d9"/>
          <w:rtl w:val="0"/>
          <w:lang w:val="en-US"/>
        </w:rPr>
        <w:t>#articleHeader</w:t>
      </w:r>
    </w:p>
    <w:p>
      <w:pPr>
        <w:pStyle w:val="Text"/>
        <w:ind w:firstLine="0"/>
        <w:rPr>
          <w:rStyle w:val="page number"/>
          <w:b w:val="1"/>
          <w:bCs w:val="1"/>
        </w:rPr>
      </w:pPr>
      <w:r>
        <w:rPr>
          <w:rStyle w:val="page number"/>
          <w:b w:val="1"/>
          <w:bCs w:val="1"/>
          <w:rtl w:val="0"/>
          <w:lang w:val="en-US"/>
        </w:rPr>
        <w:t>Hogarth</w:t>
      </w:r>
      <w:r>
        <w:rPr>
          <w:rStyle w:val="page number"/>
          <w:b w:val="1"/>
          <w:bCs w:val="1"/>
          <w:rtl w:val="0"/>
        </w:rPr>
        <w:t>’</w:t>
      </w:r>
      <w:r>
        <w:rPr>
          <w:rStyle w:val="page number"/>
          <w:b w:val="1"/>
          <w:bCs w:val="1"/>
          <w:rtl w:val="0"/>
        </w:rPr>
        <w:t>s Papyri</w:t>
      </w:r>
    </w:p>
    <w:p>
      <w:pPr>
        <w:pStyle w:val="Text"/>
      </w:pPr>
      <w:r>
        <w:rPr>
          <w:rtl w:val="0"/>
        </w:rPr>
        <w:t xml:space="preserve">In the early 1900s, following the publication of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tl w:val="0"/>
        </w:rPr>
        <w:t>P.Fay.</w:t>
      </w:r>
      <w:r>
        <w:rPr/>
        <w:fldChar w:fldCharType="end" w:fldLock="0"/>
      </w:r>
      <w:r>
        <w:rPr>
          <w:rtl w:val="0"/>
        </w:rPr>
        <w:t>, the Fund distributed to institutional subscribers the papyri from its Fayum excavations, including those Grenfell and Hogarth had excavated in the 1895/6 season.</w:t>
      </w:r>
      <w:r>
        <w:rPr>
          <w:rStyle w:val="footnote reference"/>
          <w:rFonts w:ascii="Times New Roman" w:cs="Times New Roman" w:hAnsi="Times New Roman" w:eastAsia="Times New Roman"/>
          <w:b w:val="0"/>
          <w:bCs w:val="0"/>
          <w:i w:val="0"/>
          <w:iCs w:val="0"/>
        </w:rPr>
        <w:footnoteReference w:id="16"/>
      </w:r>
      <w:r>
        <w:rPr>
          <w:rtl w:val="0"/>
        </w:rPr>
        <w:t xml:space="preserve"> But during his time in Egypt, Hogarth had also purchased papyri of his own, whose existence is not entirely news. Grenfell and Hunt</w:t>
      </w:r>
      <w:r>
        <w:rPr>
          <w:rtl w:val="0"/>
        </w:rPr>
        <w:t>’</w:t>
      </w:r>
      <w:r>
        <w:rPr>
          <w:rtl w:val="0"/>
        </w:rPr>
        <w:t xml:space="preserve">s preface to the second volume of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tl w:val="0"/>
          <w:lang w:val="fr-FR"/>
        </w:rPr>
        <w:t>P.Grenf.</w:t>
      </w:r>
      <w:r>
        <w:rPr/>
        <w:fldChar w:fldCharType="end" w:fldLock="0"/>
      </w:r>
      <w:r>
        <w:rPr>
          <w:rtl w:val="0"/>
        </w:rPr>
        <w:t xml:space="preserve"> (dated 10 October 1896), for example, is transparent in this regard:</w:t>
      </w:r>
    </w:p>
    <w:p>
      <w:pPr>
        <w:pStyle w:val="Text"/>
        <w:spacing w:line="240" w:lineRule="auto"/>
        <w:ind w:firstLine="0"/>
        <w:rPr>
          <w:rStyle w:val="page number"/>
          <w:color w:val="d9d9d9"/>
          <w:u w:color="d9d9d9"/>
        </w:rPr>
      </w:pPr>
      <w:r>
        <w:rPr>
          <w:rStyle w:val="page number"/>
          <w:color w:val="d9d9d9"/>
          <w:u w:color="d9d9d9"/>
          <w:rtl w:val="0"/>
          <w:lang w:val="it-IT"/>
        </w:rPr>
        <w:t>#blockQuote</w:t>
      </w:r>
    </w:p>
    <w:p>
      <w:pPr>
        <w:pStyle w:val="Text"/>
        <w:spacing w:line="240" w:lineRule="auto"/>
        <w:ind w:left="720" w:firstLine="0"/>
      </w:pPr>
      <w:r>
        <w:rPr>
          <w:rtl w:val="0"/>
          <w:lang w:val="en-US"/>
        </w:rPr>
        <w:t>Of the 146 papyri published in this volume nos. xv</w:t>
      </w:r>
      <w:r>
        <w:rPr>
          <w:rtl w:val="0"/>
        </w:rPr>
        <w:t>–</w:t>
      </w:r>
      <w:r>
        <w:rPr>
          <w:rtl w:val="0"/>
          <w:lang w:val="en-US"/>
        </w:rPr>
        <w:t>xxxvii, lvii and lxxix were acquired by Mr. D. G. Hogarth and Mr. E. R. Bevan, nos. xli, l (</w:t>
      </w:r>
      <w:r>
        <w:rPr>
          <w:rStyle w:val="page number"/>
          <w:i w:val="1"/>
          <w:iCs w:val="1"/>
          <w:rtl w:val="0"/>
        </w:rPr>
        <w:t>k</w:t>
      </w:r>
      <w:r>
        <w:rPr>
          <w:rtl w:val="0"/>
        </w:rPr>
        <w:t>), and liii (</w:t>
      </w:r>
      <w:r>
        <w:rPr>
          <w:rStyle w:val="page number"/>
          <w:i w:val="1"/>
          <w:iCs w:val="1"/>
          <w:rtl w:val="0"/>
        </w:rPr>
        <w:t>e</w:t>
      </w:r>
      <w:r>
        <w:rPr>
          <w:rtl w:val="0"/>
          <w:lang w:val="en-US"/>
        </w:rPr>
        <w:t>) and (</w:t>
      </w:r>
      <w:r>
        <w:rPr>
          <w:rStyle w:val="page number"/>
          <w:i w:val="1"/>
          <w:iCs w:val="1"/>
          <w:rtl w:val="0"/>
        </w:rPr>
        <w:t>f</w:t>
      </w:r>
      <w:r>
        <w:rPr>
          <w:rtl w:val="0"/>
          <w:lang w:val="en-US"/>
        </w:rPr>
        <w:t>) by Prof. Mahaffy; for permission to publish these we are much indebted to their respective owners.</w:t>
      </w:r>
      <w:r>
        <w:rPr>
          <w:rStyle w:val="footnote reference"/>
        </w:rPr>
        <w:footnoteReference w:id="17"/>
      </w:r>
      <w:r>
        <w:rPr>
          <w:rtl w:val="0"/>
        </w:rPr>
        <w:t xml:space="preserve"> </w:t>
      </w:r>
    </w:p>
    <w:p>
      <w:pPr>
        <w:pStyle w:val="Text"/>
        <w:spacing w:line="240" w:lineRule="auto"/>
        <w:ind w:firstLine="0"/>
        <w:rPr>
          <w:rStyle w:val="page number"/>
          <w:color w:val="d9d9d9"/>
          <w:u w:color="d9d9d9"/>
        </w:rPr>
      </w:pPr>
      <w:r>
        <w:rPr>
          <w:rStyle w:val="page number"/>
          <w:color w:val="d9d9d9"/>
          <w:u w:color="d9d9d9"/>
          <w:rtl w:val="0"/>
          <w:lang w:val="en-US"/>
        </w:rPr>
        <w:t>#endBlockQuote</w:t>
      </w:r>
    </w:p>
    <w:p>
      <w:pPr>
        <w:pStyle w:val="Text"/>
        <w:ind w:firstLine="0"/>
      </w:pPr>
      <w:r>
        <w:rPr>
          <w:rtl w:val="0"/>
          <w:lang w:val="en-US"/>
        </w:rPr>
        <w:t>Other papyri evidently passed through Hogarth</w:t>
      </w:r>
      <w:r>
        <w:rPr>
          <w:rtl w:val="0"/>
        </w:rPr>
        <w:t>’</w:t>
      </w:r>
      <w:r>
        <w:rPr>
          <w:rtl w:val="0"/>
          <w:lang w:val="en-US"/>
        </w:rPr>
        <w:t>s hands, as well. On 15 May 1935, years after he had passed away on 6 November 1927, his son William presented a collection of papyri to the Bodleian Library in Oxford, the ownership history of which Eefje P. Wegener duly noted when she published in short order a few of its items.</w:t>
      </w:r>
      <w:r>
        <w:rPr>
          <w:rStyle w:val="footnote reference"/>
        </w:rPr>
        <w:footnoteReference w:id="18"/>
      </w:r>
      <w:r>
        <w:rPr>
          <w:rtl w:val="0"/>
          <w:lang w:val="en-US"/>
        </w:rPr>
        <w:t xml:space="preserve"> As I will detail momentarily, these were certainly his father</w:t>
      </w:r>
      <w:r>
        <w:rPr>
          <w:rtl w:val="0"/>
        </w:rPr>
        <w:t>’</w:t>
      </w:r>
      <w:r>
        <w:rPr>
          <w:rtl w:val="0"/>
          <w:lang w:val="en-US"/>
        </w:rPr>
        <w:t>s. Because little more is known about them, in what follows, I attempt to shed new light on their acquisition(s) and on Hogarth</w:t>
      </w:r>
      <w:r>
        <w:rPr>
          <w:rtl w:val="0"/>
        </w:rPr>
        <w:t>’</w:t>
      </w:r>
      <w:r>
        <w:rPr>
          <w:rtl w:val="0"/>
          <w:lang w:val="en-US"/>
        </w:rPr>
        <w:t>s activities on the market, drawing upon previously unpublished archival material, including personal correspondence preserved both by his wife and by his friend Charles R. L. Fletcher.</w:t>
      </w:r>
      <w:r>
        <w:rPr>
          <w:rStyle w:val="footnote reference"/>
        </w:rPr>
        <w:footnoteReference w:id="19"/>
      </w:r>
      <w:r>
        <w:rPr>
          <w:rtl w:val="0"/>
          <w:lang w:val="en-US"/>
        </w:rPr>
        <w:t xml:space="preserve"> A catalogue of Hogarth</w:t>
      </w:r>
      <w:r>
        <w:rPr>
          <w:rtl w:val="0"/>
        </w:rPr>
        <w:t>’</w:t>
      </w:r>
      <w:r>
        <w:rPr>
          <w:rtl w:val="0"/>
          <w:lang w:val="en-US"/>
        </w:rPr>
        <w:t>s acquisitions as they are currently understood appears as the conclusion (= Table 1).</w:t>
      </w:r>
    </w:p>
    <w:p>
      <w:pPr>
        <w:pStyle w:val="Text"/>
      </w:pPr>
      <w:r>
        <w:rPr>
          <w:rtl w:val="0"/>
        </w:rPr>
        <w:t xml:space="preserve">Most of the Hogarth / Bevan papyri published in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tl w:val="0"/>
          <w:lang w:val="fr-FR"/>
        </w:rPr>
        <w:t>P.Grenf. 2</w:t>
      </w:r>
      <w:r>
        <w:rPr/>
        <w:fldChar w:fldCharType="end" w:fldLock="0"/>
      </w:r>
      <w:r>
        <w:rPr>
          <w:rtl w:val="0"/>
        </w:rPr>
        <w:t xml:space="preserve"> are obviously related to one another.</w:t>
      </w:r>
      <w:r>
        <w:rPr>
          <w:rStyle w:val="footnote reference"/>
          <w:rFonts w:ascii="Times New Roman" w:cs="Times New Roman" w:hAnsi="Times New Roman" w:eastAsia="Times New Roman"/>
          <w:b w:val="0"/>
          <w:bCs w:val="0"/>
          <w:i w:val="0"/>
          <w:iCs w:val="0"/>
        </w:rPr>
        <w:footnoteReference w:id="20"/>
      </w:r>
      <w:r>
        <w:rPr>
          <w:rtl w:val="0"/>
        </w:rPr>
        <w:t xml:space="preserve"> Not only do they share a provenance (= Pathyris) and Ptolemaic date, but (more tellingly) many originate in the bilingual archive of Peteharsemtheus, son of Panebchounis.</w:t>
      </w:r>
      <w:r>
        <w:rPr>
          <w:rStyle w:val="footnote reference"/>
          <w:rFonts w:ascii="Times New Roman" w:cs="Times New Roman" w:hAnsi="Times New Roman" w:eastAsia="Times New Roman"/>
          <w:b w:val="0"/>
          <w:bCs w:val="0"/>
          <w:i w:val="0"/>
          <w:iCs w:val="0"/>
        </w:rPr>
        <w:footnoteReference w:id="21"/>
      </w:r>
      <w:r>
        <w:rPr>
          <w:rtl w:val="0"/>
        </w:rPr>
        <w:t xml:space="preserve"> That they form a cohesive group has been reinforced by the circumstances of their institutional deposit. At some point in July 1896, Bevan donated his to the British Museum (where they were catalogued as Papyri 654</w:t>
      </w:r>
      <w:r>
        <w:rPr>
          <w:rtl w:val="0"/>
        </w:rPr>
        <w:t>–</w:t>
      </w:r>
      <w:r>
        <w:rPr>
          <w:rtl w:val="0"/>
        </w:rPr>
        <w:t>666), and on 25 July 1896 the museum purchased Hogarth</w:t>
      </w:r>
      <w:r>
        <w:rPr>
          <w:rtl w:val="0"/>
        </w:rPr>
        <w:t>’</w:t>
      </w:r>
      <w:r>
        <w:rPr>
          <w:rtl w:val="0"/>
        </w:rPr>
        <w:t>s and catalogued them as Papyri 667</w:t>
      </w:r>
      <w:r>
        <w:rPr>
          <w:rtl w:val="0"/>
        </w:rPr>
        <w:t>–</w:t>
      </w:r>
      <w:r>
        <w:rPr>
          <w:rtl w:val="0"/>
        </w:rPr>
        <w:t>681.</w:t>
      </w:r>
      <w:r>
        <w:rPr>
          <w:rStyle w:val="footnote reference"/>
          <w:rFonts w:ascii="Times New Roman" w:cs="Times New Roman" w:hAnsi="Times New Roman" w:eastAsia="Times New Roman"/>
          <w:b w:val="0"/>
          <w:bCs w:val="0"/>
          <w:i w:val="0"/>
          <w:iCs w:val="0"/>
        </w:rPr>
        <w:footnoteReference w:id="22"/>
      </w:r>
      <w:r>
        <w:rPr>
          <w:rtl w:val="0"/>
        </w:rPr>
        <w:t xml:space="preserve"> </w:t>
      </w:r>
      <w:r>
        <w:rPr>
          <w:rStyle w:val="Hyperlink.0"/>
        </w:rPr>
        <w:fldChar w:fldCharType="begin" w:fldLock="0"/>
      </w:r>
      <w:r>
        <w:rPr>
          <w:rStyle w:val="Hyperlink.0"/>
        </w:rPr>
        <w:instrText xml:space="preserve"> HYPERLINK "https://papyri.info/biblio/95198"</w:instrText>
      </w:r>
      <w:r>
        <w:rPr>
          <w:rStyle w:val="Hyperlink.0"/>
        </w:rPr>
        <w:fldChar w:fldCharType="separate" w:fldLock="0"/>
      </w:r>
      <w:r>
        <w:rPr>
          <w:rStyle w:val="Hyperlink.0"/>
          <w:rtl w:val="0"/>
        </w:rPr>
        <w:t>P.Lond. 3</w:t>
      </w:r>
      <w:r>
        <w:rPr/>
        <w:fldChar w:fldCharType="end" w:fldLock="0"/>
      </w:r>
      <w:r>
        <w:rPr>
          <w:rtl w:val="0"/>
        </w:rPr>
        <w:t xml:space="preserve"> includes descriptions of them.</w:t>
      </w:r>
      <w:r>
        <w:rPr>
          <w:rStyle w:val="footnote reference"/>
          <w:rFonts w:ascii="Times New Roman" w:cs="Times New Roman" w:hAnsi="Times New Roman" w:eastAsia="Times New Roman"/>
          <w:b w:val="0"/>
          <w:bCs w:val="0"/>
          <w:i w:val="0"/>
          <w:iCs w:val="0"/>
        </w:rPr>
        <w:footnoteReference w:id="23"/>
      </w:r>
      <w:r>
        <w:rPr>
          <w:rtl w:val="0"/>
        </w:rPr>
        <w:t xml:space="preserve"> Hogarth</w:t>
      </w:r>
      <w:r>
        <w:rPr>
          <w:rtl w:val="0"/>
        </w:rPr>
        <w:t>’</w:t>
      </w:r>
      <w:r>
        <w:rPr>
          <w:rtl w:val="0"/>
        </w:rPr>
        <w:t xml:space="preserve">s personal correspondence confirms the coherence of the group and illuminates the circumstances of its acquisition: in a letter home dated 5 February 1896, composed while he was away from the camp in the Fayum, he reports the purchase in Luxor of </w:t>
      </w:r>
      <w:r>
        <w:rPr>
          <w:rtl w:val="0"/>
          <w:lang w:val="de-DE"/>
        </w:rPr>
        <w:t>“</w:t>
      </w:r>
      <w:r>
        <w:rPr>
          <w:rtl w:val="0"/>
        </w:rPr>
        <w:t>a lot of papyri, using therefor [sic] Mr. Bevan</w:t>
      </w:r>
      <w:r>
        <w:rPr>
          <w:rtl w:val="0"/>
        </w:rPr>
        <w:t>’</w:t>
      </w:r>
      <w:r>
        <w:rPr>
          <w:rtl w:val="0"/>
        </w:rPr>
        <w:t xml:space="preserve">s </w:t>
      </w:r>
      <w:r>
        <w:rPr>
          <w:rtl w:val="0"/>
        </w:rPr>
        <w:t>£</w:t>
      </w:r>
      <w:r>
        <w:rPr>
          <w:rtl w:val="0"/>
        </w:rPr>
        <w:t>50.</w:t>
      </w:r>
      <w:r>
        <w:rPr>
          <w:rtl w:val="0"/>
        </w:rPr>
        <w:t>”</w:t>
      </w:r>
      <w:r>
        <w:rPr>
          <w:rStyle w:val="footnote reference"/>
          <w:rFonts w:ascii="Times New Roman" w:cs="Times New Roman" w:hAnsi="Times New Roman" w:eastAsia="Times New Roman"/>
          <w:b w:val="0"/>
          <w:bCs w:val="0"/>
          <w:i w:val="0"/>
          <w:iCs w:val="0"/>
        </w:rPr>
        <w:footnoteReference w:id="24"/>
      </w:r>
      <w:r>
        <w:rPr>
          <w:rtl w:val="0"/>
        </w:rPr>
        <w:t xml:space="preserve"> We can therefore pinpoint the purchase of the Hogarth / Bevan papyri to the first few days of February 1896.</w:t>
      </w:r>
      <w:r>
        <w:rPr>
          <w:rStyle w:val="footnote reference"/>
          <w:rFonts w:ascii="Times New Roman" w:cs="Times New Roman" w:hAnsi="Times New Roman" w:eastAsia="Times New Roman"/>
          <w:b w:val="0"/>
          <w:bCs w:val="0"/>
          <w:i w:val="0"/>
          <w:iCs w:val="0"/>
        </w:rPr>
        <w:footnoteReference w:id="25"/>
      </w:r>
    </w:p>
    <w:p>
      <w:pPr>
        <w:pStyle w:val="Text"/>
      </w:pPr>
      <w:r>
        <w:rPr>
          <w:rtl w:val="0"/>
        </w:rPr>
        <w:t>But there is more to this group of papyri than meets the eye. When the British Museum transferred its collection of Greek papyri to the British Library, the Hogarth / Bevan papyri were divided by language and the non-Greek portion of the lot obscured. Along with other papyri written in Egyptian scripts, the museum</w:t>
      </w:r>
      <w:r>
        <w:rPr>
          <w:rtl w:val="0"/>
        </w:rPr>
        <w:t>’</w:t>
      </w:r>
      <w:r>
        <w:rPr>
          <w:rtl w:val="0"/>
        </w:rPr>
        <w:t>s Egyptian Department retained a group of Demotic papyri (EA10491</w:t>
      </w:r>
      <w:r>
        <w:rPr>
          <w:rtl w:val="0"/>
        </w:rPr>
        <w:t>–</w:t>
      </w:r>
      <w:r>
        <w:rPr>
          <w:rtl w:val="0"/>
        </w:rPr>
        <w:t xml:space="preserve">10505) that its catalogue states </w:t>
      </w:r>
      <w:r>
        <w:rPr>
          <w:rtl w:val="0"/>
          <w:lang w:val="de-DE"/>
        </w:rPr>
        <w:t>“</w:t>
      </w:r>
      <w:r>
        <w:rPr>
          <w:rtl w:val="0"/>
        </w:rPr>
        <w:t>were all acquired as a single lot in 1896 and form the archive of a single family in Gebelen.</w:t>
      </w:r>
      <w:r>
        <w:rPr>
          <w:rtl w:val="0"/>
        </w:rPr>
        <w:t>”</w:t>
      </w:r>
      <w:r>
        <w:rPr>
          <w:rStyle w:val="footnote reference"/>
          <w:rFonts w:ascii="Times New Roman" w:cs="Times New Roman" w:hAnsi="Times New Roman" w:eastAsia="Times New Roman"/>
          <w:b w:val="0"/>
          <w:bCs w:val="0"/>
          <w:i w:val="0"/>
          <w:iCs w:val="0"/>
        </w:rPr>
        <w:footnoteReference w:id="26"/>
      </w:r>
      <w:r>
        <w:rPr>
          <w:rtl w:val="0"/>
        </w:rPr>
        <w:t xml:space="preserve"> </w:t>
      </w:r>
    </w:p>
    <w:p>
      <w:pPr>
        <w:pStyle w:val="Text"/>
      </w:pPr>
      <w:r>
        <w:rPr>
          <w:rtl w:val="0"/>
        </w:rPr>
        <w:t xml:space="preserve">These Demotic papyri belong to the same group whose Greek texts were published for the most part in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tl w:val="0"/>
          <w:lang w:val="fr-FR"/>
        </w:rPr>
        <w:t>P.Grenf. 2</w:t>
      </w:r>
      <w:r>
        <w:rPr/>
        <w:fldChar w:fldCharType="end" w:fldLock="0"/>
      </w:r>
      <w:r>
        <w:rPr>
          <w:rtl w:val="0"/>
        </w:rPr>
        <w:t xml:space="preserve">; the Greek docket of EA10504, in fact, was published as </w:t>
      </w:r>
      <w:r>
        <w:rPr>
          <w:rStyle w:val="Hyperlink.0"/>
        </w:rPr>
        <w:fldChar w:fldCharType="begin" w:fldLock="0"/>
      </w:r>
      <w:r>
        <w:rPr>
          <w:rStyle w:val="Hyperlink.0"/>
        </w:rPr>
        <w:instrText xml:space="preserve"> HYPERLINK "https://papyri.info/hgv/1478"</w:instrText>
      </w:r>
      <w:r>
        <w:rPr>
          <w:rStyle w:val="Hyperlink.0"/>
        </w:rPr>
        <w:fldChar w:fldCharType="separate" w:fldLock="0"/>
      </w:r>
      <w:r>
        <w:rPr>
          <w:rStyle w:val="Hyperlink.0"/>
          <w:rtl w:val="0"/>
          <w:lang w:val="fr-FR"/>
        </w:rPr>
        <w:t>P.Grenf. 2 34</w:t>
      </w:r>
      <w:r>
        <w:rPr/>
        <w:fldChar w:fldCharType="end" w:fldLock="0"/>
      </w:r>
      <w:r>
        <w:rPr>
          <w:rtl w:val="0"/>
        </w:rPr>
        <w:t>. Hogarth and Bevan go unmentioned in the museum</w:t>
      </w:r>
      <w:r>
        <w:rPr>
          <w:rtl w:val="0"/>
        </w:rPr>
        <w:t>’</w:t>
      </w:r>
      <w:r>
        <w:rPr>
          <w:rtl w:val="0"/>
        </w:rPr>
        <w:t xml:space="preserve">s records, but the </w:t>
      </w:r>
      <w:r>
        <w:rPr>
          <w:rtl w:val="0"/>
          <w:lang w:val="de-DE"/>
        </w:rPr>
        <w:t>“</w:t>
      </w:r>
      <w:r>
        <w:rPr>
          <w:rtl w:val="0"/>
        </w:rPr>
        <w:t>single lot</w:t>
      </w:r>
      <w:r>
        <w:rPr>
          <w:rtl w:val="0"/>
        </w:rPr>
        <w:t xml:space="preserve">” </w:t>
      </w:r>
      <w:r>
        <w:rPr>
          <w:rtl w:val="0"/>
        </w:rPr>
        <w:t>from 1896 was evidently the same purchase from February 1896 described above. The catalogue</w:t>
      </w:r>
      <w:r>
        <w:rPr>
          <w:rtl w:val="0"/>
        </w:rPr>
        <w:t>’</w:t>
      </w:r>
      <w:r>
        <w:rPr>
          <w:rtl w:val="0"/>
        </w:rPr>
        <w:t>s silence on this front is curious, but is evidently the by-product of the museum</w:t>
      </w:r>
      <w:r>
        <w:rPr>
          <w:rtl w:val="0"/>
        </w:rPr>
        <w:t>’</w:t>
      </w:r>
      <w:r>
        <w:rPr>
          <w:rtl w:val="0"/>
        </w:rPr>
        <w:t xml:space="preserve">s transfer of Greek papyri to the British Library, which included archival material from the Manuscripts Department. Put simply, the true origin of the papyri never reached the Egyptian Department. Yet the presence of Demotic material in the batch is certain: records now in the British Library describe a 16 July 1896 report by Edward Scott (Keeper of Manuscripts) which recommended the purchase from Hogarth of twelve Greek and ten Demotic papyri </w:t>
      </w:r>
      <w:r>
        <w:rPr>
          <w:rtl w:val="0"/>
          <w:lang w:val="de-DE"/>
        </w:rPr>
        <w:t>“</w:t>
      </w:r>
      <w:r>
        <w:rPr>
          <w:rtl w:val="0"/>
        </w:rPr>
        <w:t>of the same period</w:t>
      </w:r>
      <w:r>
        <w:rPr>
          <w:rtl w:val="0"/>
        </w:rPr>
        <w:t xml:space="preserve">” </w:t>
      </w:r>
      <w:r>
        <w:rPr>
          <w:rtl w:val="0"/>
        </w:rPr>
        <w:t xml:space="preserve">for the price of </w:t>
      </w:r>
      <w:r>
        <w:rPr>
          <w:rtl w:val="0"/>
        </w:rPr>
        <w:t>£</w:t>
      </w:r>
      <w:r>
        <w:rPr>
          <w:rtl w:val="0"/>
        </w:rPr>
        <w:t xml:space="preserve">40, with a concurring opinion from E. A. Wallis Budge which assessed the value of the Demotic pieces at </w:t>
      </w:r>
      <w:r>
        <w:rPr>
          <w:rtl w:val="0"/>
        </w:rPr>
        <w:t>£</w:t>
      </w:r>
      <w:r>
        <w:rPr>
          <w:rtl w:val="0"/>
        </w:rPr>
        <w:t>10. Hogarth</w:t>
      </w:r>
      <w:r>
        <w:rPr>
          <w:rtl w:val="0"/>
        </w:rPr>
        <w:t>’</w:t>
      </w:r>
      <w:r>
        <w:rPr>
          <w:rtl w:val="0"/>
        </w:rPr>
        <w:t>s lot certainly included Demotic papyri from Pathyris.</w:t>
      </w:r>
      <w:r>
        <w:rPr>
          <w:rStyle w:val="footnote reference"/>
          <w:rFonts w:ascii="Times New Roman" w:cs="Times New Roman" w:hAnsi="Times New Roman" w:eastAsia="Times New Roman"/>
          <w:b w:val="0"/>
          <w:bCs w:val="0"/>
          <w:i w:val="0"/>
          <w:iCs w:val="0"/>
        </w:rPr>
        <w:footnoteReference w:id="27"/>
      </w:r>
    </w:p>
    <w:p>
      <w:pPr>
        <w:pStyle w:val="Text"/>
      </w:pPr>
      <w:r>
        <w:rPr>
          <w:rtl w:val="0"/>
        </w:rPr>
        <w:t>Occurring as it did in the middle of his Fayum season with Grenfell, both the circumstances of Hogarth</w:t>
      </w:r>
      <w:r>
        <w:rPr>
          <w:rtl w:val="0"/>
        </w:rPr>
        <w:t>’</w:t>
      </w:r>
      <w:r>
        <w:rPr>
          <w:rtl w:val="0"/>
        </w:rPr>
        <w:t>s purchase of papyri in Luxor and his motivation for leaving camp to travel upriver are unclear. The desert wind and nighttime cold were evidently factors (</w:t>
      </w:r>
      <w:r>
        <w:rPr>
          <w:rtl w:val="0"/>
          <w:lang w:val="de-DE"/>
        </w:rPr>
        <w:t>“</w:t>
      </w:r>
      <w:r>
        <w:rPr>
          <w:rtl w:val="0"/>
        </w:rPr>
        <w:t>Never again will I dig in the Fayum before February!</w:t>
      </w:r>
      <w:r>
        <w:rPr>
          <w:rtl w:val="0"/>
        </w:rPr>
        <w:t>”</w:t>
      </w:r>
      <w:r>
        <w:rPr>
          <w:rStyle w:val="footnote reference"/>
          <w:rFonts w:ascii="Times New Roman" w:cs="Times New Roman" w:hAnsi="Times New Roman" w:eastAsia="Times New Roman"/>
          <w:b w:val="0"/>
          <w:bCs w:val="0"/>
          <w:i w:val="0"/>
          <w:iCs w:val="0"/>
        </w:rPr>
        <w:footnoteReference w:id="28"/>
      </w:r>
      <w:r>
        <w:rPr>
          <w:rtl w:val="0"/>
        </w:rPr>
        <w:t xml:space="preserve"> he complains at one point), but shopping was also on his mind: a few days later, he despondently reports </w:t>
      </w:r>
      <w:r>
        <w:rPr>
          <w:rtl w:val="0"/>
          <w:lang w:val="de-DE"/>
        </w:rPr>
        <w:t>“</w:t>
      </w:r>
      <w:r>
        <w:rPr>
          <w:rtl w:val="0"/>
        </w:rPr>
        <w:t>I am not going to get any more papyri, I fear.</w:t>
      </w:r>
      <w:r>
        <w:rPr>
          <w:rtl w:val="0"/>
        </w:rPr>
        <w:t>”</w:t>
      </w:r>
      <w:r>
        <w:rPr>
          <w:rStyle w:val="footnote reference"/>
          <w:rFonts w:ascii="Times New Roman" w:cs="Times New Roman" w:hAnsi="Times New Roman" w:eastAsia="Times New Roman"/>
          <w:b w:val="0"/>
          <w:bCs w:val="0"/>
          <w:i w:val="0"/>
          <w:iCs w:val="0"/>
        </w:rPr>
        <w:footnoteReference w:id="29"/>
      </w:r>
      <w:r>
        <w:rPr>
          <w:rtl w:val="0"/>
        </w:rPr>
        <w:t xml:space="preserve"> It remains unclear how Bevan and Hogarth divided the papyri between them or whether Hogarth contributed any of his own funds to the purchase, but since </w:t>
      </w:r>
      <w:r>
        <w:rPr>
          <w:rtl w:val="0"/>
        </w:rPr>
        <w:t>£</w:t>
      </w:r>
      <w:r>
        <w:rPr>
          <w:rtl w:val="0"/>
        </w:rPr>
        <w:t xml:space="preserve">50 is quite a sum for several dozen papyri, I suspect that the answer to the latter is </w:t>
      </w:r>
      <w:r>
        <w:rPr>
          <w:rtl w:val="0"/>
        </w:rPr>
        <w:t>‘</w:t>
      </w:r>
      <w:r>
        <w:rPr>
          <w:rtl w:val="0"/>
        </w:rPr>
        <w:t>no</w:t>
      </w:r>
      <w:r>
        <w:rPr>
          <w:rtl w:val="0"/>
        </w:rPr>
        <w:t>’</w:t>
      </w:r>
      <w:r>
        <w:rPr>
          <w:rtl w:val="0"/>
        </w:rPr>
        <w:t xml:space="preserve">: unless Hogarth did not spend the entire amount, he failed to drive a very hard bargain. Only when the fifteen Demotic papyri are reckoned as part of this lot does the price </w:t>
      </w:r>
      <w:r>
        <w:rPr>
          <w:rtl w:val="0"/>
        </w:rPr>
        <w:t>– £</w:t>
      </w:r>
      <w:r>
        <w:rPr>
          <w:rtl w:val="0"/>
        </w:rPr>
        <w:t xml:space="preserve">50 for ca. 45 papyri </w:t>
      </w:r>
      <w:r>
        <w:rPr>
          <w:rtl w:val="0"/>
        </w:rPr>
        <w:t xml:space="preserve">– </w:t>
      </w:r>
      <w:r>
        <w:rPr>
          <w:rtl w:val="0"/>
        </w:rPr>
        <w:t>appear more reasonable. In any event, the timeline demonstrates that Grenfell and Hunt required fewer than six months to prepare the Greek texts for publication.</w:t>
      </w:r>
      <w:r>
        <w:rPr>
          <w:rStyle w:val="footnote reference"/>
          <w:rFonts w:ascii="Times New Roman" w:cs="Times New Roman" w:hAnsi="Times New Roman" w:eastAsia="Times New Roman"/>
          <w:b w:val="0"/>
          <w:bCs w:val="0"/>
          <w:i w:val="0"/>
          <w:iCs w:val="0"/>
        </w:rPr>
        <w:footnoteReference w:id="30"/>
      </w:r>
    </w:p>
    <w:p>
      <w:pPr>
        <w:pStyle w:val="Text"/>
      </w:pPr>
      <w:r>
        <w:rPr>
          <w:rtl w:val="0"/>
        </w:rPr>
        <w:t xml:space="preserve">Museum archaeology also clarifies aspects of two other Hogarth papyri published in the same volume </w:t>
      </w:r>
      <w:r>
        <w:rPr>
          <w:rtl w:val="0"/>
        </w:rPr>
        <w:t xml:space="preserve">– </w:t>
      </w:r>
      <w:r>
        <w:rPr>
          <w:rStyle w:val="Hyperlink.0"/>
        </w:rPr>
        <w:fldChar w:fldCharType="begin" w:fldLock="0"/>
      </w:r>
      <w:r>
        <w:rPr>
          <w:rStyle w:val="Hyperlink.0"/>
        </w:rPr>
        <w:instrText xml:space="preserve"> HYPERLINK "https://papyri.info/hgv/11360"</w:instrText>
      </w:r>
      <w:r>
        <w:rPr>
          <w:rStyle w:val="Hyperlink.0"/>
        </w:rPr>
        <w:fldChar w:fldCharType="separate" w:fldLock="0"/>
      </w:r>
      <w:r>
        <w:rPr>
          <w:rStyle w:val="Hyperlink.0"/>
          <w:rtl w:val="0"/>
          <w:lang w:val="fr-FR"/>
        </w:rPr>
        <w:t>P.Grenf. 2 57</w:t>
      </w:r>
      <w:r>
        <w:rPr/>
        <w:fldChar w:fldCharType="end" w:fldLock="0"/>
      </w:r>
      <w:r>
        <w:rPr>
          <w:rtl w:val="0"/>
        </w:rPr>
        <w:t xml:space="preserve"> and </w:t>
      </w:r>
      <w:r>
        <w:rPr>
          <w:rStyle w:val="Hyperlink.0"/>
        </w:rPr>
        <w:fldChar w:fldCharType="begin" w:fldLock="0"/>
      </w:r>
      <w:r>
        <w:rPr>
          <w:rStyle w:val="Hyperlink.0"/>
        </w:rPr>
        <w:instrText xml:space="preserve"> HYPERLINK "https://papyri.info/ddbdp/p.grenf;2;79coli"</w:instrText>
      </w:r>
      <w:r>
        <w:rPr>
          <w:rStyle w:val="Hyperlink.0"/>
        </w:rPr>
        <w:fldChar w:fldCharType="separate" w:fldLock="0"/>
      </w:r>
      <w:r>
        <w:rPr>
          <w:rStyle w:val="Hyperlink.0"/>
          <w:rtl w:val="0"/>
          <w:lang w:val="fr-FR"/>
        </w:rPr>
        <w:t>P.Grenf. 2 79</w:t>
      </w:r>
      <w:r>
        <w:rPr/>
        <w:fldChar w:fldCharType="end" w:fldLock="0"/>
      </w:r>
      <w:r>
        <w:rPr>
          <w:rtl w:val="0"/>
        </w:rPr>
        <w:t xml:space="preserve"> – </w:t>
      </w:r>
      <w:r>
        <w:rPr>
          <w:rtl w:val="0"/>
        </w:rPr>
        <w:t xml:space="preserve">which had previously proved confounding. The editions of these two texts state that they are kept </w:t>
      </w:r>
      <w:r>
        <w:rPr>
          <w:rtl w:val="0"/>
          <w:lang w:val="de-DE"/>
        </w:rPr>
        <w:t>“</w:t>
      </w:r>
      <w:r>
        <w:rPr>
          <w:rtl w:val="0"/>
        </w:rPr>
        <w:t>In the Museum of Winchester College,</w:t>
      </w:r>
      <w:r>
        <w:rPr>
          <w:rtl w:val="0"/>
        </w:rPr>
        <w:t xml:space="preserve">” </w:t>
      </w:r>
      <w:r>
        <w:rPr>
          <w:rtl w:val="0"/>
        </w:rPr>
        <w:t>but the college has no record of receiving or of ever possessing them.</w:t>
      </w:r>
      <w:r>
        <w:rPr>
          <w:rStyle w:val="footnote reference"/>
          <w:rFonts w:ascii="Times New Roman" w:cs="Times New Roman" w:hAnsi="Times New Roman" w:eastAsia="Times New Roman"/>
          <w:b w:val="0"/>
          <w:bCs w:val="0"/>
          <w:i w:val="0"/>
          <w:iCs w:val="0"/>
        </w:rPr>
        <w:footnoteReference w:id="31"/>
      </w:r>
      <w:r>
        <w:rPr>
          <w:rtl w:val="0"/>
        </w:rPr>
        <w:t xml:space="preserve"> It is now clear why that is the case: far from being lost, they were included in the 15 May 1935 donation of Hogarth papyri to the Bodleian Library, where they now bear the shelfmarks MS. Gr. class. e. 130 (P) and MS Gr. class. d. 143 (P), respectively (</w:t>
      </w:r>
      <w:r>
        <w:rPr>
          <w:rStyle w:val="page number"/>
          <w:shd w:val="clear" w:color="auto" w:fill="00ffff"/>
          <w:rtl w:val="0"/>
          <w:lang w:val="fr-FR"/>
        </w:rPr>
        <w:t>Figures 1</w:t>
      </w:r>
      <w:r>
        <w:rPr>
          <w:rStyle w:val="page number"/>
          <w:shd w:val="clear" w:color="auto" w:fill="00ffff"/>
          <w:rtl w:val="0"/>
        </w:rPr>
        <w:t>–</w:t>
      </w:r>
      <w:r>
        <w:rPr>
          <w:rStyle w:val="page number"/>
          <w:shd w:val="clear" w:color="auto" w:fill="00ffff"/>
          <w:rtl w:val="0"/>
        </w:rPr>
        <w:t>3</w:t>
      </w:r>
      <w:r>
        <w:rPr>
          <w:rtl w:val="0"/>
        </w:rPr>
        <w:t>).</w:t>
      </w:r>
      <w:r>
        <w:rPr>
          <w:rStyle w:val="footnote reference"/>
          <w:rFonts w:ascii="Times New Roman" w:cs="Times New Roman" w:hAnsi="Times New Roman" w:eastAsia="Times New Roman"/>
          <w:b w:val="0"/>
          <w:bCs w:val="0"/>
          <w:i w:val="0"/>
          <w:iCs w:val="0"/>
        </w:rPr>
        <w:footnoteReference w:id="32"/>
      </w:r>
      <w:r>
        <w:rPr>
          <w:rtl w:val="0"/>
        </w:rPr>
        <w:t xml:space="preserve"> The likeliest explanation for what happened is that Hogarth had mused to Grenfell and Hunt about donating these two papyri to Winchester College, but never followed through. Grenfell and Hunt reported dutifully in print what they had been told, while the papyri remained in Hogarth</w:t>
      </w:r>
      <w:r>
        <w:rPr>
          <w:rtl w:val="0"/>
        </w:rPr>
        <w:t>’</w:t>
      </w:r>
      <w:r>
        <w:rPr>
          <w:rtl w:val="0"/>
        </w:rPr>
        <w:t xml:space="preserve">s personal collection until his death. These two texts are notable in other ways, too. Unlike the other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tl w:val="0"/>
          <w:lang w:val="fr-FR"/>
        </w:rPr>
        <w:t>P.Grenf. 2</w:t>
      </w:r>
      <w:r>
        <w:rPr/>
        <w:fldChar w:fldCharType="end" w:fldLock="0"/>
      </w:r>
      <w:r>
        <w:rPr>
          <w:rtl w:val="0"/>
        </w:rPr>
        <w:t xml:space="preserve"> texts that are now in London, </w:t>
      </w:r>
      <w:r>
        <w:rPr>
          <w:rStyle w:val="Hyperlink.0"/>
        </w:rPr>
        <w:fldChar w:fldCharType="begin" w:fldLock="0"/>
      </w:r>
      <w:r>
        <w:rPr>
          <w:rStyle w:val="Hyperlink.0"/>
        </w:rPr>
        <w:instrText xml:space="preserve"> HYPERLINK "https://papyri.info/hgv/11360"</w:instrText>
      </w:r>
      <w:r>
        <w:rPr>
          <w:rStyle w:val="Hyperlink.0"/>
        </w:rPr>
        <w:fldChar w:fldCharType="separate" w:fldLock="0"/>
      </w:r>
      <w:r>
        <w:rPr>
          <w:rStyle w:val="Hyperlink.0"/>
          <w:rtl w:val="0"/>
          <w:lang w:val="fr-FR"/>
        </w:rPr>
        <w:t>P.Grenf. 2 57</w:t>
      </w:r>
      <w:r>
        <w:rPr/>
        <w:fldChar w:fldCharType="end" w:fldLock="0"/>
      </w:r>
      <w:r>
        <w:rPr>
          <w:rtl w:val="0"/>
        </w:rPr>
        <w:t xml:space="preserve"> and </w:t>
      </w:r>
      <w:r>
        <w:rPr>
          <w:rStyle w:val="Hyperlink.0"/>
        </w:rPr>
        <w:fldChar w:fldCharType="begin" w:fldLock="0"/>
      </w:r>
      <w:r>
        <w:rPr>
          <w:rStyle w:val="Hyperlink.0"/>
        </w:rPr>
        <w:instrText xml:space="preserve"> HYPERLINK "https://papyri.info/ddbdp/p.grenf;2;79coli"</w:instrText>
      </w:r>
      <w:r>
        <w:rPr>
          <w:rStyle w:val="Hyperlink.0"/>
        </w:rPr>
        <w:fldChar w:fldCharType="separate" w:fldLock="0"/>
      </w:r>
      <w:r>
        <w:rPr>
          <w:rStyle w:val="Hyperlink.0"/>
          <w:rtl w:val="0"/>
          <w:lang w:val="fr-FR"/>
        </w:rPr>
        <w:t>P.Grenf. 2 79</w:t>
      </w:r>
      <w:r>
        <w:rPr/>
        <w:fldChar w:fldCharType="end" w:fldLock="0"/>
      </w:r>
      <w:r>
        <w:rPr>
          <w:rtl w:val="0"/>
        </w:rPr>
        <w:t xml:space="preserve"> do not originate in Pathyris, and it is therefore unclear whether they were part of Hogarth</w:t>
      </w:r>
      <w:r>
        <w:rPr>
          <w:rtl w:val="0"/>
        </w:rPr>
        <w:t>’</w:t>
      </w:r>
      <w:r>
        <w:rPr>
          <w:rtl w:val="0"/>
        </w:rPr>
        <w:t>s February 1896 Luxor purchase or were acquired on another occasion. If the latter, Hogarth</w:t>
      </w:r>
      <w:r>
        <w:rPr>
          <w:rtl w:val="0"/>
        </w:rPr>
        <w:t>’</w:t>
      </w:r>
      <w:r>
        <w:rPr>
          <w:rtl w:val="0"/>
        </w:rPr>
        <w:t xml:space="preserve">s extant personal correspondence does not remark upon their acquisition. </w:t>
      </w:r>
    </w:p>
    <w:p>
      <w:pPr>
        <w:pStyle w:val="Text"/>
      </w:pPr>
      <w:r>
        <w:rPr>
          <w:rtl w:val="0"/>
        </w:rPr>
        <w:t>Although Hogarth did not follow through with the proposed donation to Winchester, it is clear that, already in 1896, his personal collection of antiquities included papyri. That he possessed a collection at all should not surprise; like other archaeologists of his era,</w:t>
      </w:r>
      <w:r>
        <w:rPr>
          <w:rStyle w:val="footnote reference"/>
          <w:rFonts w:ascii="Times New Roman" w:cs="Times New Roman" w:hAnsi="Times New Roman" w:eastAsia="Times New Roman"/>
          <w:b w:val="0"/>
          <w:bCs w:val="0"/>
          <w:i w:val="0"/>
          <w:iCs w:val="0"/>
        </w:rPr>
        <w:footnoteReference w:id="33"/>
      </w:r>
      <w:r>
        <w:rPr>
          <w:rtl w:val="0"/>
        </w:rPr>
        <w:t xml:space="preserve"> Hogarth was active on the market during his travels. His trip upriver in the winter of 1895/6 testifies to his appetite for papyri, but so too does his daybook from the 1893/4 Deir el-Bahri excavation describe shopping for </w:t>
      </w:r>
      <w:r>
        <w:rPr>
          <w:rtl w:val="0"/>
        </w:rPr>
        <w:t>‘</w:t>
      </w:r>
      <w:r>
        <w:rPr>
          <w:rtl w:val="0"/>
          <w:lang w:val="es-ES_tradnl"/>
        </w:rPr>
        <w:t>anticas</w:t>
      </w:r>
      <w:r>
        <w:rPr>
          <w:rtl w:val="0"/>
        </w:rPr>
        <w:t xml:space="preserve">’ </w:t>
      </w:r>
      <w:r>
        <w:rPr>
          <w:rtl w:val="0"/>
        </w:rPr>
        <w:t>(as he terms them) in Luxor.</w:t>
      </w:r>
      <w:r>
        <w:rPr>
          <w:rStyle w:val="footnote reference"/>
          <w:rFonts w:ascii="Times New Roman" w:cs="Times New Roman" w:hAnsi="Times New Roman" w:eastAsia="Times New Roman"/>
          <w:b w:val="0"/>
          <w:bCs w:val="0"/>
          <w:i w:val="0"/>
          <w:iCs w:val="0"/>
        </w:rPr>
        <w:footnoteReference w:id="34"/>
      </w:r>
      <w:r>
        <w:rPr>
          <w:rtl w:val="0"/>
        </w:rPr>
        <w:t xml:space="preserve"> That autumn, he had even purchased a wedding present for his wife from the proceeds of a sale to the Ashmolean Museum.</w:t>
      </w:r>
      <w:r>
        <w:rPr>
          <w:rStyle w:val="footnote reference"/>
          <w:rFonts w:ascii="Times New Roman" w:cs="Times New Roman" w:hAnsi="Times New Roman" w:eastAsia="Times New Roman"/>
          <w:b w:val="0"/>
          <w:bCs w:val="0"/>
          <w:i w:val="0"/>
          <w:iCs w:val="0"/>
        </w:rPr>
        <w:footnoteReference w:id="35"/>
      </w:r>
      <w:r>
        <w:rPr>
          <w:rtl w:val="0"/>
        </w:rPr>
        <w:t xml:space="preserve"> </w:t>
      </w:r>
    </w:p>
    <w:p>
      <w:pPr>
        <w:pStyle w:val="Text"/>
      </w:pPr>
      <w:r>
        <w:rPr>
          <w:rtl w:val="0"/>
        </w:rPr>
        <w:t>When exactly Hogarth</w:t>
      </w:r>
      <w:r>
        <w:rPr>
          <w:rtl w:val="0"/>
        </w:rPr>
        <w:t>’</w:t>
      </w:r>
      <w:r>
        <w:rPr>
          <w:rtl w:val="0"/>
        </w:rPr>
        <w:t xml:space="preserve">s interest in acquiring papyri stirred cannot be determined, but the aforementioned daybook from his first season at Deir el-Bahri (1893/4) suggests that his relationship with Grenfell </w:t>
      </w:r>
      <w:r>
        <w:rPr>
          <w:rtl w:val="0"/>
        </w:rPr>
        <w:t xml:space="preserve">– </w:t>
      </w:r>
      <w:r>
        <w:rPr>
          <w:rtl w:val="0"/>
        </w:rPr>
        <w:t xml:space="preserve">a man several years his junior </w:t>
      </w:r>
      <w:r>
        <w:rPr>
          <w:rtl w:val="0"/>
        </w:rPr>
        <w:t xml:space="preserve">– </w:t>
      </w:r>
      <w:r>
        <w:rPr>
          <w:rtl w:val="0"/>
        </w:rPr>
        <w:t>was a contributing factor. The Deir el-Bahri dig was uncovering Coptic ostraca as well as bits of Demotic and Coptic papyri, but Hogarth does not seem terribly excited by them (or even by the dig).</w:t>
      </w:r>
      <w:r>
        <w:rPr>
          <w:rStyle w:val="footnote reference"/>
          <w:rFonts w:ascii="Times New Roman" w:cs="Times New Roman" w:hAnsi="Times New Roman" w:eastAsia="Times New Roman"/>
          <w:b w:val="0"/>
          <w:bCs w:val="0"/>
          <w:i w:val="0"/>
          <w:iCs w:val="0"/>
        </w:rPr>
        <w:footnoteReference w:id="36"/>
      </w:r>
      <w:r>
        <w:rPr>
          <w:rtl w:val="0"/>
          <w:lang w:val="de-DE"/>
        </w:rPr>
        <w:t xml:space="preserve"> Grenfell</w:t>
      </w:r>
      <w:r>
        <w:rPr>
          <w:rtl w:val="0"/>
        </w:rPr>
        <w:t>’</w:t>
      </w:r>
      <w:r>
        <w:rPr>
          <w:rtl w:val="0"/>
        </w:rPr>
        <w:t>s visits to the site were rather more remarkable. The two collaborated on inscriptions and discussed the younger man</w:t>
      </w:r>
      <w:r>
        <w:rPr>
          <w:rtl w:val="0"/>
        </w:rPr>
        <w:t>’</w:t>
      </w:r>
      <w:r>
        <w:rPr>
          <w:rtl w:val="0"/>
        </w:rPr>
        <w:t>s future, and were familiar enough that Hogarth slept in Grenfell</w:t>
      </w:r>
      <w:r>
        <w:rPr>
          <w:rtl w:val="0"/>
        </w:rPr>
        <w:t>’</w:t>
      </w:r>
      <w:r>
        <w:rPr>
          <w:rtl w:val="0"/>
        </w:rPr>
        <w:t>s room.</w:t>
      </w:r>
      <w:r>
        <w:rPr>
          <w:rStyle w:val="footnote reference"/>
          <w:rFonts w:ascii="Times New Roman" w:cs="Times New Roman" w:hAnsi="Times New Roman" w:eastAsia="Times New Roman"/>
          <w:b w:val="0"/>
          <w:bCs w:val="0"/>
          <w:i w:val="0"/>
          <w:iCs w:val="0"/>
        </w:rPr>
        <w:footnoteReference w:id="37"/>
      </w:r>
      <w:r>
        <w:rPr>
          <w:rtl w:val="0"/>
        </w:rPr>
        <w:t xml:space="preserve"> On a subsequent visit, Grenfell told Hogarth about his plans </w:t>
      </w:r>
      <w:r>
        <w:rPr>
          <w:rtl w:val="0"/>
          <w:lang w:val="de-DE"/>
        </w:rPr>
        <w:t>“</w:t>
      </w:r>
      <w:r>
        <w:rPr>
          <w:rtl w:val="0"/>
        </w:rPr>
        <w:t>for Gurob, Mendes, and Manfalut.</w:t>
      </w:r>
      <w:r>
        <w:rPr>
          <w:rtl w:val="0"/>
        </w:rPr>
        <w:t>”</w:t>
      </w:r>
      <w:r>
        <w:rPr>
          <w:rStyle w:val="footnote reference"/>
          <w:rFonts w:ascii="Times New Roman" w:cs="Times New Roman" w:hAnsi="Times New Roman" w:eastAsia="Times New Roman"/>
          <w:b w:val="0"/>
          <w:bCs w:val="0"/>
          <w:i w:val="0"/>
          <w:iCs w:val="0"/>
        </w:rPr>
        <w:footnoteReference w:id="38"/>
      </w:r>
      <w:r>
        <w:rPr>
          <w:rtl w:val="0"/>
        </w:rPr>
        <w:t xml:space="preserve"> Back in Cairo at the conclusion of the season, they continued to socialize: on 23 March 1894, Grenfell came to dine, prompting the update that </w:t>
      </w:r>
      <w:r>
        <w:rPr>
          <w:rtl w:val="0"/>
          <w:lang w:val="de-DE"/>
        </w:rPr>
        <w:t>“</w:t>
      </w:r>
      <w:r>
        <w:rPr>
          <w:rtl w:val="0"/>
        </w:rPr>
        <w:t>His walks etc. in Fayum failed at Manfalut.</w:t>
      </w:r>
      <w:r>
        <w:rPr>
          <w:rtl w:val="0"/>
        </w:rPr>
        <w:t>”</w:t>
      </w:r>
      <w:r>
        <w:rPr>
          <w:rStyle w:val="footnote reference"/>
          <w:rFonts w:ascii="Times New Roman" w:cs="Times New Roman" w:hAnsi="Times New Roman" w:eastAsia="Times New Roman"/>
          <w:b w:val="0"/>
          <w:bCs w:val="0"/>
          <w:i w:val="0"/>
          <w:iCs w:val="0"/>
        </w:rPr>
        <w:footnoteReference w:id="39"/>
      </w:r>
      <w:r>
        <w:rPr>
          <w:rtl w:val="0"/>
        </w:rPr>
        <w:t xml:space="preserve"> Less than a week later, following a visit to Ghizeh with </w:t>
      </w:r>
      <w:r>
        <w:rPr>
          <w:rtl w:val="0"/>
          <w:lang w:val="fr-FR"/>
        </w:rPr>
        <w:t>É</w:t>
      </w:r>
      <w:r>
        <w:rPr>
          <w:rtl w:val="0"/>
        </w:rPr>
        <w:t>douard Naville, Hogarth received an initiation of sorts:</w:t>
      </w:r>
    </w:p>
    <w:p>
      <w:pPr>
        <w:pStyle w:val="Text"/>
        <w:spacing w:line="240" w:lineRule="auto"/>
        <w:ind w:firstLine="0"/>
        <w:rPr>
          <w:rStyle w:val="page number"/>
          <w:color w:val="d9d9d9"/>
          <w:u w:color="d9d9d9"/>
        </w:rPr>
      </w:pPr>
      <w:r>
        <w:rPr>
          <w:rStyle w:val="page number"/>
          <w:color w:val="d9d9d9"/>
          <w:u w:color="d9d9d9"/>
          <w:rtl w:val="0"/>
          <w:lang w:val="it-IT"/>
        </w:rPr>
        <w:t>#blockQuote</w:t>
      </w:r>
    </w:p>
    <w:p>
      <w:pPr>
        <w:pStyle w:val="Text"/>
        <w:spacing w:line="240" w:lineRule="auto"/>
        <w:ind w:left="720" w:firstLine="0"/>
      </w:pPr>
      <w:r>
        <w:rPr>
          <w:rtl w:val="0"/>
          <w:lang w:val="en-US"/>
        </w:rPr>
        <w:t>Drove back with N. at 4.30 + after tea with him at Shepheard</w:t>
      </w:r>
      <w:r>
        <w:rPr>
          <w:rtl w:val="0"/>
        </w:rPr>
        <w:t>’</w:t>
      </w:r>
      <w:r>
        <w:rPr>
          <w:rtl w:val="0"/>
          <w:lang w:val="en-US"/>
        </w:rPr>
        <w:t>s went with Grenfell to see latter</w:t>
      </w:r>
      <w:r>
        <w:rPr>
          <w:rtl w:val="0"/>
        </w:rPr>
        <w:t>’</w:t>
      </w:r>
      <w:r>
        <w:rPr>
          <w:rtl w:val="0"/>
        </w:rPr>
        <w:t xml:space="preserve">s </w:t>
      </w:r>
      <w:r>
        <w:rPr>
          <w:rStyle w:val="page number"/>
          <w:u w:val="single"/>
          <w:rtl w:val="0"/>
        </w:rPr>
        <w:t>papyri</w:t>
      </w:r>
      <w:r>
        <w:rPr>
          <w:rtl w:val="0"/>
          <w:lang w:val="en-US"/>
        </w:rPr>
        <w:t xml:space="preserve">: (bits of Homer, + a Greek codex of Gospels ? bought of Faragh). </w:t>
      </w:r>
    </w:p>
    <w:p>
      <w:pPr>
        <w:pStyle w:val="Text"/>
        <w:spacing w:line="240" w:lineRule="auto"/>
        <w:ind w:left="720" w:firstLine="0"/>
      </w:pPr>
      <w:r>
        <w:rPr>
          <w:rtl w:val="0"/>
          <w:lang w:val="en-US"/>
        </w:rPr>
        <w:t>After dinner to see Grenfell about Kuft inscription</w:t>
      </w:r>
      <w:r>
        <w:rPr>
          <w:rtl w:val="0"/>
        </w:rPr>
        <w:t>…</w:t>
      </w:r>
      <w:r>
        <w:rPr>
          <w:rStyle w:val="footnote reference"/>
        </w:rPr>
        <w:footnoteReference w:id="40"/>
      </w:r>
    </w:p>
    <w:p>
      <w:pPr>
        <w:pStyle w:val="Text"/>
        <w:spacing w:line="240" w:lineRule="auto"/>
        <w:ind w:firstLine="0"/>
        <w:rPr>
          <w:rStyle w:val="page number"/>
          <w:color w:val="d9d9d9"/>
          <w:u w:color="d9d9d9"/>
        </w:rPr>
      </w:pPr>
      <w:r>
        <w:rPr>
          <w:rStyle w:val="page number"/>
          <w:color w:val="d9d9d9"/>
          <w:u w:color="d9d9d9"/>
          <w:rtl w:val="0"/>
          <w:lang w:val="en-US"/>
        </w:rPr>
        <w:t>#endBlockQuote</w:t>
      </w:r>
    </w:p>
    <w:p>
      <w:pPr>
        <w:pStyle w:val="Text"/>
        <w:ind w:firstLine="0"/>
      </w:pPr>
      <w:r>
        <w:rPr>
          <w:rtl w:val="0"/>
          <w:lang w:val="en-US"/>
        </w:rPr>
        <w:t xml:space="preserve">In 1894 Grenfell was already acquiring Greek papyri and had certainly introduced his Oxford colleague to them. Well before the Fund tasked them with leading it, in other words, the seeds of the 1895/6 Fayum expedition were planted. The two men were well acquainted, and Hogarth the archaeologist was by no means ignorant of papyrology and its potential. </w:t>
      </w:r>
    </w:p>
    <w:p>
      <w:pPr>
        <w:pStyle w:val="Text"/>
      </w:pPr>
      <w:r>
        <w:rPr>
          <w:rtl w:val="0"/>
        </w:rPr>
        <w:t>Hogarth</w:t>
      </w:r>
      <w:r>
        <w:rPr>
          <w:rtl w:val="0"/>
        </w:rPr>
        <w:t>’</w:t>
      </w:r>
      <w:r>
        <w:rPr>
          <w:rtl w:val="0"/>
        </w:rPr>
        <w:t>s personal correspondence confirms that, even after resigning from the Fund, he continued to acquire papyri. In the winter of 1896/7, prior to taking up the position of Director of the British School in Athens in October 1897, he returned to Egypt. His letters from this period are especially revealing. After arriving in Cairo from Ismailia on the final day of 1896, for example, he laments how empty the city is.</w:t>
      </w:r>
      <w:r>
        <w:rPr>
          <w:rStyle w:val="footnote reference"/>
          <w:rFonts w:ascii="Times New Roman" w:cs="Times New Roman" w:hAnsi="Times New Roman" w:eastAsia="Times New Roman"/>
          <w:b w:val="0"/>
          <w:bCs w:val="0"/>
          <w:i w:val="0"/>
          <w:iCs w:val="0"/>
        </w:rPr>
        <w:footnoteReference w:id="41"/>
      </w:r>
    </w:p>
    <w:p>
      <w:pPr>
        <w:pStyle w:val="Text"/>
        <w:spacing w:line="240" w:lineRule="auto"/>
        <w:ind w:firstLine="0"/>
        <w:rPr>
          <w:rStyle w:val="page number"/>
          <w:color w:val="d9d9d9"/>
          <w:u w:color="d9d9d9"/>
        </w:rPr>
      </w:pPr>
      <w:r>
        <w:rPr>
          <w:rStyle w:val="page number"/>
          <w:color w:val="d9d9d9"/>
          <w:u w:color="d9d9d9"/>
          <w:rtl w:val="0"/>
          <w:lang w:val="it-IT"/>
        </w:rPr>
        <w:t>#blockQuote</w:t>
      </w:r>
    </w:p>
    <w:p>
      <w:pPr>
        <w:pStyle w:val="Text"/>
        <w:spacing w:line="240" w:lineRule="auto"/>
        <w:ind w:left="720" w:firstLine="0"/>
      </w:pPr>
      <w:r>
        <w:rPr>
          <w:rtl w:val="0"/>
          <w:lang w:val="en-US"/>
        </w:rPr>
        <w:t>Heaven knows I should like to leave Cairo tomorrow! Then I have the Quarterly article to do, or perhaps two, one on papyri, the other on things Egyptian. What I feel inclined to do, is to spend January in Egypt, partly with Grenfell, partly at Der el Bahari, writing for the Quarterly and one or two Times articles. Also looking about for papyri. Then I shall go to Athens in February, get that done, + then to Asia Minor early in March.</w:t>
      </w:r>
      <w:r>
        <w:rPr>
          <w:rStyle w:val="footnote reference"/>
        </w:rPr>
        <w:footnoteReference w:id="42"/>
      </w:r>
    </w:p>
    <w:p>
      <w:pPr>
        <w:pStyle w:val="Text"/>
        <w:spacing w:line="240" w:lineRule="auto"/>
        <w:ind w:firstLine="0"/>
        <w:rPr>
          <w:rStyle w:val="page number"/>
          <w:color w:val="d9d9d9"/>
          <w:u w:color="d9d9d9"/>
        </w:rPr>
      </w:pPr>
      <w:r>
        <w:rPr>
          <w:rStyle w:val="page number"/>
          <w:color w:val="d9d9d9"/>
          <w:u w:color="d9d9d9"/>
          <w:rtl w:val="0"/>
          <w:lang w:val="en-US"/>
        </w:rPr>
        <w:t>#endBlockQuote</w:t>
      </w:r>
    </w:p>
    <w:p>
      <w:pPr>
        <w:pStyle w:val="Text"/>
        <w:ind w:firstLine="0"/>
      </w:pPr>
      <w:r>
        <w:rPr>
          <w:rtl w:val="0"/>
          <w:lang w:val="en-US"/>
        </w:rPr>
        <w:t>Ten days later, however, he is still in Cairo (and still shopping), though by this point his travel plans are coming together.</w:t>
      </w:r>
      <w:r>
        <w:rPr>
          <w:rStyle w:val="page number"/>
          <w:rFonts w:ascii="IFAO-Grec Unicode" w:hAnsi="IFAO-Grec Unicode"/>
          <w:rtl w:val="0"/>
        </w:rPr>
        <w:t xml:space="preserve"> </w:t>
      </w:r>
    </w:p>
    <w:p>
      <w:pPr>
        <w:pStyle w:val="Text"/>
        <w:spacing w:line="240" w:lineRule="auto"/>
        <w:ind w:firstLine="0"/>
        <w:rPr>
          <w:rStyle w:val="page number"/>
          <w:color w:val="d9d9d9"/>
          <w:u w:color="d9d9d9"/>
        </w:rPr>
      </w:pPr>
      <w:r>
        <w:rPr>
          <w:rStyle w:val="page number"/>
          <w:color w:val="d9d9d9"/>
          <w:u w:color="d9d9d9"/>
          <w:rtl w:val="0"/>
          <w:lang w:val="it-IT"/>
        </w:rPr>
        <w:t>#blockQuote</w:t>
      </w:r>
    </w:p>
    <w:p>
      <w:pPr>
        <w:pStyle w:val="Text"/>
        <w:spacing w:line="240" w:lineRule="auto"/>
        <w:ind w:left="720" w:firstLine="0"/>
        <w:rPr>
          <w:rStyle w:val="page number"/>
          <w:vertAlign w:val="subscript"/>
        </w:rPr>
      </w:pPr>
      <w:r>
        <w:rPr>
          <w:rtl w:val="0"/>
          <w:lang w:val="en-US"/>
        </w:rPr>
        <w:t xml:space="preserve">Behold me still here and to remain until Thursday. I go by the early train that day to Beni Mazer, two hours from which </w:t>
      </w:r>
      <w:r>
        <w:rPr>
          <w:rFonts w:ascii="Arial Unicode MS" w:cs="Arial Unicode MS" w:hAnsi="Arial Unicode MS" w:eastAsia="Arial Unicode MS" w:hint="default"/>
          <w:b w:val="0"/>
          <w:bCs w:val="0"/>
          <w:i w:val="0"/>
          <w:iCs w:val="0"/>
          <w:rtl w:val="0"/>
        </w:rPr>
        <w:t>‸</w:t>
      </w:r>
      <w:r>
        <w:rPr>
          <w:rtl w:val="0"/>
          <w:lang w:val="en-US"/>
        </w:rPr>
        <w:t>place</w:t>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Grenfell is working. One Carden, a botanist, is going with me, + when he returns here I go on up the Nile to Der el Bahari</w:t>
      </w:r>
      <w:r>
        <w:rPr>
          <w:rtl w:val="0"/>
        </w:rPr>
        <w:t xml:space="preserve">… </w:t>
      </w:r>
      <w:r>
        <w:rPr>
          <w:rtl w:val="0"/>
          <w:lang w:val="en-US"/>
        </w:rPr>
        <w:t>I had a letter from Maunde Thompson asking me to go in any case + straighten out things at D. el B. + that will occupy me well enough for ten days, or so, but by the end of the month I should have liked to get started into the Desert, so as to be free for Crete in March + Asia Minor in April</w:t>
      </w:r>
      <w:r>
        <w:rPr>
          <w:rtl w:val="0"/>
        </w:rPr>
        <w:t xml:space="preserve">… </w:t>
      </w:r>
    </w:p>
    <w:p>
      <w:pPr>
        <w:pStyle w:val="Text"/>
        <w:spacing w:line="240" w:lineRule="auto"/>
        <w:ind w:left="720" w:firstLine="0"/>
      </w:pPr>
      <w:r>
        <w:rPr>
          <w:rtl w:val="0"/>
          <w:lang w:val="en-US"/>
        </w:rPr>
        <w:t>I lunch and dine here or there, unsuccessfully bargain for papyri (no more Bacchylides yet!)</w:t>
      </w:r>
      <w:r>
        <w:rPr>
          <w:rtl w:val="0"/>
        </w:rPr>
        <w:t>…</w:t>
      </w:r>
      <w:r>
        <w:rPr>
          <w:rStyle w:val="footnote reference"/>
        </w:rPr>
        <w:footnoteReference w:id="43"/>
      </w:r>
    </w:p>
    <w:p>
      <w:pPr>
        <w:pStyle w:val="Text"/>
        <w:spacing w:line="240" w:lineRule="auto"/>
        <w:ind w:firstLine="0"/>
        <w:rPr>
          <w:rStyle w:val="page number"/>
          <w:color w:val="d9d9d9"/>
          <w:u w:color="d9d9d9"/>
        </w:rPr>
      </w:pPr>
      <w:r>
        <w:rPr>
          <w:rStyle w:val="page number"/>
          <w:color w:val="d9d9d9"/>
          <w:u w:color="d9d9d9"/>
          <w:rtl w:val="0"/>
          <w:lang w:val="en-US"/>
        </w:rPr>
        <w:t>#endBlockQuote</w:t>
      </w:r>
    </w:p>
    <w:p>
      <w:pPr>
        <w:pStyle w:val="Text"/>
      </w:pPr>
      <w:r>
        <w:rPr>
          <w:rtl w:val="0"/>
        </w:rPr>
        <w:t>For most of January, Hogarth indeed traveled up and down Egypt. He visited Grenfell and Hunt, whose work at Behnesa was already proving rewarding,</w:t>
      </w:r>
      <w:bookmarkStart w:name="_Ref105147415" w:id="1"/>
      <w:r>
        <w:rPr>
          <w:rStyle w:val="footnote reference"/>
          <w:rFonts w:ascii="Times New Roman" w:cs="Times New Roman" w:hAnsi="Times New Roman" w:eastAsia="Times New Roman"/>
          <w:b w:val="0"/>
          <w:bCs w:val="0"/>
          <w:i w:val="0"/>
          <w:iCs w:val="0"/>
        </w:rPr>
        <w:footnoteReference w:id="44"/>
      </w:r>
      <w:bookmarkEnd w:id="1"/>
      <w:r>
        <w:rPr>
          <w:rtl w:val="0"/>
        </w:rPr>
        <w:t xml:space="preserve"> and also Deir el-Bahri, where he</w:t>
      </w:r>
      <w:r>
        <w:rPr>
          <w:rtl w:val="0"/>
        </w:rPr>
        <w:t>’</w:t>
      </w:r>
      <w:r>
        <w:rPr>
          <w:rtl w:val="0"/>
        </w:rPr>
        <w:t>d been contracted to assist briefly. The shopping continued:</w:t>
      </w:r>
    </w:p>
    <w:p>
      <w:pPr>
        <w:pStyle w:val="Text"/>
        <w:spacing w:line="240" w:lineRule="auto"/>
        <w:ind w:firstLine="0"/>
        <w:rPr>
          <w:rStyle w:val="page number"/>
          <w:color w:val="d9d9d9"/>
          <w:u w:color="d9d9d9"/>
        </w:rPr>
      </w:pPr>
      <w:r>
        <w:rPr>
          <w:rStyle w:val="page number"/>
          <w:color w:val="d9d9d9"/>
          <w:u w:color="d9d9d9"/>
          <w:rtl w:val="0"/>
          <w:lang w:val="it-IT"/>
        </w:rPr>
        <w:t>#blockQuote</w:t>
      </w:r>
    </w:p>
    <w:p>
      <w:pPr>
        <w:pStyle w:val="Text"/>
        <w:spacing w:line="240" w:lineRule="auto"/>
        <w:ind w:left="720" w:firstLine="0"/>
      </w:pPr>
      <w:r>
        <w:rPr>
          <w:rtl w:val="0"/>
          <w:lang w:val="en-US"/>
        </w:rPr>
        <w:t>I go work D. el B. tomorrow morning, but shall come back here for night to see dealers</w:t>
      </w:r>
      <w:r>
        <w:rPr>
          <w:rtl w:val="0"/>
        </w:rPr>
        <w:t xml:space="preserve">… </w:t>
      </w:r>
      <w:r>
        <w:rPr>
          <w:rtl w:val="0"/>
          <w:lang w:val="en-US"/>
        </w:rPr>
        <w:t>We visited a dealer + got some good scarabs very cheap + some pretty alabaster bases</w:t>
      </w:r>
      <w:r>
        <w:rPr>
          <w:rtl w:val="0"/>
        </w:rPr>
        <w:t xml:space="preserve">… </w:t>
      </w:r>
      <w:r>
        <w:rPr>
          <w:rtl w:val="0"/>
          <w:lang w:val="en-US"/>
        </w:rPr>
        <w:t xml:space="preserve">I shall transfer myself tomorrow or the next day to D. el B. + be of what use I can, to earn my </w:t>
      </w:r>
      <w:r>
        <w:rPr>
          <w:rtl w:val="0"/>
        </w:rPr>
        <w:t>£</w:t>
      </w:r>
      <w:r>
        <w:rPr>
          <w:rtl w:val="0"/>
        </w:rPr>
        <w:t>50.</w:t>
      </w:r>
      <w:r>
        <w:rPr>
          <w:rStyle w:val="footnote reference"/>
        </w:rPr>
        <w:footnoteReference w:id="45"/>
      </w:r>
    </w:p>
    <w:p>
      <w:pPr>
        <w:pStyle w:val="Text"/>
        <w:spacing w:line="240" w:lineRule="auto"/>
        <w:ind w:firstLine="0"/>
        <w:rPr>
          <w:rStyle w:val="page number"/>
          <w:color w:val="d9d9d9"/>
          <w:u w:color="d9d9d9"/>
        </w:rPr>
      </w:pPr>
      <w:r>
        <w:rPr>
          <w:rStyle w:val="page number"/>
          <w:color w:val="d9d9d9"/>
          <w:u w:color="d9d9d9"/>
          <w:rtl w:val="0"/>
          <w:lang w:val="en-US"/>
        </w:rPr>
        <w:t>#endBlockQuote</w:t>
      </w:r>
    </w:p>
    <w:p>
      <w:pPr>
        <w:pStyle w:val="Text"/>
        <w:ind w:firstLine="0"/>
      </w:pPr>
      <w:r>
        <w:rPr>
          <w:rtl w:val="0"/>
          <w:lang w:val="en-US"/>
        </w:rPr>
        <w:t>His next letters are similarly revealing.</w:t>
      </w:r>
    </w:p>
    <w:p>
      <w:pPr>
        <w:pStyle w:val="Text"/>
        <w:spacing w:line="240" w:lineRule="auto"/>
        <w:ind w:firstLine="0"/>
        <w:rPr>
          <w:rStyle w:val="page number"/>
          <w:color w:val="d9d9d9"/>
          <w:u w:color="d9d9d9"/>
        </w:rPr>
      </w:pPr>
      <w:r>
        <w:rPr>
          <w:rStyle w:val="page number"/>
          <w:color w:val="d9d9d9"/>
          <w:u w:color="d9d9d9"/>
          <w:rtl w:val="0"/>
          <w:lang w:val="it-IT"/>
        </w:rPr>
        <w:t>#blockQuote</w:t>
      </w:r>
    </w:p>
    <w:p>
      <w:pPr>
        <w:pStyle w:val="Text"/>
        <w:spacing w:line="240" w:lineRule="auto"/>
        <w:ind w:left="720" w:firstLine="0"/>
      </w:pPr>
      <w:r>
        <w:rPr>
          <w:rtl w:val="0"/>
          <w:lang w:val="en-US"/>
        </w:rPr>
        <w:t>I haven</w:t>
      </w:r>
      <w:r>
        <w:rPr>
          <w:rtl w:val="0"/>
        </w:rPr>
        <w:t>’</w:t>
      </w:r>
      <w:r>
        <w:rPr>
          <w:rtl w:val="0"/>
          <w:lang w:val="en-US"/>
        </w:rPr>
        <w:t>t bought any papyri here yet. The dealers</w:t>
      </w:r>
      <w:r>
        <w:rPr>
          <w:rtl w:val="0"/>
        </w:rPr>
        <w:t xml:space="preserve">’ </w:t>
      </w:r>
      <w:r>
        <w:rPr>
          <w:rtl w:val="0"/>
          <w:lang w:val="en-US"/>
        </w:rPr>
        <w:t>mouths are too wide open.</w:t>
      </w:r>
      <w:r>
        <w:rPr>
          <w:rStyle w:val="footnote reference"/>
        </w:rPr>
        <w:footnoteReference w:id="46"/>
      </w:r>
    </w:p>
    <w:p>
      <w:pPr>
        <w:pStyle w:val="Text"/>
        <w:spacing w:line="240" w:lineRule="auto"/>
        <w:ind w:firstLine="0"/>
        <w:rPr>
          <w:rStyle w:val="page number"/>
          <w:color w:val="d9d9d9"/>
          <w:u w:color="d9d9d9"/>
        </w:rPr>
      </w:pPr>
      <w:r>
        <w:rPr>
          <w:rStyle w:val="page number"/>
          <w:color w:val="d9d9d9"/>
          <w:u w:color="d9d9d9"/>
          <w:rtl w:val="0"/>
          <w:lang w:val="en-US"/>
        </w:rPr>
        <w:t>#endBlockQuote</w:t>
      </w:r>
    </w:p>
    <w:p>
      <w:pPr>
        <w:pStyle w:val="Text"/>
        <w:spacing w:line="240" w:lineRule="auto"/>
        <w:ind w:firstLine="0"/>
        <w:rPr>
          <w:rStyle w:val="page number"/>
          <w:color w:val="d9d9d9"/>
          <w:u w:color="d9d9d9"/>
        </w:rPr>
      </w:pPr>
      <w:r>
        <w:rPr>
          <w:rStyle w:val="page number"/>
          <w:color w:val="d9d9d9"/>
          <w:u w:color="d9d9d9"/>
          <w:rtl w:val="0"/>
          <w:lang w:val="it-IT"/>
        </w:rPr>
        <w:t>#blockQuote</w:t>
      </w:r>
    </w:p>
    <w:p>
      <w:pPr>
        <w:pStyle w:val="Text"/>
        <w:spacing w:line="240" w:lineRule="auto"/>
        <w:ind w:left="720" w:firstLine="0"/>
      </w:pPr>
      <w:r>
        <w:rPr>
          <w:rtl w:val="0"/>
          <w:lang w:val="en-US"/>
        </w:rPr>
        <w:t>Meanwhile I write Times articles, buy papyri, + visit digs</w:t>
      </w:r>
      <w:r>
        <w:rPr>
          <w:rtl w:val="0"/>
        </w:rPr>
        <w:t xml:space="preserve">… </w:t>
      </w:r>
      <w:r>
        <w:rPr>
          <w:rtl w:val="0"/>
          <w:lang w:val="en-US"/>
        </w:rPr>
        <w:t>I fled to a lonely spot on the desert edge where Grenfell was digging for papyri.</w:t>
      </w:r>
      <w:r>
        <w:rPr>
          <w:rStyle w:val="footnote reference"/>
        </w:rPr>
        <w:footnoteReference w:id="47"/>
      </w:r>
    </w:p>
    <w:p>
      <w:pPr>
        <w:pStyle w:val="Text"/>
        <w:spacing w:line="240" w:lineRule="auto"/>
        <w:ind w:firstLine="0"/>
        <w:rPr>
          <w:rStyle w:val="page number"/>
          <w:color w:val="d9d9d9"/>
          <w:u w:color="d9d9d9"/>
        </w:rPr>
      </w:pPr>
      <w:r>
        <w:rPr>
          <w:rStyle w:val="page number"/>
          <w:color w:val="d9d9d9"/>
          <w:u w:color="d9d9d9"/>
          <w:rtl w:val="0"/>
          <w:lang w:val="en-US"/>
        </w:rPr>
        <w:t>#endBlockQuote</w:t>
      </w:r>
    </w:p>
    <w:p>
      <w:pPr>
        <w:pStyle w:val="Text"/>
        <w:spacing w:line="240" w:lineRule="auto"/>
        <w:ind w:firstLine="0"/>
        <w:rPr>
          <w:rStyle w:val="page number"/>
          <w:color w:val="d9d9d9"/>
          <w:u w:color="d9d9d9"/>
        </w:rPr>
      </w:pPr>
      <w:r>
        <w:rPr>
          <w:rStyle w:val="page number"/>
          <w:color w:val="d9d9d9"/>
          <w:u w:color="d9d9d9"/>
          <w:rtl w:val="0"/>
          <w:lang w:val="it-IT"/>
        </w:rPr>
        <w:t>#blockQuote</w:t>
      </w:r>
    </w:p>
    <w:p>
      <w:pPr>
        <w:pStyle w:val="Text"/>
        <w:spacing w:line="240" w:lineRule="auto"/>
        <w:ind w:left="720" w:firstLine="0"/>
      </w:pPr>
      <w:r>
        <w:rPr>
          <w:rtl w:val="0"/>
          <w:lang w:val="en-US"/>
        </w:rPr>
        <w:t>So I determined to come up to Assuan for two days, see Lyons</w:t>
      </w:r>
      <w:r>
        <w:rPr>
          <w:rtl w:val="0"/>
        </w:rPr>
        <w:t xml:space="preserve">’ </w:t>
      </w:r>
      <w:r>
        <w:rPr>
          <w:rtl w:val="0"/>
          <w:lang w:val="en-US"/>
        </w:rPr>
        <w:t>work at Philae + write an article about it, + look for papyri.</w:t>
      </w:r>
      <w:r>
        <w:rPr>
          <w:rStyle w:val="footnote reference"/>
        </w:rPr>
        <w:footnoteReference w:id="48"/>
      </w:r>
    </w:p>
    <w:p>
      <w:pPr>
        <w:pStyle w:val="Text"/>
        <w:spacing w:line="240" w:lineRule="auto"/>
        <w:ind w:firstLine="0"/>
        <w:rPr>
          <w:rStyle w:val="page number"/>
          <w:color w:val="d9d9d9"/>
          <w:u w:color="d9d9d9"/>
        </w:rPr>
      </w:pPr>
      <w:r>
        <w:rPr>
          <w:rStyle w:val="page number"/>
          <w:color w:val="d9d9d9"/>
          <w:u w:color="d9d9d9"/>
          <w:rtl w:val="0"/>
          <w:lang w:val="en-US"/>
        </w:rPr>
        <w:t>#endBlockQuote</w:t>
      </w:r>
    </w:p>
    <w:p>
      <w:pPr>
        <w:pStyle w:val="Text"/>
      </w:pPr>
      <w:r>
        <w:rPr>
          <w:rtl w:val="0"/>
        </w:rPr>
        <w:t xml:space="preserve">In light of the above, Hogarth seems to have acquired other papyri in the winter of 1896/7. He was certainly active in the market and relatively unencumbered with business, and the </w:t>
      </w:r>
      <w:r>
        <w:rPr>
          <w:rtl w:val="0"/>
        </w:rPr>
        <w:t>£</w:t>
      </w:r>
      <w:r>
        <w:rPr>
          <w:rtl w:val="0"/>
        </w:rPr>
        <w:t>50 windfall he was due for checking in at Deir el-Bahri at Thompson</w:t>
      </w:r>
      <w:r>
        <w:rPr>
          <w:rtl w:val="0"/>
        </w:rPr>
        <w:t>’</w:t>
      </w:r>
      <w:r>
        <w:rPr>
          <w:rtl w:val="0"/>
        </w:rPr>
        <w:t>s request could well have been earmarked for this purpose. The fact that he both intended to write about papyri and had visited Grenfell and Hunt</w:t>
      </w:r>
      <w:r>
        <w:rPr>
          <w:rtl w:val="0"/>
        </w:rPr>
        <w:t>’</w:t>
      </w:r>
      <w:r>
        <w:rPr>
          <w:rtl w:val="0"/>
        </w:rPr>
        <w:t xml:space="preserve">s camp suggests that the topic was very much on his mind. Although he was no longer personally excavating them, the memory of the Fayum season was nonetheless fresh, and a fondness for Grenfell </w:t>
      </w:r>
      <w:r>
        <w:rPr>
          <w:rtl w:val="0"/>
        </w:rPr>
        <w:t xml:space="preserve">– </w:t>
      </w:r>
      <w:r>
        <w:rPr>
          <w:rtl w:val="0"/>
        </w:rPr>
        <w:t xml:space="preserve">presumably shared by his wife (to whom most of the correspondence is addressed) </w:t>
      </w:r>
      <w:r>
        <w:rPr>
          <w:rtl w:val="0"/>
        </w:rPr>
        <w:t xml:space="preserve">– </w:t>
      </w:r>
      <w:r>
        <w:rPr>
          <w:rtl w:val="0"/>
        </w:rPr>
        <w:t>permeates the letters of this winter. He reports on the hazards of camp life at Behnesa</w:t>
      </w:r>
      <w:r>
        <w:rPr>
          <w:rStyle w:val="footnote reference"/>
          <w:rFonts w:ascii="Times New Roman" w:cs="Times New Roman" w:hAnsi="Times New Roman" w:eastAsia="Times New Roman"/>
          <w:b w:val="0"/>
          <w:bCs w:val="0"/>
          <w:i w:val="0"/>
          <w:iCs w:val="0"/>
        </w:rPr>
        <w:footnoteReference w:id="49"/>
      </w:r>
      <w:r>
        <w:rPr>
          <w:rtl w:val="0"/>
        </w:rPr>
        <w:t xml:space="preserve"> and, after considering but declining an invitation to visit the Great Oasis, recommends that Grenfell take his place.</w:t>
      </w:r>
      <w:r>
        <w:rPr>
          <w:rStyle w:val="footnote reference"/>
          <w:rFonts w:ascii="Times New Roman" w:cs="Times New Roman" w:hAnsi="Times New Roman" w:eastAsia="Times New Roman"/>
          <w:b w:val="0"/>
          <w:bCs w:val="0"/>
          <w:i w:val="0"/>
          <w:iCs w:val="0"/>
        </w:rPr>
        <w:footnoteReference w:id="50"/>
      </w:r>
      <w:r>
        <w:rPr>
          <w:rtl w:val="0"/>
        </w:rPr>
        <w:t xml:space="preserve"> By contrast, he mentions Hunt by name only once.</w:t>
      </w:r>
      <w:r>
        <w:rPr>
          <w:rStyle w:val="footnote reference"/>
          <w:rFonts w:ascii="Times New Roman" w:cs="Times New Roman" w:hAnsi="Times New Roman" w:eastAsia="Times New Roman"/>
          <w:b w:val="0"/>
          <w:bCs w:val="0"/>
          <w:i w:val="0"/>
          <w:iCs w:val="0"/>
        </w:rPr>
        <w:footnoteReference w:id="51"/>
      </w:r>
      <w:r>
        <w:rPr>
          <w:rtl w:val="0"/>
        </w:rPr>
        <w:t xml:space="preserve"> Of course, Hogarth would return to Egypt on other occasions over the course of his career,</w:t>
      </w:r>
      <w:r>
        <w:rPr>
          <w:rStyle w:val="footnote reference"/>
          <w:rFonts w:ascii="Times New Roman" w:cs="Times New Roman" w:hAnsi="Times New Roman" w:eastAsia="Times New Roman"/>
          <w:b w:val="0"/>
          <w:bCs w:val="0"/>
          <w:i w:val="0"/>
          <w:iCs w:val="0"/>
        </w:rPr>
        <w:footnoteReference w:id="52"/>
      </w:r>
      <w:r>
        <w:rPr>
          <w:rtl w:val="0"/>
        </w:rPr>
        <w:t xml:space="preserve"> but the evidence such as it is suggests that his acquisitions were concentrated in and around his first years in Egypt, the period in which his interactions with Grenfell were most frequent.</w:t>
      </w:r>
    </w:p>
    <w:p>
      <w:pPr>
        <w:pStyle w:val="Text"/>
        <w:spacing w:line="240" w:lineRule="auto"/>
        <w:ind w:firstLine="0"/>
        <w:rPr>
          <w:rStyle w:val="page number"/>
          <w:color w:val="d9d9d9"/>
          <w:u w:color="d9d9d9"/>
        </w:rPr>
      </w:pPr>
      <w:r>
        <w:rPr>
          <w:rStyle w:val="page number"/>
          <w:color w:val="d9d9d9"/>
          <w:u w:color="d9d9d9"/>
          <w:rtl w:val="0"/>
          <w:lang w:val="en-US"/>
        </w:rPr>
        <w:t>#articleHeader</w:t>
      </w:r>
    </w:p>
    <w:p>
      <w:pPr>
        <w:pStyle w:val="Text"/>
        <w:ind w:firstLine="0"/>
        <w:rPr>
          <w:rStyle w:val="page number"/>
          <w:b w:val="1"/>
          <w:bCs w:val="1"/>
        </w:rPr>
      </w:pPr>
      <w:r>
        <w:rPr>
          <w:rStyle w:val="page number"/>
          <w:b w:val="1"/>
          <w:bCs w:val="1"/>
          <w:rtl w:val="0"/>
          <w:lang w:val="en-US"/>
        </w:rPr>
        <w:t>Postscript: Cataloguing Papyri in the Bodleian Library from 1935</w:t>
      </w:r>
    </w:p>
    <w:p>
      <w:pPr>
        <w:pStyle w:val="Text"/>
      </w:pPr>
      <w:r>
        <w:rPr>
          <w:rtl w:val="0"/>
        </w:rPr>
        <w:t>William Hogarth</w:t>
      </w:r>
      <w:r>
        <w:rPr>
          <w:rtl w:val="0"/>
        </w:rPr>
        <w:t>’</w:t>
      </w:r>
      <w:r>
        <w:rPr>
          <w:rtl w:val="0"/>
        </w:rPr>
        <w:t>s donation of his father</w:t>
      </w:r>
      <w:r>
        <w:rPr>
          <w:rtl w:val="0"/>
        </w:rPr>
        <w:t>’</w:t>
      </w:r>
      <w:r>
        <w:rPr>
          <w:rtl w:val="0"/>
        </w:rPr>
        <w:t>s personal collection of papyri to the Bodleian on 15 May 1935 was one of the final additions to the library</w:t>
      </w:r>
      <w:r>
        <w:rPr>
          <w:rtl w:val="0"/>
        </w:rPr>
        <w:t>’</w:t>
      </w:r>
      <w:r>
        <w:rPr>
          <w:rtl w:val="0"/>
        </w:rPr>
        <w:t xml:space="preserve">s papyrological holdings. It is dwarfed, however, by </w:t>
      </w:r>
      <w:r>
        <w:rPr>
          <w:rStyle w:val="page number"/>
          <w:i w:val="1"/>
          <w:iCs w:val="1"/>
          <w:rtl w:val="0"/>
          <w:lang w:val="en-US"/>
        </w:rPr>
        <w:t>the</w:t>
      </w:r>
      <w:r>
        <w:rPr>
          <w:rtl w:val="0"/>
        </w:rPr>
        <w:t xml:space="preserve"> last major acquisition, on whose heels it closely followed. Just two months previous, on 13 March 1935, Lucy Hunt had presented a collection consisting of several hundred fragments, following her husband</w:t>
      </w:r>
      <w:r>
        <w:rPr>
          <w:rtl w:val="0"/>
        </w:rPr>
        <w:t>’</w:t>
      </w:r>
      <w:r>
        <w:rPr>
          <w:rtl w:val="0"/>
        </w:rPr>
        <w:t>s passing the summer before.</w:t>
      </w:r>
      <w:r>
        <w:rPr>
          <w:rStyle w:val="footnote reference"/>
          <w:rFonts w:ascii="Times New Roman" w:cs="Times New Roman" w:hAnsi="Times New Roman" w:eastAsia="Times New Roman"/>
          <w:b w:val="0"/>
          <w:bCs w:val="0"/>
          <w:i w:val="0"/>
          <w:iCs w:val="0"/>
        </w:rPr>
        <w:footnoteReference w:id="53"/>
      </w:r>
      <w:r>
        <w:rPr>
          <w:rtl w:val="0"/>
        </w:rPr>
        <w:t xml:space="preserve"> This donation included papyri Hunt had purchased in Egypt and ones that had belonged previously to Grenfell, though it was by no means the full extent of either man</w:t>
      </w:r>
      <w:r>
        <w:rPr>
          <w:rtl w:val="0"/>
        </w:rPr>
        <w:t>’</w:t>
      </w:r>
      <w:r>
        <w:rPr>
          <w:rtl w:val="0"/>
          <w:lang w:val="fr-FR"/>
        </w:rPr>
        <w:t>s personal collection.</w:t>
      </w:r>
      <w:r>
        <w:rPr>
          <w:rStyle w:val="footnote reference"/>
          <w:rFonts w:ascii="Times New Roman" w:cs="Times New Roman" w:hAnsi="Times New Roman" w:eastAsia="Times New Roman"/>
          <w:b w:val="0"/>
          <w:bCs w:val="0"/>
          <w:i w:val="0"/>
          <w:iCs w:val="0"/>
        </w:rPr>
        <w:footnoteReference w:id="54"/>
      </w:r>
      <w:r>
        <w:rPr>
          <w:rtl w:val="0"/>
        </w:rPr>
        <w:t xml:space="preserve"> One cannot help but wonder whether the timing of Hogarth </w:t>
      </w:r>
      <w:r>
        <w:rPr>
          <w:rStyle w:val="page number"/>
          <w:i w:val="1"/>
          <w:iCs w:val="1"/>
          <w:rtl w:val="0"/>
          <w:lang w:val="fr-FR"/>
        </w:rPr>
        <w:t xml:space="preserve">fils </w:t>
      </w:r>
      <w:r>
        <w:rPr>
          <w:rtl w:val="0"/>
        </w:rPr>
        <w:t>was purely coincidental, or whether he was inspired to find his father</w:t>
      </w:r>
      <w:r>
        <w:rPr>
          <w:rtl w:val="0"/>
        </w:rPr>
        <w:t>’</w:t>
      </w:r>
      <w:r>
        <w:rPr>
          <w:rtl w:val="0"/>
        </w:rPr>
        <w:t>s papyri an institutional home by the example of a bygone collaborator</w:t>
      </w:r>
      <w:r>
        <w:rPr>
          <w:rtl w:val="0"/>
        </w:rPr>
        <w:t>’</w:t>
      </w:r>
      <w:r>
        <w:rPr>
          <w:rtl w:val="0"/>
        </w:rPr>
        <w:t xml:space="preserve">s widow. </w:t>
      </w:r>
    </w:p>
    <w:p>
      <w:pPr>
        <w:pStyle w:val="Text"/>
      </w:pPr>
      <w:r>
        <w:rPr>
          <w:rtl w:val="0"/>
        </w:rPr>
        <w:t>Most, if not all, of Hogarth</w:t>
      </w:r>
      <w:r>
        <w:rPr>
          <w:rtl w:val="0"/>
        </w:rPr>
        <w:t>’</w:t>
      </w:r>
      <w:r>
        <w:rPr>
          <w:rtl w:val="0"/>
        </w:rPr>
        <w:t>s papyri were catalogued promptly. By August 1936, when Eefje P. Wegener visited Oxford for four weeks of work, they had been sorted by size and assigned shelfmarks such that these could be reported.</w:t>
      </w:r>
      <w:r>
        <w:rPr>
          <w:rStyle w:val="footnote reference"/>
          <w:rFonts w:ascii="Times New Roman" w:cs="Times New Roman" w:hAnsi="Times New Roman" w:eastAsia="Times New Roman"/>
          <w:b w:val="0"/>
          <w:bCs w:val="0"/>
          <w:i w:val="0"/>
          <w:iCs w:val="0"/>
        </w:rPr>
        <w:footnoteReference w:id="55"/>
      </w:r>
      <w:r>
        <w:rPr>
          <w:rtl w:val="0"/>
        </w:rPr>
        <w:t xml:space="preserve"> But the same cannot be said for the much larger Hunt collection, despite the fact that it had reached the library first. Wegener</w:t>
      </w:r>
      <w:r>
        <w:rPr>
          <w:rtl w:val="0"/>
        </w:rPr>
        <w:t>’</w:t>
      </w:r>
      <w:r>
        <w:rPr>
          <w:rtl w:val="0"/>
        </w:rPr>
        <w:t xml:space="preserve">s article also included one item from it </w:t>
      </w:r>
      <w:r>
        <w:rPr>
          <w:rtl w:val="0"/>
        </w:rPr>
        <w:t xml:space="preserve">– </w:t>
      </w:r>
      <w:r>
        <w:rPr>
          <w:rStyle w:val="Hyperlink.0"/>
        </w:rPr>
        <w:fldChar w:fldCharType="begin" w:fldLock="0"/>
      </w:r>
      <w:r>
        <w:rPr>
          <w:rStyle w:val="Hyperlink.0"/>
        </w:rPr>
        <w:instrText xml:space="preserve"> HYPERLINK "https://papyri.info/hgv/17867"</w:instrText>
      </w:r>
      <w:r>
        <w:rPr>
          <w:rStyle w:val="Hyperlink.0"/>
        </w:rPr>
        <w:fldChar w:fldCharType="separate" w:fldLock="0"/>
      </w:r>
      <w:r>
        <w:rPr>
          <w:rStyle w:val="Hyperlink.0"/>
          <w:rtl w:val="0"/>
        </w:rPr>
        <w:t>SB 6 9193</w:t>
      </w:r>
      <w:r>
        <w:rPr/>
        <w:fldChar w:fldCharType="end" w:fldLock="0"/>
      </w:r>
      <w:r>
        <w:rPr>
          <w:rtl w:val="0"/>
        </w:rPr>
        <w:t xml:space="preserve"> – </w:t>
      </w:r>
      <w:r>
        <w:rPr>
          <w:rtl w:val="0"/>
        </w:rPr>
        <w:t xml:space="preserve">but she could not publish a shelfmark: </w:t>
      </w:r>
      <w:r>
        <w:rPr>
          <w:rtl w:val="0"/>
          <w:lang w:val="de-DE"/>
        </w:rPr>
        <w:t>“</w:t>
      </w:r>
      <w:r>
        <w:rPr>
          <w:rtl w:val="0"/>
        </w:rPr>
        <w:t>Pap. Bodl. Uncatal.</w:t>
      </w:r>
      <w:r>
        <w:rPr>
          <w:rtl w:val="0"/>
        </w:rPr>
        <w:t xml:space="preserve">” </w:t>
      </w:r>
      <w:r>
        <w:rPr>
          <w:rtl w:val="0"/>
        </w:rPr>
        <w:t>is her report.</w:t>
      </w:r>
      <w:r>
        <w:rPr>
          <w:rStyle w:val="footnote reference"/>
          <w:rFonts w:ascii="Times New Roman" w:cs="Times New Roman" w:hAnsi="Times New Roman" w:eastAsia="Times New Roman"/>
          <w:b w:val="0"/>
          <w:bCs w:val="0"/>
          <w:i w:val="0"/>
          <w:iCs w:val="0"/>
        </w:rPr>
        <w:footnoteReference w:id="56"/>
      </w:r>
      <w:r>
        <w:rPr>
          <w:rtl w:val="0"/>
        </w:rPr>
        <w:t xml:space="preserve"> The likeliest explanation for the curiosity </w:t>
      </w:r>
      <w:r>
        <w:rPr>
          <w:rtl w:val="0"/>
        </w:rPr>
        <w:t xml:space="preserve">– </w:t>
      </w:r>
      <w:r>
        <w:rPr>
          <w:rtl w:val="0"/>
        </w:rPr>
        <w:t>that Hogarth</w:t>
      </w:r>
      <w:r>
        <w:rPr>
          <w:rtl w:val="0"/>
        </w:rPr>
        <w:t>’</w:t>
      </w:r>
      <w:r>
        <w:rPr>
          <w:rtl w:val="0"/>
        </w:rPr>
        <w:t xml:space="preserve">s papyri were catalogued first, despite arriving later </w:t>
      </w:r>
      <w:r>
        <w:rPr>
          <w:rtl w:val="0"/>
        </w:rPr>
        <w:t xml:space="preserve">– </w:t>
      </w:r>
      <w:r>
        <w:rPr>
          <w:rtl w:val="0"/>
        </w:rPr>
        <w:t>is the staggering amount of material in the Hunt collection. Support for that inference comes from a reading of the library</w:t>
      </w:r>
      <w:r>
        <w:rPr>
          <w:rtl w:val="0"/>
        </w:rPr>
        <w:t>’</w:t>
      </w:r>
      <w:r>
        <w:rPr>
          <w:rtl w:val="0"/>
        </w:rPr>
        <w:t>s records. Edgar Lobel, who was then the Keeper of Western Manuscripts, had assembled a catalogue of the library</w:t>
      </w:r>
      <w:r>
        <w:rPr>
          <w:rtl w:val="0"/>
        </w:rPr>
        <w:t>’</w:t>
      </w:r>
      <w:r>
        <w:rPr>
          <w:rtl w:val="0"/>
        </w:rPr>
        <w:t>s papyrological holdings, but its coverage breaks down in and around 1935: it includes none of Hunt</w:t>
      </w:r>
      <w:r>
        <w:rPr>
          <w:rtl w:val="0"/>
        </w:rPr>
        <w:t>’</w:t>
      </w:r>
      <w:r>
        <w:rPr>
          <w:rtl w:val="0"/>
        </w:rPr>
        <w:t>s papyri, and only a few of the smaller items in Hogarth</w:t>
      </w:r>
      <w:r>
        <w:rPr>
          <w:rtl w:val="0"/>
        </w:rPr>
        <w:t>’</w:t>
      </w:r>
      <w:r>
        <w:rPr>
          <w:rtl w:val="0"/>
          <w:lang w:val="pt-PT"/>
        </w:rPr>
        <w:t>s.</w:t>
      </w:r>
      <w:r>
        <w:rPr>
          <w:rStyle w:val="footnote reference"/>
          <w:rFonts w:ascii="Times New Roman" w:cs="Times New Roman" w:hAnsi="Times New Roman" w:eastAsia="Times New Roman"/>
          <w:b w:val="0"/>
          <w:bCs w:val="0"/>
          <w:i w:val="0"/>
          <w:iCs w:val="0"/>
        </w:rPr>
        <w:footnoteReference w:id="57"/>
      </w:r>
      <w:r>
        <w:rPr>
          <w:rtl w:val="0"/>
        </w:rPr>
        <w:t xml:space="preserve"> We may reasonably conclude that Lobel had completed this inventory before the influx of new material in 1935, and was never able to update it fully. </w:t>
      </w:r>
    </w:p>
    <w:p>
      <w:pPr>
        <w:pStyle w:val="Text"/>
      </w:pPr>
      <w:r>
        <w:rPr>
          <w:rtl w:val="0"/>
        </w:rPr>
        <w:t>It was no dereliction of duty on Lobel</w:t>
      </w:r>
      <w:r>
        <w:rPr>
          <w:rtl w:val="0"/>
        </w:rPr>
        <w:t>’</w:t>
      </w:r>
      <w:r>
        <w:rPr>
          <w:rtl w:val="0"/>
        </w:rPr>
        <w:t>s part that his inventory of Bodleian papyri does not account comprehensively for its most recent acquisitions. Hunt</w:t>
      </w:r>
      <w:r>
        <w:rPr>
          <w:rtl w:val="0"/>
        </w:rPr>
        <w:t>’</w:t>
      </w:r>
      <w:r>
        <w:rPr>
          <w:rtl w:val="0"/>
        </w:rPr>
        <w:t>s death marked the end of an era for British papyrology, and its impact on the Bodleian, in particular, went far beyond the hundreds of fragments that were subsequently deposited there. The work of editing unpublished Oxyrhynchus papyri, for years the purview of the Oxford Dioscuri, suddenly required a new hand on the tiller, and that job promptly fell to Lobel. From the time of Hunt</w:t>
      </w:r>
      <w:r>
        <w:rPr>
          <w:rtl w:val="0"/>
        </w:rPr>
        <w:t>’</w:t>
      </w:r>
      <w:r>
        <w:rPr>
          <w:rtl w:val="0"/>
        </w:rPr>
        <w:t xml:space="preserve">s death in 1934, as Eric Turner has summarized, he </w:t>
      </w:r>
      <w:r>
        <w:rPr>
          <w:rtl w:val="0"/>
          <w:lang w:val="de-DE"/>
        </w:rPr>
        <w:t>“</w:t>
      </w:r>
      <w:r>
        <w:rPr>
          <w:rtl w:val="0"/>
        </w:rPr>
        <w:t>gradually came to assume sole charge of the unpublished Oxyrhynchus papyri</w:t>
      </w:r>
      <w:r>
        <w:rPr>
          <w:rtl w:val="0"/>
        </w:rPr>
        <w:t>”</w:t>
      </w:r>
      <w:r>
        <w:rPr>
          <w:rtl w:val="0"/>
        </w:rPr>
        <w:t>.</w:t>
      </w:r>
      <w:r>
        <w:rPr>
          <w:rStyle w:val="footnote reference"/>
          <w:rFonts w:ascii="Times New Roman" w:cs="Times New Roman" w:hAnsi="Times New Roman" w:eastAsia="Times New Roman"/>
          <w:b w:val="0"/>
          <w:bCs w:val="0"/>
          <w:i w:val="0"/>
          <w:iCs w:val="0"/>
        </w:rPr>
        <w:footnoteReference w:id="58"/>
      </w:r>
      <w:r>
        <w:rPr>
          <w:rtl w:val="0"/>
        </w:rPr>
        <w:t xml:space="preserve"> In September 1935, only six months following the donation of Hunt</w:t>
      </w:r>
      <w:r>
        <w:rPr>
          <w:rtl w:val="0"/>
        </w:rPr>
        <w:t>’</w:t>
      </w:r>
      <w:r>
        <w:rPr>
          <w:rtl w:val="0"/>
        </w:rPr>
        <w:t>s collection, he secured permission to study some of the literary material from Oxyrhynchus in the Bodleian. He was then appointed Reader in Papyrology in December, a post which began formally in July 1936. In October 1938 he resigned from the Bodleian to take up a Senior Research Fellowship at Queen</w:t>
      </w:r>
      <w:r>
        <w:rPr>
          <w:rtl w:val="0"/>
        </w:rPr>
        <w:t>’</w:t>
      </w:r>
      <w:r>
        <w:rPr>
          <w:rtl w:val="0"/>
        </w:rPr>
        <w:t>s, and the decades of work on Oxyrhynchus papyri that ensued need no accounting here. I summarize the contours of his career not to suggest that Lobel in any way ignored Hunt</w:t>
      </w:r>
      <w:r>
        <w:rPr>
          <w:rtl w:val="0"/>
        </w:rPr>
        <w:t>’</w:t>
      </w:r>
      <w:r>
        <w:rPr>
          <w:rtl w:val="0"/>
        </w:rPr>
        <w:t xml:space="preserve">s papyri </w:t>
      </w:r>
      <w:r>
        <w:rPr>
          <w:rtl w:val="0"/>
        </w:rPr>
        <w:t xml:space="preserve">– </w:t>
      </w:r>
      <w:r>
        <w:rPr>
          <w:rtl w:val="0"/>
        </w:rPr>
        <w:t>the opposite is true</w:t>
      </w:r>
      <w:r>
        <w:rPr>
          <w:rStyle w:val="footnote reference"/>
          <w:rFonts w:ascii="Times New Roman" w:cs="Times New Roman" w:hAnsi="Times New Roman" w:eastAsia="Times New Roman"/>
          <w:b w:val="0"/>
          <w:bCs w:val="0"/>
          <w:i w:val="0"/>
          <w:iCs w:val="0"/>
        </w:rPr>
        <w:footnoteReference w:id="59"/>
      </w:r>
      <w:r>
        <w:rPr>
          <w:rtl w:val="0"/>
        </w:rPr>
        <w:t xml:space="preserve"> – </w:t>
      </w:r>
      <w:r>
        <w:rPr>
          <w:rtl w:val="0"/>
        </w:rPr>
        <w:t>but only to indicate that, from 1935 on, he had more papyri than one man could manage. His energies were wholly occupied, increasingly by the larger and more promising collection of papyri in Oxford.</w:t>
      </w:r>
      <w:r>
        <w:rPr>
          <w:rStyle w:val="footnote reference"/>
          <w:rFonts w:ascii="Times New Roman" w:cs="Times New Roman" w:hAnsi="Times New Roman" w:eastAsia="Times New Roman"/>
          <w:b w:val="0"/>
          <w:bCs w:val="0"/>
          <w:i w:val="0"/>
          <w:iCs w:val="0"/>
        </w:rPr>
        <w:footnoteReference w:id="60"/>
      </w:r>
    </w:p>
    <w:p>
      <w:pPr>
        <w:pStyle w:val="Text"/>
      </w:pPr>
      <w:r>
        <w:rPr>
          <w:rtl w:val="0"/>
        </w:rPr>
        <w:t>A full accounting of Hunt</w:t>
      </w:r>
      <w:r>
        <w:rPr>
          <w:rtl w:val="0"/>
        </w:rPr>
        <w:t>’</w:t>
      </w:r>
      <w:r>
        <w:rPr>
          <w:rtl w:val="0"/>
        </w:rPr>
        <w:t>s papyri in the Bodleian would have to wait until 1976, when Revel Coles undertook to catalogue the collection on index cards. That catalogue remains the primary basis for the Bodleian</w:t>
      </w:r>
      <w:r>
        <w:rPr>
          <w:rtl w:val="0"/>
        </w:rPr>
        <w:t>’</w:t>
      </w:r>
      <w:r>
        <w:rPr>
          <w:rtl w:val="0"/>
        </w:rPr>
        <w:t>s records today, now available online and published in large part by Salomons.</w:t>
      </w:r>
      <w:r>
        <w:rPr>
          <w:rStyle w:val="footnote reference"/>
          <w:rFonts w:ascii="Times New Roman" w:cs="Times New Roman" w:hAnsi="Times New Roman" w:eastAsia="Times New Roman"/>
          <w:b w:val="0"/>
          <w:bCs w:val="0"/>
          <w:i w:val="0"/>
          <w:iCs w:val="0"/>
        </w:rPr>
        <w:footnoteReference w:id="61"/>
      </w:r>
      <w:r>
        <w:rPr>
          <w:rtl w:val="0"/>
        </w:rPr>
        <w:t xml:space="preserve"> But one consequence of the decades-long interval between Lobel and Coles</w:t>
      </w:r>
      <w:r>
        <w:rPr>
          <w:rtl w:val="0"/>
        </w:rPr>
        <w:t xml:space="preserve">’ </w:t>
      </w:r>
      <w:r>
        <w:rPr>
          <w:rtl w:val="0"/>
        </w:rPr>
        <w:t>work is that the sorting of papyri by size into alphabetic series breaks down: Hunt</w:t>
      </w:r>
      <w:r>
        <w:rPr>
          <w:rtl w:val="0"/>
        </w:rPr>
        <w:t>’</w:t>
      </w:r>
      <w:r>
        <w:rPr>
          <w:rtl w:val="0"/>
        </w:rPr>
        <w:t xml:space="preserve">s papyri belong overwhelmingly to the </w:t>
      </w:r>
      <w:r>
        <w:rPr>
          <w:rStyle w:val="page number"/>
          <w:b w:val="1"/>
          <w:bCs w:val="1"/>
          <w:rtl w:val="0"/>
        </w:rPr>
        <w:t xml:space="preserve">c </w:t>
      </w:r>
      <w:r>
        <w:rPr>
          <w:rtl w:val="0"/>
        </w:rPr>
        <w:t>series, occupying much of the range MS Gr. class. c 103</w:t>
      </w:r>
      <w:r>
        <w:rPr>
          <w:rtl w:val="0"/>
        </w:rPr>
        <w:t>–</w:t>
      </w:r>
      <w:r>
        <w:rPr>
          <w:rtl w:val="0"/>
        </w:rPr>
        <w:t>538 (P).</w:t>
      </w:r>
      <w:r>
        <w:rPr>
          <w:rStyle w:val="footnote reference"/>
          <w:rFonts w:ascii="Times New Roman" w:cs="Times New Roman" w:hAnsi="Times New Roman" w:eastAsia="Times New Roman"/>
          <w:b w:val="0"/>
          <w:bCs w:val="0"/>
          <w:i w:val="0"/>
          <w:iCs w:val="0"/>
        </w:rPr>
        <w:footnoteReference w:id="62"/>
      </w:r>
      <w:r>
        <w:rPr>
          <w:rtl w:val="0"/>
          <w:lang w:val="da-DK"/>
        </w:rPr>
        <w:t xml:space="preserve"> Salomons</w:t>
      </w:r>
      <w:r>
        <w:rPr>
          <w:rtl w:val="0"/>
        </w:rPr>
        <w:t xml:space="preserve">’ </w:t>
      </w:r>
      <w:r>
        <w:rPr>
          <w:rtl w:val="0"/>
        </w:rPr>
        <w:t xml:space="preserve">catalogue, which extends only to MS Gr. class. c 300 (P), leaves scores of these unremarked upon (not to mention the non-Hunt items belonging to the </w:t>
      </w:r>
      <w:r>
        <w:rPr>
          <w:rStyle w:val="page number"/>
          <w:b w:val="1"/>
          <w:bCs w:val="1"/>
          <w:rtl w:val="0"/>
        </w:rPr>
        <w:t>d</w:t>
      </w:r>
      <w:r>
        <w:rPr>
          <w:rtl w:val="0"/>
        </w:rPr>
        <w:t xml:space="preserve">, </w:t>
      </w:r>
      <w:r>
        <w:rPr>
          <w:rStyle w:val="page number"/>
          <w:b w:val="1"/>
          <w:bCs w:val="1"/>
          <w:rtl w:val="0"/>
        </w:rPr>
        <w:t>e</w:t>
      </w:r>
      <w:r>
        <w:rPr>
          <w:rtl w:val="0"/>
        </w:rPr>
        <w:t xml:space="preserve">, </w:t>
      </w:r>
      <w:r>
        <w:rPr>
          <w:rStyle w:val="page number"/>
          <w:b w:val="1"/>
          <w:bCs w:val="1"/>
          <w:rtl w:val="0"/>
        </w:rPr>
        <w:t>f</w:t>
      </w:r>
      <w:r>
        <w:rPr>
          <w:rtl w:val="0"/>
        </w:rPr>
        <w:t xml:space="preserve">, and </w:t>
      </w:r>
      <w:r>
        <w:rPr>
          <w:rStyle w:val="page number"/>
          <w:b w:val="1"/>
          <w:bCs w:val="1"/>
          <w:rtl w:val="0"/>
        </w:rPr>
        <w:t>g</w:t>
      </w:r>
      <w:r>
        <w:rPr>
          <w:rtl w:val="0"/>
        </w:rPr>
        <w:t xml:space="preserve"> series). There remains much yet to do in the Bodleian in terms of both conservation and basic papyrological research. MS Gr. class. c 301</w:t>
      </w:r>
      <w:r>
        <w:rPr>
          <w:rtl w:val="0"/>
        </w:rPr>
        <w:t>–</w:t>
      </w:r>
      <w:r>
        <w:rPr>
          <w:rtl w:val="0"/>
        </w:rPr>
        <w:t>538 (P), in particular, are for the most part later documents and accounts; Coles</w:t>
      </w:r>
      <w:r>
        <w:rPr>
          <w:rtl w:val="0"/>
        </w:rPr>
        <w:t xml:space="preserve">’ </w:t>
      </w:r>
      <w:r>
        <w:rPr>
          <w:rtl w:val="0"/>
        </w:rPr>
        <w:t>inventory frequently notes that these are Byzantine in date, and there is also a good number of Coptic and Arabic pieces. Since they are for the most part stored loosely in folders, these will require special handling and a larger-scale investigation.</w:t>
      </w:r>
    </w:p>
    <w:p>
      <w:pPr>
        <w:pStyle w:val="Text"/>
        <w:spacing w:line="240" w:lineRule="auto"/>
        <w:ind w:firstLine="0"/>
      </w:pPr>
      <w:r>
        <w:rPr>
          <w:rStyle w:val="page number"/>
          <w:color w:val="d9d9d9"/>
          <w:u w:color="d9d9d9"/>
          <w:rtl w:val="0"/>
          <w:lang w:val="en-US"/>
        </w:rPr>
        <w:t>#articleHeader</w:t>
      </w:r>
    </w:p>
    <w:p>
      <w:pPr>
        <w:pStyle w:val="Text"/>
        <w:ind w:firstLine="0"/>
      </w:pPr>
      <w:r>
        <w:rPr>
          <w:rStyle w:val="page number"/>
          <w:b w:val="1"/>
          <w:bCs w:val="1"/>
          <w:rtl w:val="0"/>
          <w:lang w:val="en-US"/>
        </w:rPr>
        <w:t>Table 1: Catalogue of Hogarth Papyri</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64"/>
        <w:gridCol w:w="1352"/>
        <w:gridCol w:w="1760"/>
        <w:gridCol w:w="5374"/>
      </w:tblGrid>
      <w:tr>
        <w:tblPrEx>
          <w:shd w:val="clear" w:color="auto" w:fill="cdd4e9"/>
        </w:tblPrEx>
        <w:trPr>
          <w:trHeight w:val="300"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jc w:val="center"/>
            </w:pPr>
            <w:r>
              <w:rPr>
                <w:rStyle w:val="page number"/>
                <w:b w:val="1"/>
                <w:bCs w:val="1"/>
                <w:rtl w:val="0"/>
                <w:lang w:val="en-US"/>
              </w:rPr>
              <w:t>TM</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jc w:val="center"/>
            </w:pPr>
            <w:r>
              <w:rPr>
                <w:rStyle w:val="page number"/>
                <w:b w:val="1"/>
                <w:bCs w:val="1"/>
                <w:sz w:val="20"/>
                <w:szCs w:val="20"/>
                <w:rtl w:val="0"/>
                <w:lang w:val="en-US"/>
              </w:rPr>
              <w:t>Publication</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jc w:val="center"/>
            </w:pPr>
            <w:r>
              <w:rPr>
                <w:rStyle w:val="page number"/>
                <w:b w:val="1"/>
                <w:bCs w:val="1"/>
                <w:sz w:val="20"/>
                <w:szCs w:val="20"/>
                <w:rtl w:val="0"/>
                <w:lang w:val="en-US"/>
              </w:rPr>
              <w:t>Inventory</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jc w:val="center"/>
            </w:pPr>
            <w:r>
              <w:rPr>
                <w:rStyle w:val="page number"/>
                <w:b w:val="1"/>
                <w:bCs w:val="1"/>
                <w:sz w:val="20"/>
                <w:szCs w:val="20"/>
                <w:rtl w:val="0"/>
                <w:lang w:val="en-US"/>
              </w:rPr>
              <w:t>Acquisition</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"https://papyri.info/hgv/78476"</w:instrText>
            </w:r>
            <w:r>
              <w:rPr>
                <w:rStyle w:val="Hyperlink.2"/>
                <w:sz w:val="20"/>
                <w:szCs w:val="20"/>
              </w:rPr>
              <w:fldChar w:fldCharType="separate" w:fldLock="0"/>
            </w:r>
            <w:r>
              <w:rPr>
                <w:rStyle w:val="Hyperlink.2"/>
                <w:sz w:val="20"/>
                <w:szCs w:val="20"/>
                <w:rtl w:val="0"/>
                <w:lang w:val="en-US"/>
              </w:rPr>
              <w:t>TM 78476</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P.Lond. 3 p. XXIV no. 664 Ro.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664 recto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271</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P.Lond. 3 p. XXIV no. 664 Vo.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664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"https://papyri.info/hgv/272"</w:instrText>
            </w:r>
            <w:r>
              <w:rPr>
                <w:rStyle w:val="Hyperlink.2"/>
                <w:sz w:val="20"/>
                <w:szCs w:val="20"/>
              </w:rPr>
              <w:fldChar w:fldCharType="separate" w:fldLock="0"/>
            </w:r>
            <w:r>
              <w:rPr>
                <w:rStyle w:val="Hyperlink.2"/>
                <w:sz w:val="20"/>
                <w:szCs w:val="20"/>
                <w:rtl w:val="0"/>
                <w:lang w:val="en-US"/>
              </w:rPr>
              <w:t>TM 272</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P.Lond. 3 p. XXIV no. 665 Ro.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665 recto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58144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P.Lond. 3 p. XXIV no. 665 Vo.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665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275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P.Lond. 3 p. XXV no. 681 a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681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614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P.Lond. 3 p. XXV no. 681 b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681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615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P.Lond. 3 p. XXV no. 681 c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 xml:space="preserve">BL Papyrus 681c </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616</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P.Lond. 3 p. XXV no. 681 d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681 d</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"https://papyri.info/hgv/116"</w:instrText>
            </w:r>
            <w:r>
              <w:rPr>
                <w:rStyle w:val="Hyperlink.2"/>
                <w:sz w:val="20"/>
                <w:szCs w:val="20"/>
              </w:rPr>
              <w:fldChar w:fldCharType="separate" w:fldLock="0"/>
            </w:r>
            <w:r>
              <w:rPr>
                <w:rStyle w:val="Hyperlink.2"/>
                <w:sz w:val="20"/>
                <w:szCs w:val="20"/>
                <w:rtl w:val="0"/>
                <w:lang w:val="en-US"/>
              </w:rPr>
              <w:t>TM 116</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P.Lond. 3 p. 14</w:t>
            </w:r>
            <w:r>
              <w:rPr>
                <w:rStyle w:val="page number"/>
                <w:sz w:val="20"/>
                <w:szCs w:val="20"/>
                <w:rtl w:val="0"/>
                <w:lang w:val="en-US"/>
              </w:rPr>
              <w:t>–</w:t>
            </w:r>
            <w:r>
              <w:rPr>
                <w:rStyle w:val="page number"/>
                <w:sz w:val="20"/>
                <w:szCs w:val="20"/>
                <w:rtl w:val="0"/>
                <w:lang w:val="en-US"/>
              </w:rPr>
              <w:t xml:space="preserve">15 no. 676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676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"https://papyri.info/hgv/117"</w:instrText>
            </w:r>
            <w:r>
              <w:rPr>
                <w:rStyle w:val="Hyperlink.2"/>
                <w:sz w:val="20"/>
                <w:szCs w:val="20"/>
              </w:rPr>
              <w:fldChar w:fldCharType="separate" w:fldLock="0"/>
            </w:r>
            <w:r>
              <w:rPr>
                <w:rStyle w:val="Hyperlink.2"/>
                <w:sz w:val="20"/>
                <w:szCs w:val="20"/>
                <w:rtl w:val="0"/>
                <w:lang w:val="en-US"/>
              </w:rPr>
              <w:t>TM 117</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 xml:space="preserve">P.Lond. 3 p. 18 no. 678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678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"https://papyri.info/hgv/274"</w:instrText>
            </w:r>
            <w:r>
              <w:rPr>
                <w:rStyle w:val="Hyperlink.2"/>
                <w:sz w:val="20"/>
                <w:szCs w:val="20"/>
              </w:rPr>
              <w:fldChar w:fldCharType="separate" w:fldLock="0"/>
            </w:r>
            <w:r>
              <w:rPr>
                <w:rStyle w:val="Hyperlink.2"/>
                <w:sz w:val="20"/>
                <w:szCs w:val="20"/>
                <w:rtl w:val="0"/>
                <w:lang w:val="en-US"/>
              </w:rPr>
              <w:t>TM 274</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15; P.Lond. 3 p. XXIV no. 667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"https://papyri.info/hgv/59"</w:instrText>
            </w:r>
            <w:r>
              <w:rPr>
                <w:rStyle w:val="Hyperlink.2"/>
                <w:sz w:val="20"/>
                <w:szCs w:val="20"/>
              </w:rPr>
              <w:fldChar w:fldCharType="separate" w:fldLock="0"/>
            </w:r>
            <w:r>
              <w:rPr>
                <w:rStyle w:val="Hyperlink.2"/>
                <w:sz w:val="20"/>
                <w:szCs w:val="20"/>
                <w:rtl w:val="0"/>
                <w:lang w:val="en-US"/>
              </w:rPr>
              <w:t>TM 59</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16; P.Lond. 3 p. XXIII no. 654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654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"https://papyri.info/hgv/60"</w:instrText>
            </w:r>
            <w:r>
              <w:rPr>
                <w:rStyle w:val="Hyperlink.2"/>
                <w:sz w:val="20"/>
                <w:szCs w:val="20"/>
              </w:rPr>
              <w:fldChar w:fldCharType="separate" w:fldLock="0"/>
            </w:r>
            <w:r>
              <w:rPr>
                <w:rStyle w:val="Hyperlink.2"/>
                <w:sz w:val="20"/>
                <w:szCs w:val="20"/>
                <w:rtl w:val="0"/>
                <w:lang w:val="en-US"/>
              </w:rPr>
              <w:t>TM 60</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17; P.Lond. 3 p. XXIV no. 668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"https://papyri.info/hgv/61"</w:instrText>
            </w:r>
            <w:r>
              <w:rPr>
                <w:rStyle w:val="Hyperlink.2"/>
                <w:sz w:val="20"/>
                <w:szCs w:val="20"/>
              </w:rPr>
              <w:fldChar w:fldCharType="separate" w:fldLock="0"/>
            </w:r>
            <w:r>
              <w:rPr>
                <w:rStyle w:val="Hyperlink.2"/>
                <w:sz w:val="20"/>
                <w:szCs w:val="20"/>
                <w:rtl w:val="0"/>
                <w:lang w:val="en-US"/>
              </w:rPr>
              <w:t>TM 61</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18; P.Lond. 3 p. XXIII no. 655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655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"https://papyri.info/hgv/238"</w:instrText>
            </w:r>
            <w:r>
              <w:rPr>
                <w:rStyle w:val="Hyperlink.2"/>
                <w:sz w:val="20"/>
                <w:szCs w:val="20"/>
              </w:rPr>
              <w:fldChar w:fldCharType="separate" w:fldLock="0"/>
            </w:r>
            <w:r>
              <w:rPr>
                <w:rStyle w:val="Hyperlink.2"/>
                <w:sz w:val="20"/>
                <w:szCs w:val="20"/>
                <w:rtl w:val="0"/>
                <w:lang w:val="en-US"/>
              </w:rPr>
              <w:t>TM 238</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19; P.Lond. 3 p. XXIV no. 669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"https://papyri.info/hgv/237"</w:instrText>
            </w:r>
            <w:r>
              <w:rPr>
                <w:rStyle w:val="Hyperlink.2"/>
                <w:sz w:val="20"/>
                <w:szCs w:val="20"/>
              </w:rPr>
              <w:fldChar w:fldCharType="separate" w:fldLock="0"/>
            </w:r>
            <w:r>
              <w:rPr>
                <w:rStyle w:val="Hyperlink.2"/>
                <w:sz w:val="20"/>
                <w:szCs w:val="20"/>
                <w:rtl w:val="0"/>
                <w:lang w:val="en-US"/>
              </w:rPr>
              <w:t>TM 237</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20; P.Lond. 3 p. XXIV no. 670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670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"https://papyri.info/hgv/218"</w:instrText>
            </w:r>
            <w:r>
              <w:rPr>
                <w:rStyle w:val="Hyperlink.2"/>
                <w:sz w:val="20"/>
                <w:szCs w:val="20"/>
              </w:rPr>
              <w:fldChar w:fldCharType="separate" w:fldLock="0"/>
            </w:r>
            <w:r>
              <w:rPr>
                <w:rStyle w:val="Hyperlink.2"/>
                <w:sz w:val="20"/>
                <w:szCs w:val="20"/>
                <w:rtl w:val="0"/>
                <w:lang w:val="en-US"/>
              </w:rPr>
              <w:t>TM 218</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21; P.Lond. 3 p. XXIV no. 671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671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"https://papyri.info/hgv/231"</w:instrText>
            </w:r>
            <w:r>
              <w:rPr>
                <w:rStyle w:val="Hyperlink.2"/>
                <w:sz w:val="20"/>
                <w:szCs w:val="20"/>
              </w:rPr>
              <w:fldChar w:fldCharType="separate" w:fldLock="0"/>
            </w:r>
            <w:r>
              <w:rPr>
                <w:rStyle w:val="Hyperlink.2"/>
                <w:sz w:val="20"/>
                <w:szCs w:val="20"/>
                <w:rtl w:val="0"/>
                <w:lang w:val="en-US"/>
              </w:rPr>
              <w:t>TM 231</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22; P.Lond. 3 p. XXIV no. 672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672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"https://papyri.info/hgv/270"</w:instrText>
            </w:r>
            <w:r>
              <w:rPr>
                <w:rStyle w:val="Hyperlink.2"/>
                <w:sz w:val="20"/>
                <w:szCs w:val="20"/>
              </w:rPr>
              <w:fldChar w:fldCharType="separate" w:fldLock="0"/>
            </w:r>
            <w:r>
              <w:rPr>
                <w:rStyle w:val="Hyperlink.2"/>
                <w:sz w:val="20"/>
                <w:szCs w:val="20"/>
                <w:rtl w:val="0"/>
                <w:lang w:val="en-US"/>
              </w:rPr>
              <w:t>TM 270</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23; P.Lond. 3 p. XXIII no. 656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656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"https://papyri.info/hgv/67"</w:instrText>
            </w:r>
            <w:r>
              <w:rPr>
                <w:rStyle w:val="Hyperlink.2"/>
                <w:sz w:val="20"/>
                <w:szCs w:val="20"/>
              </w:rPr>
              <w:fldChar w:fldCharType="separate" w:fldLock="0"/>
            </w:r>
            <w:r>
              <w:rPr>
                <w:rStyle w:val="Hyperlink.2"/>
                <w:sz w:val="20"/>
                <w:szCs w:val="20"/>
                <w:rtl w:val="0"/>
                <w:lang w:val="en-US"/>
              </w:rPr>
              <w:t>TM 67</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23a; P.Lond. 3 p. XXIII no. 657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657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"https://papyri.info/hgv/68"</w:instrText>
            </w:r>
            <w:r>
              <w:rPr>
                <w:rStyle w:val="Hyperlink.2"/>
                <w:sz w:val="20"/>
                <w:szCs w:val="20"/>
              </w:rPr>
              <w:fldChar w:fldCharType="separate" w:fldLock="0"/>
            </w:r>
            <w:r>
              <w:rPr>
                <w:rStyle w:val="Hyperlink.2"/>
                <w:sz w:val="20"/>
                <w:szCs w:val="20"/>
                <w:rtl w:val="0"/>
                <w:lang w:val="en-US"/>
              </w:rPr>
              <w:t>TM 68</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24; P.Lond. 3 p. XXIII no. 658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658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"https://papyri.info/hgv/69"</w:instrText>
            </w:r>
            <w:r>
              <w:rPr>
                <w:rStyle w:val="Hyperlink.2"/>
                <w:sz w:val="20"/>
                <w:szCs w:val="20"/>
              </w:rPr>
              <w:fldChar w:fldCharType="separate" w:fldLock="0"/>
            </w:r>
            <w:r>
              <w:rPr>
                <w:rStyle w:val="Hyperlink.2"/>
                <w:sz w:val="20"/>
                <w:szCs w:val="20"/>
                <w:rtl w:val="0"/>
                <w:lang w:val="en-US"/>
              </w:rPr>
              <w:t>TM 69</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25; P.Lond. 3 p. XXIII no. 659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659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"https://papyri.info/hgv/70"</w:instrText>
            </w:r>
            <w:r>
              <w:rPr>
                <w:rStyle w:val="Hyperlink.2"/>
                <w:sz w:val="20"/>
                <w:szCs w:val="20"/>
              </w:rPr>
              <w:fldChar w:fldCharType="separate" w:fldLock="0"/>
            </w:r>
            <w:r>
              <w:rPr>
                <w:rStyle w:val="Hyperlink.2"/>
                <w:sz w:val="20"/>
                <w:szCs w:val="20"/>
                <w:rtl w:val="0"/>
                <w:lang w:val="en-US"/>
              </w:rPr>
              <w:t>TM 70</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26; P.Lond. 3 p. XXIII no. 660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"https://papyri.info/hgv/71"</w:instrText>
            </w:r>
            <w:r>
              <w:rPr>
                <w:rStyle w:val="Hyperlink.2"/>
                <w:sz w:val="20"/>
                <w:szCs w:val="20"/>
              </w:rPr>
              <w:fldChar w:fldCharType="separate" w:fldLock="0"/>
            </w:r>
            <w:r>
              <w:rPr>
                <w:rStyle w:val="Hyperlink.2"/>
                <w:sz w:val="20"/>
                <w:szCs w:val="20"/>
                <w:rtl w:val="0"/>
                <w:lang w:val="en-US"/>
              </w:rPr>
              <w:t>TM 71</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27; P.Lond. 3 p. XXIII no. 661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"https://papyri.info/hgv/72"</w:instrText>
            </w:r>
            <w:r>
              <w:rPr>
                <w:rStyle w:val="Hyperlink.2"/>
                <w:sz w:val="20"/>
                <w:szCs w:val="20"/>
              </w:rPr>
              <w:fldChar w:fldCharType="separate" w:fldLock="0"/>
            </w:r>
            <w:r>
              <w:rPr>
                <w:rStyle w:val="Hyperlink.2"/>
                <w:sz w:val="20"/>
                <w:szCs w:val="20"/>
                <w:rtl w:val="0"/>
                <w:lang w:val="en-US"/>
              </w:rPr>
              <w:t>TM 72</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28; P.Lond. 3 p. XXIV no. 662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"https://papyri.info/hgv/73"</w:instrText>
            </w:r>
            <w:r>
              <w:rPr>
                <w:rStyle w:val="Hyperlink.2"/>
                <w:sz w:val="20"/>
                <w:szCs w:val="20"/>
              </w:rPr>
              <w:fldChar w:fldCharType="separate" w:fldLock="0"/>
            </w:r>
            <w:r>
              <w:rPr>
                <w:rStyle w:val="Hyperlink.2"/>
                <w:sz w:val="20"/>
                <w:szCs w:val="20"/>
                <w:rtl w:val="0"/>
                <w:lang w:val="en-US"/>
              </w:rPr>
              <w:t>TM 73</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29; P.Lond. 3 p. XXV no. 674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674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"https://papyri.info/hgv/74"</w:instrText>
            </w:r>
            <w:r>
              <w:rPr>
                <w:rStyle w:val="Hyperlink.2"/>
                <w:sz w:val="20"/>
                <w:szCs w:val="20"/>
              </w:rPr>
              <w:fldChar w:fldCharType="separate" w:fldLock="0"/>
            </w:r>
            <w:r>
              <w:rPr>
                <w:rStyle w:val="Hyperlink.2"/>
                <w:sz w:val="20"/>
                <w:szCs w:val="20"/>
                <w:rtl w:val="0"/>
                <w:lang w:val="en-US"/>
              </w:rPr>
              <w:t>TM 74</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30; P.Lond. 3 p. XXIV no. 663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"https://papyri.info/hgv/75"</w:instrText>
            </w:r>
            <w:r>
              <w:rPr>
                <w:rStyle w:val="Hyperlink.2"/>
                <w:sz w:val="20"/>
                <w:szCs w:val="20"/>
              </w:rPr>
              <w:fldChar w:fldCharType="separate" w:fldLock="0"/>
            </w:r>
            <w:r>
              <w:rPr>
                <w:rStyle w:val="Hyperlink.2"/>
                <w:sz w:val="20"/>
                <w:szCs w:val="20"/>
                <w:rtl w:val="0"/>
                <w:lang w:val="en-US"/>
              </w:rPr>
              <w:t>TM 75</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31; P.Lond. 3 p. XXIV no. 673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673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"https://papyri.info/hgv/236"</w:instrText>
            </w:r>
            <w:r>
              <w:rPr>
                <w:rStyle w:val="Hyperlink.2"/>
                <w:sz w:val="20"/>
                <w:szCs w:val="20"/>
              </w:rPr>
              <w:fldChar w:fldCharType="separate" w:fldLock="0"/>
            </w:r>
            <w:r>
              <w:rPr>
                <w:rStyle w:val="Hyperlink.2"/>
                <w:sz w:val="20"/>
                <w:szCs w:val="20"/>
                <w:rtl w:val="0"/>
                <w:lang w:val="en-US"/>
              </w:rPr>
              <w:t>TM 236</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32; P.Lond. 3 p. XXV no. 675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675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"https://papyri.info/hgv/114"</w:instrText>
            </w:r>
            <w:r>
              <w:rPr>
                <w:rStyle w:val="Hyperlink.2"/>
                <w:sz w:val="20"/>
                <w:szCs w:val="20"/>
              </w:rPr>
              <w:fldChar w:fldCharType="separate" w:fldLock="0"/>
            </w:r>
            <w:r>
              <w:rPr>
                <w:rStyle w:val="Hyperlink.2"/>
                <w:sz w:val="20"/>
                <w:szCs w:val="20"/>
                <w:rtl w:val="0"/>
                <w:lang w:val="en-US"/>
              </w:rPr>
              <w:t>TM 114</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33; P.Lond. 3 p. XXV no. 677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677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62</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10491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63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10492</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313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10493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314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10494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621</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10495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315</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10496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350</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10497</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622</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10498</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623</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10499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45854</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P.Brit.Mus. 10500</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10500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316</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10501</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317</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10502 + 10503</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"https://papyri.info/hgv/1478"</w:instrText>
            </w:r>
            <w:r>
              <w:rPr>
                <w:rStyle w:val="Hyperlink.2"/>
                <w:sz w:val="20"/>
                <w:szCs w:val="20"/>
              </w:rPr>
              <w:fldChar w:fldCharType="separate" w:fldLock="0"/>
            </w:r>
            <w:r>
              <w:rPr>
                <w:rStyle w:val="Hyperlink.2"/>
                <w:sz w:val="20"/>
                <w:szCs w:val="20"/>
                <w:rtl w:val="0"/>
                <w:lang w:val="en-US"/>
              </w:rPr>
              <w:t>TM 1478</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34</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10504</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15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TM 319</w:t>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BM EA 10505</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The Group of demotic papyri no.10491</w:t>
            </w:r>
            <w:r>
              <w:rPr>
                <w:rStyle w:val="page number"/>
                <w:sz w:val="20"/>
                <w:szCs w:val="20"/>
                <w:rtl w:val="0"/>
                <w:lang w:val="en-US"/>
              </w:rPr>
              <w:t>–</w:t>
            </w:r>
            <w:r>
              <w:rPr>
                <w:rStyle w:val="page number"/>
                <w:sz w:val="20"/>
                <w:szCs w:val="20"/>
                <w:rtl w:val="0"/>
                <w:lang w:val="en-US"/>
              </w:rPr>
              <w:t>10505 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10510-18) and in 1901 (nos. 10521, 10533</w:t>
            </w:r>
            <w:r>
              <w:rPr>
                <w:rStyle w:val="page number"/>
                <w:sz w:val="20"/>
                <w:szCs w:val="20"/>
                <w:rtl w:val="0"/>
                <w:lang w:val="en-US"/>
              </w:rPr>
              <w:t>–</w:t>
            </w:r>
            <w:r>
              <w:rPr>
                <w:rStyle w:val="page number"/>
                <w:sz w:val="20"/>
                <w:szCs w:val="20"/>
                <w:rtl w:val="0"/>
                <w:lang w:val="en-US"/>
              </w:rPr>
              <w:t>4).</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"https://papyri.info/hgv/115"</w:instrText>
            </w:r>
            <w:r>
              <w:rPr>
                <w:rStyle w:val="Hyperlink.2"/>
                <w:sz w:val="20"/>
                <w:szCs w:val="20"/>
              </w:rPr>
              <w:fldChar w:fldCharType="separate" w:fldLock="0"/>
            </w:r>
            <w:r>
              <w:rPr>
                <w:rStyle w:val="Hyperlink.2"/>
                <w:sz w:val="20"/>
                <w:szCs w:val="20"/>
                <w:rtl w:val="0"/>
                <w:lang w:val="en-US"/>
              </w:rPr>
              <w:t>TM 115</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35; P.Lond. 3 p. XXV no. 679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679</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"https://papyri.info/hgv/76"</w:instrText>
            </w:r>
            <w:r>
              <w:rPr>
                <w:rStyle w:val="Hyperlink.2"/>
                <w:sz w:val="20"/>
                <w:szCs w:val="20"/>
              </w:rPr>
              <w:fldChar w:fldCharType="separate" w:fldLock="0"/>
            </w:r>
            <w:r>
              <w:rPr>
                <w:rStyle w:val="Hyperlink.2"/>
                <w:sz w:val="20"/>
                <w:szCs w:val="20"/>
                <w:rtl w:val="0"/>
                <w:lang w:val="en-US"/>
              </w:rPr>
              <w:t>TM 76</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36; P.Lond. 3 p. XXV no. 680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680</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Purchased as part of a lot comprising Papyri 667-681 from David George Hogarth (b. 1862, d. 1927) on 25 July 1896.</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"https://papyri.info/hgv/273"</w:instrText>
            </w:r>
            <w:r>
              <w:rPr>
                <w:rStyle w:val="Hyperlink.2"/>
                <w:sz w:val="20"/>
                <w:szCs w:val="20"/>
              </w:rPr>
              <w:fldChar w:fldCharType="separate" w:fldLock="0"/>
            </w:r>
            <w:r>
              <w:rPr>
                <w:rStyle w:val="Hyperlink.2"/>
                <w:sz w:val="20"/>
                <w:szCs w:val="20"/>
                <w:rtl w:val="0"/>
                <w:lang w:val="en-US"/>
              </w:rPr>
              <w:t>TM 273</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37; P.Lond. 3 p. XXIV no. 666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BL Papyrus 666</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Presented as part of a lot comprising Papyri 654-666 by Edwyn Robert Bevan (b. 1870, d. 1943) in July 1896.</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"https://papyri.info/hgv/11360"</w:instrText>
            </w:r>
            <w:r>
              <w:rPr>
                <w:rStyle w:val="Hyperlink.2"/>
                <w:sz w:val="20"/>
                <w:szCs w:val="20"/>
              </w:rPr>
              <w:fldChar w:fldCharType="separate" w:fldLock="0"/>
            </w:r>
            <w:r>
              <w:rPr>
                <w:rStyle w:val="Hyperlink.2"/>
                <w:sz w:val="20"/>
                <w:szCs w:val="20"/>
                <w:rtl w:val="0"/>
                <w:lang w:val="en-US"/>
              </w:rPr>
              <w:t>TM 11360</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 xml:space="preserve">P.Grenf. 2 57; </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Bodleian MS Gr. class. e. 130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"https://papyri.info/ddbdp/p.grenf;2;79coli"</w:instrText>
            </w:r>
            <w:r>
              <w:rPr>
                <w:rStyle w:val="Hyperlink.2"/>
                <w:sz w:val="20"/>
                <w:szCs w:val="20"/>
              </w:rPr>
              <w:fldChar w:fldCharType="separate" w:fldLock="0"/>
            </w:r>
            <w:r>
              <w:rPr>
                <w:rStyle w:val="Hyperlink.2"/>
                <w:sz w:val="20"/>
                <w:szCs w:val="20"/>
                <w:rtl w:val="0"/>
                <w:lang w:val="en-US"/>
              </w:rPr>
              <w:t>TM 11367</w:t>
            </w:r>
            <w:r>
              <w:rPr>
                <w:sz w:val="20"/>
                <w:szCs w:val="20"/>
              </w:rPr>
              <w:fldChar w:fldCharType="end" w:fldLock="0"/>
            </w:r>
            <w:r>
              <w:rPr>
                <w:rStyle w:val="page number"/>
                <w:sz w:val="20"/>
                <w:szCs w:val="20"/>
                <w:rtl w:val="0"/>
                <w:lang w:val="en-US"/>
              </w:rPr>
              <w:t xml:space="preserve"> /</w:t>
            </w:r>
            <w:r>
              <w:rPr>
                <w:rStyle w:val="Hyperlink.2"/>
                <w:sz w:val="20"/>
                <w:szCs w:val="20"/>
                <w:rtl w:val="0"/>
                <w:lang w:val="en-US"/>
              </w:rPr>
              <w:t xml:space="preserve"> </w:t>
            </w:r>
            <w:r>
              <w:rPr>
                <w:rStyle w:val="Hyperlink.2"/>
                <w:sz w:val="20"/>
                <w:szCs w:val="20"/>
              </w:rPr>
              <w:fldChar w:fldCharType="begin" w:fldLock="0"/>
            </w:r>
            <w:r>
              <w:rPr>
                <w:rStyle w:val="Hyperlink.2"/>
                <w:sz w:val="20"/>
                <w:szCs w:val="20"/>
              </w:rPr>
              <w:instrText xml:space="preserve"> HYPERLINK "https://papyri.info/hgv/14121"</w:instrText>
            </w:r>
            <w:r>
              <w:rPr>
                <w:rStyle w:val="Hyperlink.2"/>
                <w:sz w:val="20"/>
                <w:szCs w:val="20"/>
              </w:rPr>
              <w:fldChar w:fldCharType="separate" w:fldLock="0"/>
            </w:r>
            <w:r>
              <w:rPr>
                <w:rStyle w:val="Hyperlink.2"/>
                <w:sz w:val="20"/>
                <w:szCs w:val="20"/>
                <w:rtl w:val="0"/>
                <w:lang w:val="en-US"/>
              </w:rPr>
              <w:t>TM 14121</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P.Grenf. 2 79 / SB 6 9192</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Bodleian MS Gr. class. d. 143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"https://papyri.info/hgv/31921"</w:instrText>
            </w:r>
            <w:r>
              <w:rPr>
                <w:rStyle w:val="Hyperlink.2"/>
                <w:sz w:val="20"/>
                <w:szCs w:val="20"/>
              </w:rPr>
              <w:fldChar w:fldCharType="separate" w:fldLock="0"/>
            </w:r>
            <w:r>
              <w:rPr>
                <w:rStyle w:val="Hyperlink.2"/>
                <w:sz w:val="20"/>
                <w:szCs w:val="20"/>
                <w:rtl w:val="0"/>
                <w:lang w:val="en-US"/>
              </w:rPr>
              <w:t>TM 31921</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10</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93 (P)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"https://papyri.info/hgv/10265"</w:instrText>
            </w:r>
            <w:r>
              <w:rPr>
                <w:rStyle w:val="Hyperlink.2"/>
                <w:sz w:val="20"/>
                <w:szCs w:val="20"/>
              </w:rPr>
              <w:fldChar w:fldCharType="separate" w:fldLock="0"/>
            </w:r>
            <w:r>
              <w:rPr>
                <w:rStyle w:val="Hyperlink.2"/>
                <w:sz w:val="20"/>
                <w:szCs w:val="20"/>
                <w:rtl w:val="0"/>
                <w:lang w:val="en-US"/>
              </w:rPr>
              <w:t>TM 10265</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61a</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93 (P)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"https://papyri.info/hgv/41509"</w:instrText>
            </w:r>
            <w:r>
              <w:rPr>
                <w:rStyle w:val="Hyperlink.2"/>
                <w:sz w:val="20"/>
                <w:szCs w:val="20"/>
              </w:rPr>
              <w:fldChar w:fldCharType="separate" w:fldLock="0"/>
            </w:r>
            <w:r>
              <w:rPr>
                <w:rStyle w:val="Hyperlink.2"/>
                <w:sz w:val="20"/>
                <w:szCs w:val="20"/>
                <w:rtl w:val="0"/>
                <w:lang w:val="en-US"/>
              </w:rPr>
              <w:t>TM 41509</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61b</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93 (P) (c)</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"https://papyri.info/hgv/29111"</w:instrText>
            </w:r>
            <w:r>
              <w:rPr>
                <w:rStyle w:val="Hyperlink.2"/>
                <w:sz w:val="20"/>
                <w:szCs w:val="20"/>
              </w:rPr>
              <w:fldChar w:fldCharType="separate" w:fldLock="0"/>
            </w:r>
            <w:r>
              <w:rPr>
                <w:rStyle w:val="Hyperlink.2"/>
                <w:sz w:val="20"/>
                <w:szCs w:val="20"/>
                <w:rtl w:val="0"/>
                <w:lang w:val="en-US"/>
              </w:rPr>
              <w:t>TM 29111</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61b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93 (P) (c)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"https://papyri.info/hgv/29112"</w:instrText>
            </w:r>
            <w:r>
              <w:rPr>
                <w:rStyle w:val="Hyperlink.2"/>
                <w:sz w:val="20"/>
                <w:szCs w:val="20"/>
              </w:rPr>
              <w:fldChar w:fldCharType="separate" w:fldLock="0"/>
            </w:r>
            <w:r>
              <w:rPr>
                <w:rStyle w:val="Hyperlink.2"/>
                <w:sz w:val="20"/>
                <w:szCs w:val="20"/>
                <w:rtl w:val="0"/>
                <w:lang w:val="en-US"/>
              </w:rPr>
              <w:t>TM 29112</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61c</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93 (P) (d)</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"https://papyri.info/hgv/29113"</w:instrText>
            </w:r>
            <w:r>
              <w:rPr>
                <w:rStyle w:val="Hyperlink.2"/>
                <w:sz w:val="20"/>
                <w:szCs w:val="20"/>
              </w:rPr>
              <w:fldChar w:fldCharType="separate" w:fldLock="0"/>
            </w:r>
            <w:r>
              <w:rPr>
                <w:rStyle w:val="Hyperlink.2"/>
                <w:sz w:val="20"/>
                <w:szCs w:val="20"/>
                <w:rtl w:val="0"/>
                <w:lang w:val="en-US"/>
              </w:rPr>
              <w:t>TM 29113</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61d</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93 (P) (e)</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"https://papyri.info/hgv/29114"</w:instrText>
            </w:r>
            <w:r>
              <w:rPr>
                <w:rStyle w:val="Hyperlink.2"/>
                <w:sz w:val="20"/>
                <w:szCs w:val="20"/>
              </w:rPr>
              <w:fldChar w:fldCharType="separate" w:fldLock="0"/>
            </w:r>
            <w:r>
              <w:rPr>
                <w:rStyle w:val="Hyperlink.2"/>
                <w:sz w:val="20"/>
                <w:szCs w:val="20"/>
                <w:rtl w:val="0"/>
                <w:lang w:val="en-US"/>
              </w:rPr>
              <w:t>TM 29114</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61e</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93 (P) (f)</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"https://papyri.info/hgv/29115"</w:instrText>
            </w:r>
            <w:r>
              <w:rPr>
                <w:rStyle w:val="Hyperlink.2"/>
                <w:sz w:val="20"/>
                <w:szCs w:val="20"/>
              </w:rPr>
              <w:fldChar w:fldCharType="separate" w:fldLock="0"/>
            </w:r>
            <w:r>
              <w:rPr>
                <w:rStyle w:val="Hyperlink.2"/>
                <w:sz w:val="20"/>
                <w:szCs w:val="20"/>
                <w:rtl w:val="0"/>
                <w:lang w:val="en-US"/>
              </w:rPr>
              <w:t>TM 29115</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de-DE"/>
              </w:rPr>
              <w:t>P.Bodl. 1 61e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93 (P) (f)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"https://papyri.info/hgv/10266"</w:instrText>
            </w:r>
            <w:r>
              <w:rPr>
                <w:rStyle w:val="Hyperlink.2"/>
                <w:sz w:val="20"/>
                <w:szCs w:val="20"/>
              </w:rPr>
              <w:fldChar w:fldCharType="separate" w:fldLock="0"/>
            </w:r>
            <w:r>
              <w:rPr>
                <w:rStyle w:val="Hyperlink.2"/>
                <w:sz w:val="20"/>
                <w:szCs w:val="20"/>
                <w:rtl w:val="0"/>
                <w:lang w:val="en-US"/>
              </w:rPr>
              <w:t>TM 10266</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61f</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93 (P) (g)</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"https://papyri.info/hgv/10267"</w:instrText>
            </w:r>
            <w:r>
              <w:rPr>
                <w:rStyle w:val="Hyperlink.2"/>
                <w:sz w:val="20"/>
                <w:szCs w:val="20"/>
              </w:rPr>
              <w:fldChar w:fldCharType="separate" w:fldLock="0"/>
            </w:r>
            <w:r>
              <w:rPr>
                <w:rStyle w:val="Hyperlink.2"/>
                <w:sz w:val="20"/>
                <w:szCs w:val="20"/>
                <w:rtl w:val="0"/>
                <w:lang w:val="en-US"/>
              </w:rPr>
              <w:t>TM 10267</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61f verso</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93 (P) (g)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"https://papyri.info/hgv/29116"</w:instrText>
            </w:r>
            <w:r>
              <w:rPr>
                <w:rStyle w:val="Hyperlink.2"/>
                <w:sz w:val="20"/>
                <w:szCs w:val="20"/>
              </w:rPr>
              <w:fldChar w:fldCharType="separate" w:fldLock="0"/>
            </w:r>
            <w:r>
              <w:rPr>
                <w:rStyle w:val="Hyperlink.2"/>
                <w:sz w:val="20"/>
                <w:szCs w:val="20"/>
                <w:rtl w:val="0"/>
                <w:lang w:val="en-US"/>
              </w:rPr>
              <w:t>TM 29116</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61g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93 (P) (h)</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88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"https://papyri.info/hgv/38185"</w:instrText>
            </w:r>
            <w:r>
              <w:rPr>
                <w:rStyle w:val="Hyperlink.2"/>
                <w:sz w:val="20"/>
                <w:szCs w:val="20"/>
              </w:rPr>
              <w:fldChar w:fldCharType="separate" w:fldLock="0"/>
            </w:r>
            <w:r>
              <w:rPr>
                <w:rStyle w:val="Hyperlink.2"/>
                <w:sz w:val="20"/>
                <w:szCs w:val="20"/>
                <w:rtl w:val="0"/>
                <w:lang w:val="en-US"/>
              </w:rPr>
              <w:t>TM 38185</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[p. 330 no. MS Gr. class. c 94 (P) descr.]</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"https://papyri.info/hgv/29107"</w:instrText>
            </w:r>
            <w:r>
              <w:rPr>
                <w:rStyle w:val="Hyperlink.2"/>
                <w:sz w:val="20"/>
                <w:szCs w:val="20"/>
              </w:rPr>
              <w:fldChar w:fldCharType="separate" w:fldLock="0"/>
            </w:r>
            <w:r>
              <w:rPr>
                <w:rStyle w:val="Hyperlink.2"/>
                <w:sz w:val="20"/>
                <w:szCs w:val="20"/>
                <w:rtl w:val="0"/>
                <w:lang w:val="en-US"/>
              </w:rPr>
              <w:t>TM 29107</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P.Bodl. 1 28</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c 95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0"/>
                <w:sz w:val="20"/>
                <w:szCs w:val="20"/>
              </w:rPr>
              <w:fldChar w:fldCharType="begin" w:fldLock="0"/>
            </w:r>
            <w:r>
              <w:rPr>
                <w:rStyle w:val="Hyperlink.0"/>
                <w:sz w:val="20"/>
                <w:szCs w:val="20"/>
              </w:rPr>
              <w:instrText xml:space="preserve"> HYPERLINK "https://papyri.info/hgv/30754"</w:instrText>
            </w:r>
            <w:r>
              <w:rPr>
                <w:rStyle w:val="Hyperlink.0"/>
                <w:sz w:val="20"/>
                <w:szCs w:val="20"/>
              </w:rPr>
              <w:fldChar w:fldCharType="separate" w:fldLock="0"/>
            </w:r>
            <w:r>
              <w:rPr>
                <w:rStyle w:val="Hyperlink.0"/>
                <w:sz w:val="20"/>
                <w:szCs w:val="20"/>
                <w:rtl w:val="0"/>
              </w:rPr>
              <w:t xml:space="preserve">ΤΜ </w:t>
            </w:r>
            <w:r>
              <w:rPr>
                <w:rStyle w:val="Hyperlink.0"/>
                <w:sz w:val="20"/>
                <w:szCs w:val="20"/>
                <w:rtl w:val="0"/>
              </w:rPr>
              <w:t>30754</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SB 6 9194</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d. 147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"https://papyri.info/dclp/60997"</w:instrText>
            </w:r>
            <w:r>
              <w:rPr>
                <w:rStyle w:val="Hyperlink.2"/>
                <w:sz w:val="20"/>
                <w:szCs w:val="20"/>
              </w:rPr>
              <w:fldChar w:fldCharType="separate" w:fldLock="0"/>
            </w:r>
            <w:r>
              <w:rPr>
                <w:rStyle w:val="Hyperlink.2"/>
                <w:sz w:val="20"/>
                <w:szCs w:val="20"/>
                <w:rtl w:val="0"/>
                <w:lang w:val="en-US"/>
              </w:rPr>
              <w:t>TM 60997</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APF 49 (2003) pp. 169</w:t>
            </w:r>
            <w:r>
              <w:rPr>
                <w:rStyle w:val="page number"/>
                <w:sz w:val="20"/>
                <w:szCs w:val="20"/>
                <w:rtl w:val="0"/>
                <w:lang w:val="en-US"/>
              </w:rPr>
              <w:t>–</w:t>
            </w:r>
            <w:r>
              <w:rPr>
                <w:rStyle w:val="page number"/>
                <w:sz w:val="20"/>
                <w:szCs w:val="20"/>
                <w:rtl w:val="0"/>
                <w:lang w:val="en-US"/>
              </w:rPr>
              <w:t>171 no. 3</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e. 126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e. 127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e. 128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"https://papyri.info/hgv/17883"</w:instrText>
            </w:r>
            <w:r>
              <w:rPr>
                <w:rStyle w:val="Hyperlink.2"/>
                <w:sz w:val="20"/>
                <w:szCs w:val="20"/>
              </w:rPr>
              <w:fldChar w:fldCharType="separate" w:fldLock="0"/>
            </w:r>
            <w:r>
              <w:rPr>
                <w:rStyle w:val="Hyperlink.2"/>
                <w:sz w:val="20"/>
                <w:szCs w:val="20"/>
                <w:rtl w:val="0"/>
                <w:lang w:val="en-US"/>
              </w:rPr>
              <w:t>TM 17883</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SB 6 9270 (= 6 9191)</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e. 129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"https://papyri.info/hgv/942887"</w:instrText>
            </w:r>
            <w:r>
              <w:rPr>
                <w:rStyle w:val="Hyperlink.2"/>
                <w:sz w:val="20"/>
                <w:szCs w:val="20"/>
              </w:rPr>
              <w:fldChar w:fldCharType="separate" w:fldLock="0"/>
            </w:r>
            <w:r>
              <w:rPr>
                <w:rStyle w:val="Hyperlink.2"/>
                <w:sz w:val="20"/>
                <w:szCs w:val="20"/>
                <w:rtl w:val="0"/>
                <w:lang w:val="en-US"/>
              </w:rPr>
              <w:t>TM 942887</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ZPE 217 (2021) pp. 165</w:t>
            </w:r>
            <w:r>
              <w:rPr>
                <w:rStyle w:val="page number"/>
                <w:sz w:val="20"/>
                <w:szCs w:val="20"/>
                <w:rtl w:val="0"/>
                <w:lang w:val="en-US"/>
              </w:rPr>
              <w:t>–</w:t>
            </w:r>
            <w:r>
              <w:rPr>
                <w:rStyle w:val="page number"/>
                <w:sz w:val="20"/>
                <w:szCs w:val="20"/>
                <w:rtl w:val="0"/>
                <w:lang w:val="en-US"/>
              </w:rPr>
              <w:t>167 no. 1</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e. 131 (P) fr. A</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"https://papyri.info/hgv/942888"</w:instrText>
            </w:r>
            <w:r>
              <w:rPr>
                <w:rStyle w:val="Hyperlink.2"/>
                <w:sz w:val="20"/>
                <w:szCs w:val="20"/>
              </w:rPr>
              <w:fldChar w:fldCharType="separate" w:fldLock="0"/>
            </w:r>
            <w:r>
              <w:rPr>
                <w:rStyle w:val="Hyperlink.2"/>
                <w:sz w:val="20"/>
                <w:szCs w:val="20"/>
                <w:rtl w:val="0"/>
                <w:lang w:val="en-US"/>
              </w:rPr>
              <w:t>TM 942888</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ZPE 217 (2021) pp. 167</w:t>
            </w:r>
            <w:r>
              <w:rPr>
                <w:rStyle w:val="page number"/>
                <w:sz w:val="20"/>
                <w:szCs w:val="20"/>
                <w:rtl w:val="0"/>
                <w:lang w:val="en-US"/>
              </w:rPr>
              <w:t>–</w:t>
            </w:r>
            <w:r>
              <w:rPr>
                <w:rStyle w:val="page number"/>
                <w:sz w:val="20"/>
                <w:szCs w:val="20"/>
                <w:rtl w:val="0"/>
                <w:lang w:val="en-US"/>
              </w:rPr>
              <w:t>170 no. 2</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e. 131 (P) fr. B</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f. 103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f. 104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"https://papyri.info/hgv/17281"</w:instrText>
            </w:r>
            <w:r>
              <w:rPr>
                <w:rStyle w:val="Hyperlink.2"/>
                <w:sz w:val="20"/>
                <w:szCs w:val="20"/>
              </w:rPr>
              <w:fldChar w:fldCharType="separate" w:fldLock="0"/>
            </w:r>
            <w:r>
              <w:rPr>
                <w:rStyle w:val="Hyperlink.2"/>
                <w:sz w:val="20"/>
                <w:szCs w:val="20"/>
                <w:rtl w:val="0"/>
                <w:lang w:val="en-US"/>
              </w:rPr>
              <w:t>TM 17281</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P.Oxf. 9</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 xml:space="preserve">MS Gr. class. f. 105 (P) </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"https://papyri.info/hgv/17282"</w:instrText>
            </w:r>
            <w:r>
              <w:rPr>
                <w:rStyle w:val="Hyperlink.2"/>
                <w:sz w:val="20"/>
                <w:szCs w:val="20"/>
              </w:rPr>
              <w:fldChar w:fldCharType="separate" w:fldLock="0"/>
            </w:r>
            <w:r>
              <w:rPr>
                <w:rStyle w:val="Hyperlink.2"/>
                <w:sz w:val="20"/>
                <w:szCs w:val="20"/>
                <w:rtl w:val="0"/>
                <w:lang w:val="en-US"/>
              </w:rPr>
              <w:t>TM 17282</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P.Oxf. 19</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f. 105 (P) verso</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66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"https://papyri.info/hgv/971610"</w:instrText>
            </w:r>
            <w:r>
              <w:rPr>
                <w:rStyle w:val="Hyperlink.2"/>
                <w:sz w:val="20"/>
                <w:szCs w:val="20"/>
              </w:rPr>
              <w:fldChar w:fldCharType="separate" w:fldLock="0"/>
            </w:r>
            <w:r>
              <w:rPr>
                <w:rStyle w:val="Hyperlink.2"/>
                <w:sz w:val="20"/>
                <w:szCs w:val="20"/>
                <w:rtl w:val="0"/>
                <w:lang w:val="en-US"/>
              </w:rPr>
              <w:t>TM 971610</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BASP 58 (2021) pp. 173</w:t>
            </w:r>
            <w:r>
              <w:rPr>
                <w:rStyle w:val="page number"/>
                <w:sz w:val="20"/>
                <w:szCs w:val="20"/>
                <w:rtl w:val="0"/>
                <w:lang w:val="en-US"/>
              </w:rPr>
              <w:t>–</w:t>
            </w:r>
            <w:r>
              <w:rPr>
                <w:rStyle w:val="page number"/>
                <w:sz w:val="20"/>
                <w:szCs w:val="20"/>
                <w:rtl w:val="0"/>
                <w:lang w:val="en-US"/>
              </w:rPr>
              <w:t>175</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f. 106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"https://papyri.info/hgv/30755"</w:instrText>
            </w:r>
            <w:r>
              <w:rPr>
                <w:rStyle w:val="Hyperlink.2"/>
                <w:sz w:val="20"/>
                <w:szCs w:val="20"/>
              </w:rPr>
              <w:fldChar w:fldCharType="separate" w:fldLock="0"/>
            </w:r>
            <w:r>
              <w:rPr>
                <w:rStyle w:val="Hyperlink.2"/>
                <w:sz w:val="20"/>
                <w:szCs w:val="20"/>
                <w:rtl w:val="0"/>
                <w:lang w:val="en-US"/>
              </w:rPr>
              <w:t>TM 30755</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SB 6 9196</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f. 107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g. 73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"https://papyri.info/hgv/17868"</w:instrText>
            </w:r>
            <w:r>
              <w:rPr>
                <w:rStyle w:val="Hyperlink.2"/>
                <w:sz w:val="20"/>
                <w:szCs w:val="20"/>
              </w:rPr>
              <w:fldChar w:fldCharType="separate" w:fldLock="0"/>
            </w:r>
            <w:r>
              <w:rPr>
                <w:rStyle w:val="Hyperlink.2"/>
                <w:sz w:val="20"/>
                <w:szCs w:val="20"/>
                <w:rtl w:val="0"/>
                <w:lang w:val="en-US"/>
              </w:rPr>
              <w:t>TM 17868</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SB 6 9197</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g. 74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Hyperlink.2"/>
                <w:sz w:val="20"/>
                <w:szCs w:val="20"/>
              </w:rPr>
              <w:fldChar w:fldCharType="begin" w:fldLock="0"/>
            </w:r>
            <w:r>
              <w:rPr>
                <w:rStyle w:val="Hyperlink.2"/>
                <w:sz w:val="20"/>
                <w:szCs w:val="20"/>
              </w:rPr>
              <w:instrText xml:space="preserve"> HYPERLINK "https://papyri.info/hgv/35816"</w:instrText>
            </w:r>
            <w:r>
              <w:rPr>
                <w:rStyle w:val="Hyperlink.2"/>
                <w:sz w:val="20"/>
                <w:szCs w:val="20"/>
              </w:rPr>
              <w:fldChar w:fldCharType="separate" w:fldLock="0"/>
            </w:r>
            <w:r>
              <w:rPr>
                <w:rStyle w:val="Hyperlink.2"/>
                <w:sz w:val="20"/>
                <w:szCs w:val="20"/>
                <w:rtl w:val="0"/>
                <w:lang w:val="en-US"/>
              </w:rPr>
              <w:t>TM 35816</w:t>
            </w:r>
            <w:r>
              <w:rPr>
                <w:sz w:val="20"/>
                <w:szCs w:val="20"/>
              </w:rPr>
              <w:fldChar w:fldCharType="end" w:fldLock="0"/>
            </w: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SB 6 9198</w:t>
            </w: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g. 75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r>
        <w:tblPrEx>
          <w:shd w:val="clear" w:color="auto" w:fill="cdd4e9"/>
        </w:tblPrEx>
        <w:trPr>
          <w:trHeight w:val="442" w:hRule="atLeast"/>
        </w:trPr>
        <w:tc>
          <w:tcPr>
            <w:tcW w:type="dxa" w:w="86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352"/>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tc>
        <w:tc>
          <w:tcPr>
            <w:tcW w:type="dxa" w:w="1760"/>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MS Gr. class. g. 76 (P)</w:t>
            </w:r>
          </w:p>
        </w:tc>
        <w:tc>
          <w:tcPr>
            <w:tcW w:type="dxa" w:w="5374"/>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auto"/>
            <w:tcMar>
              <w:top w:type="dxa" w:w="80"/>
              <w:left w:type="dxa" w:w="80"/>
              <w:bottom w:type="dxa" w:w="80"/>
              <w:right w:type="dxa" w:w="80"/>
            </w:tcMar>
            <w:vAlign w:val="top"/>
          </w:tcPr>
          <w:p>
            <w:pPr>
              <w:pStyle w:val="Text"/>
              <w:spacing w:line="240" w:lineRule="auto"/>
              <w:ind w:firstLine="0"/>
            </w:pPr>
            <w:r>
              <w:rPr>
                <w:rStyle w:val="page number"/>
                <w:sz w:val="20"/>
                <w:szCs w:val="20"/>
                <w:rtl w:val="0"/>
                <w:lang w:val="en-US"/>
              </w:rPr>
              <w:t>15 May 1935: William D. Hogarth, Esq., Laurel Farm, Church St., Old Headington, nr. Oxford. Collection of Papyri.</w:t>
            </w:r>
          </w:p>
        </w:tc>
      </w:tr>
    </w:tbl>
    <w:p>
      <w:pPr>
        <w:pStyle w:val="Text"/>
        <w:widowControl w:val="0"/>
        <w:spacing w:line="240" w:lineRule="auto"/>
        <w:ind w:firstLine="0"/>
      </w:pPr>
    </w:p>
    <w:p>
      <w:pPr>
        <w:pStyle w:val="Text"/>
      </w:pPr>
    </w:p>
    <w:p>
      <w:pPr>
        <w:pStyle w:val="Text"/>
        <w:spacing w:line="240" w:lineRule="auto"/>
        <w:ind w:firstLine="0"/>
        <w:rPr>
          <w:rStyle w:val="page number"/>
          <w:color w:val="d9d9d9"/>
          <w:u w:color="d9d9d9"/>
        </w:rPr>
      </w:pPr>
      <w:r>
        <w:rPr>
          <w:rStyle w:val="page number"/>
          <w:color w:val="d9d9d9"/>
          <w:u w:color="d9d9d9"/>
          <w:rtl w:val="0"/>
          <w:lang w:val="en-US"/>
        </w:rPr>
        <w:t>#acknowledgement</w:t>
      </w:r>
    </w:p>
    <w:p>
      <w:pPr>
        <w:pStyle w:val="Text"/>
      </w:pPr>
      <w:r>
        <w:rPr>
          <w:rtl w:val="0"/>
        </w:rPr>
        <w:t>My interest in Hogarth</w:t>
      </w:r>
      <w:r>
        <w:rPr>
          <w:rtl w:val="0"/>
        </w:rPr>
        <w:t>’</w:t>
      </w:r>
      <w:r>
        <w:rPr>
          <w:rtl w:val="0"/>
        </w:rPr>
        <w:t>s papyri originated in a project on the literary fragments from Karanis, which necessitated research into the origins and acquisition histories of Karanis papyri more generally and those of the Bodleian Library, in particular.</w:t>
      </w:r>
      <w:r>
        <w:rPr>
          <w:rStyle w:val="footnote reference"/>
          <w:rFonts w:ascii="Times New Roman" w:cs="Times New Roman" w:hAnsi="Times New Roman" w:eastAsia="Times New Roman"/>
          <w:b w:val="0"/>
          <w:bCs w:val="0"/>
          <w:i w:val="0"/>
          <w:iCs w:val="0"/>
        </w:rPr>
        <w:footnoteReference w:id="63"/>
      </w:r>
      <w:r>
        <w:rPr>
          <w:rtl w:val="0"/>
        </w:rPr>
        <w:t xml:space="preserve"> Almost all of the Bodleian papyri that have been located in Karanis </w:t>
      </w:r>
      <w:r>
        <w:rPr>
          <w:rtl w:val="0"/>
        </w:rPr>
        <w:t xml:space="preserve">– </w:t>
      </w:r>
      <w:r>
        <w:rPr>
          <w:rtl w:val="0"/>
        </w:rPr>
        <w:t>which includes several of Hogarth</w:t>
      </w:r>
      <w:r>
        <w:rPr>
          <w:rtl w:val="0"/>
        </w:rPr>
        <w:t>’</w:t>
      </w:r>
      <w:r>
        <w:rPr>
          <w:rtl w:val="0"/>
        </w:rPr>
        <w:t xml:space="preserve">s </w:t>
      </w:r>
      <w:r>
        <w:rPr>
          <w:rtl w:val="0"/>
        </w:rPr>
        <w:t xml:space="preserve">– </w:t>
      </w:r>
      <w:r>
        <w:rPr>
          <w:rtl w:val="0"/>
        </w:rPr>
        <w:t>were acquired after 1915 and were not included in the library</w:t>
      </w:r>
      <w:r>
        <w:rPr>
          <w:rtl w:val="0"/>
        </w:rPr>
        <w:t>’</w:t>
      </w:r>
      <w:r>
        <w:rPr>
          <w:rtl w:val="0"/>
        </w:rPr>
        <w:t xml:space="preserve">s monumental </w:t>
      </w:r>
      <w:r>
        <w:rPr>
          <w:rStyle w:val="page number"/>
          <w:i w:val="1"/>
          <w:iCs w:val="1"/>
          <w:rtl w:val="0"/>
          <w:lang w:val="en-US"/>
        </w:rPr>
        <w:t>Summary Catalogue</w:t>
      </w:r>
      <w:r>
        <w:rPr>
          <w:rtl w:val="0"/>
        </w:rPr>
        <w:t>,</w:t>
      </w:r>
      <w:r>
        <w:rPr>
          <w:rStyle w:val="footnote reference"/>
          <w:rFonts w:ascii="Times New Roman" w:cs="Times New Roman" w:hAnsi="Times New Roman" w:eastAsia="Times New Roman"/>
          <w:b w:val="0"/>
          <w:bCs w:val="0"/>
          <w:i w:val="0"/>
          <w:iCs w:val="0"/>
        </w:rPr>
        <w:footnoteReference w:id="64"/>
      </w:r>
      <w:r>
        <w:rPr>
          <w:rtl w:val="0"/>
        </w:rPr>
        <w:t xml:space="preserve"> although they were subsequently catalogued by Salomons in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tl w:val="0"/>
        </w:rPr>
        <w:t>P.Bodl. 1</w:t>
      </w:r>
      <w:r>
        <w:rPr/>
        <w:fldChar w:fldCharType="end" w:fldLock="0"/>
      </w:r>
      <w:r>
        <w:rPr>
          <w:rtl w:val="0"/>
        </w:rPr>
        <w:t>. Yet the combination of the Bodleian</w:t>
      </w:r>
      <w:r>
        <w:rPr>
          <w:rtl w:val="0"/>
        </w:rPr>
        <w:t>’</w:t>
      </w:r>
      <w:r>
        <w:rPr>
          <w:rtl w:val="0"/>
        </w:rPr>
        <w:t>s idiosyncratic system of serialized shelfmarks, its nascent online catalogue, and my unfamiliarity with the library</w:t>
      </w:r>
      <w:r>
        <w:rPr>
          <w:rtl w:val="0"/>
        </w:rPr>
        <w:t>’</w:t>
      </w:r>
      <w:r>
        <w:rPr>
          <w:rtl w:val="0"/>
        </w:rPr>
        <w:t xml:space="preserve">s internal records for acquisitions subsequent to the </w:t>
      </w:r>
      <w:r>
        <w:rPr>
          <w:rStyle w:val="page number"/>
          <w:i w:val="1"/>
          <w:iCs w:val="1"/>
          <w:rtl w:val="0"/>
          <w:lang w:val="en-US"/>
        </w:rPr>
        <w:t>Summary Catalogue</w:t>
      </w:r>
      <w:r>
        <w:rPr>
          <w:rtl w:val="0"/>
        </w:rPr>
        <w:t>’</w:t>
      </w:r>
      <w:r>
        <w:rPr>
          <w:rtl w:val="0"/>
        </w:rPr>
        <w:t>s scope left me with several questions, and on a recent trip to Oxford, I therefore spent a few days exploring archival material in the Weston Library, with the assistance of the Bodleian</w:t>
      </w:r>
      <w:r>
        <w:rPr>
          <w:rtl w:val="0"/>
        </w:rPr>
        <w:t>’</w:t>
      </w:r>
      <w:r>
        <w:rPr>
          <w:rtl w:val="0"/>
        </w:rPr>
        <w:t>s Curator of Medieval Manuscripts. I also took the same opportunity to review Hogarth</w:t>
      </w:r>
      <w:r>
        <w:rPr>
          <w:rtl w:val="0"/>
        </w:rPr>
        <w:t>’</w:t>
      </w:r>
      <w:r>
        <w:rPr>
          <w:rtl w:val="0"/>
        </w:rPr>
        <w:t>s daybooks and personal correspondence from the 1890s, now housed in the Magdalen College archives. From the library</w:t>
      </w:r>
      <w:r>
        <w:rPr>
          <w:rtl w:val="0"/>
        </w:rPr>
        <w:t>’</w:t>
      </w:r>
      <w:r>
        <w:rPr>
          <w:rtl w:val="0"/>
        </w:rPr>
        <w:t>s records I was able to clarify some aspects of its acquisitions and internal cataloguing; the Hogarth archive, meanwhile, shed considerable light on his activities in Egypt and the origins of his papyri.</w:t>
      </w:r>
    </w:p>
    <w:p>
      <w:pPr>
        <w:pStyle w:val="Text"/>
      </w:pPr>
      <w:r>
        <w:rPr>
          <w:rtl w:val="0"/>
        </w:rPr>
        <w:t>A great many debts have been incurred in the research for this paper, and I thank in particular Matthew Holford (Bodleian Libraries), Richard Allen and Lucy Smith (Magdalen College Archives), Peter T</w:t>
      </w:r>
      <w:r>
        <w:rPr>
          <w:rtl w:val="0"/>
          <w:lang w:val="es-ES_tradnl"/>
        </w:rPr>
        <w:t>ó</w:t>
      </w:r>
      <w:r>
        <w:rPr>
          <w:rtl w:val="0"/>
        </w:rPr>
        <w:t>th (British Library), Patricia Usick (British Museum), Paul Collins (Ashmolean Museum), Richard Foster (Winchester College), Faye Belsey (Pitt Rivers Museum), Caroline Barron, Amin Benaissa, Nick Gonis, Mark Depauw and Yanne Broux (Trismegistos / Leuven). Although my research revises a few details pertaining to the 1895/6 Fayum campaign that were first reported by Dominic Montserrat, I nonetheless hope that my findings will supplement his pioneering work on Hogarth and the 1895/6 season.</w:t>
      </w:r>
      <w:r>
        <w:rPr>
          <w:rStyle w:val="footnote reference"/>
          <w:rFonts w:ascii="Times New Roman" w:cs="Times New Roman" w:hAnsi="Times New Roman" w:eastAsia="Times New Roman"/>
          <w:b w:val="0"/>
          <w:bCs w:val="0"/>
          <w:i w:val="0"/>
          <w:iCs w:val="0"/>
        </w:rPr>
        <w:footnoteReference w:id="65"/>
      </w:r>
      <w:r>
        <w:rPr>
          <w:rtl w:val="0"/>
        </w:rPr>
        <w:t xml:space="preserve"> Quotations from the Papers of David George Hogarth (1860s</w:t>
      </w:r>
      <w:r>
        <w:rPr>
          <w:rtl w:val="0"/>
        </w:rPr>
        <w:t>–</w:t>
      </w:r>
      <w:r>
        <w:rPr>
          <w:rtl w:val="0"/>
        </w:rPr>
        <w:t xml:space="preserve">2017), which are now in the Magdalen College Archives (P452), are published by kind permission of the President and Fellows, Magdalen College. Financial support for my work was provided by the Social Sciences and Humanities Research Council of Canada as part of the research project </w:t>
      </w:r>
      <w:r>
        <w:rPr>
          <w:rtl w:val="0"/>
        </w:rPr>
        <w:t>‘</w:t>
      </w:r>
      <w:r>
        <w:rPr>
          <w:rStyle w:val="Hyperlink.0"/>
        </w:rPr>
        <w:fldChar w:fldCharType="begin" w:fldLock="0"/>
      </w:r>
      <w:r>
        <w:rPr>
          <w:rStyle w:val="Hyperlink.0"/>
        </w:rPr>
        <w:instrText xml:space="preserve"> HYPERLINK "https://twitter.com/karanisbooks"</w:instrText>
      </w:r>
      <w:r>
        <w:rPr>
          <w:rStyle w:val="Hyperlink.0"/>
        </w:rPr>
        <w:fldChar w:fldCharType="separate" w:fldLock="0"/>
      </w:r>
      <w:r>
        <w:rPr>
          <w:rStyle w:val="Hyperlink.0"/>
          <w:rtl w:val="0"/>
        </w:rPr>
        <w:t>the Books of Karanis</w:t>
      </w:r>
      <w:r>
        <w:rPr/>
        <w:fldChar w:fldCharType="end" w:fldLock="0"/>
      </w:r>
      <w:r>
        <w:rPr>
          <w:rtl w:val="0"/>
        </w:rPr>
        <w:t>.</w:t>
      </w:r>
      <w:r>
        <w:rPr>
          <w:rtl w:val="0"/>
        </w:rPr>
        <w:t>’</w:t>
      </w:r>
      <w:r>
        <w:rPr>
          <w:rStyle w:val="footnote reference"/>
          <w:rFonts w:ascii="Times New Roman" w:cs="Times New Roman" w:hAnsi="Times New Roman" w:eastAsia="Times New Roman"/>
          <w:b w:val="0"/>
          <w:bCs w:val="0"/>
          <w:i w:val="0"/>
          <w:iCs w:val="0"/>
        </w:rPr>
        <w:footnoteReference w:id="66"/>
      </w:r>
    </w:p>
    <w:p>
      <w:pPr>
        <w:pStyle w:val="Text"/>
        <w:spacing w:line="240" w:lineRule="auto"/>
        <w:ind w:firstLine="0"/>
        <w:rPr>
          <w:rStyle w:val="page number"/>
          <w:color w:val="d9d9d9"/>
          <w:u w:color="d9d9d9"/>
        </w:rPr>
      </w:pPr>
      <w:r>
        <w:rPr>
          <w:rStyle w:val="page number"/>
          <w:color w:val="d9d9d9"/>
          <w:u w:color="d9d9d9"/>
          <w:rtl w:val="0"/>
          <w:lang w:val="fr-FR"/>
        </w:rPr>
        <w:t>#bibliography</w:t>
      </w:r>
    </w:p>
    <w:p>
      <w:pPr>
        <w:pStyle w:val="Text"/>
        <w:spacing w:line="240" w:lineRule="auto"/>
        <w:ind w:left="720" w:hanging="720"/>
      </w:pPr>
      <w:r>
        <w:rPr>
          <w:rStyle w:val="Hyperlink.0"/>
        </w:rPr>
        <w:fldChar w:fldCharType="begin" w:fldLock="0"/>
      </w:r>
      <w:r>
        <w:rPr>
          <w:rStyle w:val="Hyperlink.0"/>
        </w:rPr>
        <w:instrText xml:space="preserve"> HYPERLINK "https://papyri.info/biblio/96094"</w:instrText>
      </w:r>
      <w:r>
        <w:rPr>
          <w:rStyle w:val="Hyperlink.0"/>
        </w:rPr>
        <w:fldChar w:fldCharType="separate" w:fldLock="0"/>
      </w:r>
      <w:r>
        <w:rPr>
          <w:rStyle w:val="Hyperlink.0"/>
          <w:rtl w:val="0"/>
        </w:rPr>
        <w:t>Bagnall, R.S. (2017)</w:t>
      </w:r>
      <w:r>
        <w:rPr/>
        <w:fldChar w:fldCharType="end" w:fldLock="0"/>
      </w:r>
      <w:r>
        <w:rPr>
          <w:rtl w:val="0"/>
          <w:lang w:val="en-US"/>
        </w:rPr>
        <w:t xml:space="preserve"> The Undertakers of the Great Oasis (P. Nekr.). London.</w:t>
      </w:r>
    </w:p>
    <w:p>
      <w:pPr>
        <w:pStyle w:val="Text"/>
        <w:spacing w:line="240" w:lineRule="auto"/>
        <w:ind w:left="720" w:hanging="720"/>
      </w:pPr>
      <w:r>
        <w:rPr>
          <w:rStyle w:val="Hyperlink.0"/>
        </w:rPr>
        <w:fldChar w:fldCharType="begin" w:fldLock="0"/>
      </w:r>
      <w:r>
        <w:rPr>
          <w:rStyle w:val="Hyperlink.0"/>
        </w:rPr>
        <w:instrText xml:space="preserve"> HYPERLINK "https://papyri.info/biblio/96082"</w:instrText>
      </w:r>
      <w:r>
        <w:rPr>
          <w:rStyle w:val="Hyperlink.0"/>
        </w:rPr>
        <w:fldChar w:fldCharType="separate" w:fldLock="0"/>
      </w:r>
      <w:r>
        <w:rPr>
          <w:rStyle w:val="Hyperlink.0"/>
          <w:rtl w:val="0"/>
          <w:lang w:val="en-US"/>
        </w:rPr>
        <w:t>Budge, E.A.W. (1920)</w:t>
      </w:r>
      <w:r>
        <w:rPr/>
        <w:fldChar w:fldCharType="end" w:fldLock="0"/>
      </w:r>
      <w:r>
        <w:rPr>
          <w:rtl w:val="0"/>
        </w:rPr>
        <w:t xml:space="preserve"> </w:t>
      </w:r>
      <w:r>
        <w:rPr>
          <w:rStyle w:val="page number"/>
          <w:color w:val="24292f"/>
          <w:u w:color="24292f"/>
          <w:shd w:val="clear" w:color="auto" w:fill="ffffff"/>
          <w:rtl w:val="0"/>
          <w:lang w:val="en-US"/>
        </w:rPr>
        <w:t>By Nile and Tigris: A Narrative of Journeys in Egypt and Mesopotamia on Behalf of the British Museum between the Years 1886 and 1913. Volume II</w:t>
      </w:r>
      <w:r>
        <w:rPr>
          <w:rtl w:val="0"/>
        </w:rPr>
        <w:t>. London.</w:t>
      </w:r>
    </w:p>
    <w:p>
      <w:pPr>
        <w:pStyle w:val="Text"/>
        <w:spacing w:line="240" w:lineRule="auto"/>
        <w:ind w:left="720" w:hanging="720"/>
      </w:pPr>
      <w:r>
        <w:rPr>
          <w:rStyle w:val="Hyperlink.0"/>
        </w:rPr>
        <w:fldChar w:fldCharType="begin" w:fldLock="0"/>
      </w:r>
      <w:r>
        <w:rPr>
          <w:rStyle w:val="Hyperlink.0"/>
        </w:rPr>
        <w:instrText xml:space="preserve"> HYPERLINK "https://papyri.info/biblio/96070"</w:instrText>
      </w:r>
      <w:r>
        <w:rPr>
          <w:rStyle w:val="Hyperlink.0"/>
        </w:rPr>
        <w:fldChar w:fldCharType="separate" w:fldLock="0"/>
      </w:r>
      <w:r>
        <w:rPr>
          <w:rStyle w:val="Hyperlink.0"/>
          <w:rtl w:val="0"/>
          <w:lang w:val="en-US"/>
        </w:rPr>
        <w:t>Clapinson, M. and Rogers, T.D. (1991)</w:t>
      </w:r>
      <w:r>
        <w:rPr/>
        <w:fldChar w:fldCharType="end" w:fldLock="0"/>
      </w:r>
      <w:r>
        <w:rPr>
          <w:rtl w:val="0"/>
          <w:lang w:val="en-US"/>
        </w:rPr>
        <w:t xml:space="preserve"> Summary Catalogue of Post-medieval Manuscripts in the Bodleian Library, Oxford. Acquisitions 1916</w:t>
      </w:r>
      <w:r>
        <w:rPr>
          <w:rtl w:val="0"/>
        </w:rPr>
        <w:t>–</w:t>
      </w:r>
      <w:r>
        <w:rPr>
          <w:rtl w:val="0"/>
        </w:rPr>
        <w:t>1975 (SC 37300</w:t>
      </w:r>
      <w:r>
        <w:rPr>
          <w:rtl w:val="0"/>
        </w:rPr>
        <w:t>–</w:t>
      </w:r>
      <w:r>
        <w:rPr>
          <w:rtl w:val="0"/>
        </w:rPr>
        <w:t>55936). Oxford.</w:t>
      </w:r>
    </w:p>
    <w:p>
      <w:pPr>
        <w:pStyle w:val="Text"/>
        <w:spacing w:line="240" w:lineRule="auto"/>
        <w:ind w:left="720" w:hanging="720"/>
      </w:pPr>
      <w:r>
        <w:rPr>
          <w:rStyle w:val="Hyperlink.0"/>
        </w:rPr>
        <w:fldChar w:fldCharType="begin" w:fldLock="0"/>
      </w:r>
      <w:r>
        <w:rPr>
          <w:rStyle w:val="Hyperlink.0"/>
        </w:rPr>
        <w:instrText xml:space="preserve"> HYPERLINK "https://papyri.info/biblio/15202"</w:instrText>
      </w:r>
      <w:r>
        <w:rPr>
          <w:rStyle w:val="Hyperlink.0"/>
        </w:rPr>
        <w:fldChar w:fldCharType="separate" w:fldLock="0"/>
      </w:r>
      <w:r>
        <w:rPr>
          <w:rStyle w:val="Hyperlink.0"/>
          <w:rtl w:val="0"/>
          <w:lang w:val="it-IT"/>
        </w:rPr>
        <w:t>Davoli, P. (1998)</w:t>
      </w:r>
      <w:r>
        <w:rPr/>
        <w:fldChar w:fldCharType="end" w:fldLock="0"/>
      </w:r>
      <w:r>
        <w:rPr>
          <w:rtl w:val="0"/>
        </w:rPr>
        <w:t xml:space="preserve"> L</w:t>
      </w:r>
      <w:r>
        <w:rPr>
          <w:rtl w:val="0"/>
        </w:rPr>
        <w:t>’</w:t>
      </w:r>
      <w:r>
        <w:rPr>
          <w:rtl w:val="0"/>
          <w:lang w:val="it-IT"/>
        </w:rPr>
        <w:t>archeologia urbana nel Fayyum di et</w:t>
      </w:r>
      <w:r>
        <w:rPr>
          <w:rtl w:val="0"/>
          <w:lang w:val="fr-FR"/>
        </w:rPr>
        <w:t xml:space="preserve">à </w:t>
      </w:r>
      <w:r>
        <w:rPr>
          <w:rtl w:val="0"/>
          <w:lang w:val="it-IT"/>
        </w:rPr>
        <w:t>ellenistica e romana. Napoli.</w:t>
      </w:r>
    </w:p>
    <w:p>
      <w:pPr>
        <w:pStyle w:val="Text"/>
        <w:spacing w:line="240" w:lineRule="auto"/>
        <w:ind w:left="720" w:hanging="720"/>
      </w:pPr>
      <w:r>
        <w:rPr>
          <w:rStyle w:val="Hyperlink.0"/>
        </w:rPr>
        <w:fldChar w:fldCharType="begin" w:fldLock="0"/>
      </w:r>
      <w:r>
        <w:rPr>
          <w:rStyle w:val="Hyperlink.0"/>
        </w:rPr>
        <w:instrText xml:space="preserve"> HYPERLINK "https://papyri.info/biblio/96068"</w:instrText>
      </w:r>
      <w:r>
        <w:rPr>
          <w:rStyle w:val="Hyperlink.0"/>
        </w:rPr>
        <w:fldChar w:fldCharType="separate" w:fldLock="0"/>
      </w:r>
      <w:r>
        <w:rPr>
          <w:rStyle w:val="Hyperlink.0"/>
          <w:rtl w:val="0"/>
          <w:lang w:val="nl-NL"/>
        </w:rPr>
        <w:t>Depauw, M. and Gheldof, T. (2014)</w:t>
      </w:r>
      <w:r>
        <w:rPr/>
        <w:fldChar w:fldCharType="end" w:fldLock="0"/>
      </w:r>
      <w:r>
        <w:rPr>
          <w:rtl w:val="0"/>
          <w:lang w:val="pt-PT"/>
        </w:rPr>
        <w:t xml:space="preserve"> “</w:t>
      </w:r>
      <w:r>
        <w:rPr>
          <w:rtl w:val="0"/>
          <w:lang w:val="en-US"/>
        </w:rPr>
        <w:t>Trismegistos. An Interdisciplinary Platform for Ancient World Texts and Related Information,</w:t>
      </w:r>
      <w:r>
        <w:rPr>
          <w:rtl w:val="0"/>
        </w:rPr>
        <w:t xml:space="preserve">” </w:t>
      </w:r>
      <w:r>
        <w:rPr>
          <w:rtl w:val="0"/>
        </w:rPr>
        <w:t xml:space="preserve">in </w:t>
      </w:r>
      <w:r>
        <w:rPr>
          <w:rtl w:val="0"/>
        </w:rPr>
        <w:t>Ł</w:t>
      </w:r>
      <w:r>
        <w:rPr>
          <w:rtl w:val="0"/>
          <w:lang w:val="it-IT"/>
        </w:rPr>
        <w:t>. Bolikowski, V. Casarosa, P. Goodale, N. Houssos, P. Manghi, J. Schirrwagen (eds),</w:t>
      </w:r>
      <w:r>
        <w:rPr>
          <w:rtl w:val="0"/>
        </w:rPr>
        <w:t> </w:t>
      </w:r>
      <w:r>
        <w:rPr>
          <w:rtl w:val="0"/>
          <w:lang w:val="en-US"/>
        </w:rPr>
        <w:t>Theory and Practice of Digital Libraries - TPDL 2013 Selected Workshops. Cham: 40</w:t>
      </w:r>
      <w:r>
        <w:rPr>
          <w:rtl w:val="0"/>
        </w:rPr>
        <w:t>–</w:t>
      </w:r>
      <w:r>
        <w:rPr>
          <w:rtl w:val="0"/>
        </w:rPr>
        <w:t>52.</w:t>
      </w:r>
    </w:p>
    <w:p>
      <w:pPr>
        <w:pStyle w:val="Text"/>
        <w:spacing w:line="240" w:lineRule="auto"/>
        <w:ind w:left="720" w:hanging="720"/>
        <w:rPr>
          <w:rStyle w:val="page number"/>
        </w:rPr>
      </w:pPr>
      <w:r>
        <w:rPr>
          <w:rStyle w:val="Hyperlink.0"/>
        </w:rPr>
        <w:fldChar w:fldCharType="begin" w:fldLock="0"/>
      </w:r>
      <w:r>
        <w:rPr>
          <w:rStyle w:val="Hyperlink.0"/>
        </w:rPr>
        <w:instrText xml:space="preserve"> HYPERLINK "https://papyri.info/biblio/96083"</w:instrText>
      </w:r>
      <w:r>
        <w:rPr>
          <w:rStyle w:val="Hyperlink.0"/>
        </w:rPr>
        <w:fldChar w:fldCharType="separate" w:fldLock="0"/>
      </w:r>
      <w:r>
        <w:rPr>
          <w:rStyle w:val="Hyperlink.0"/>
          <w:rtl w:val="0"/>
        </w:rPr>
        <w:t>Garnett, D. ed. (1941)</w:t>
      </w:r>
      <w:r>
        <w:rPr/>
        <w:fldChar w:fldCharType="end" w:fldLock="0"/>
      </w:r>
      <w:r>
        <w:rPr>
          <w:rtl w:val="0"/>
          <w:lang w:val="en-US"/>
        </w:rPr>
        <w:t xml:space="preserve"> Selected Letters of T. E. Lawrence. </w:t>
      </w:r>
      <w:r>
        <w:rPr>
          <w:rStyle w:val="page number"/>
          <w:rtl w:val="0"/>
          <w:lang w:val="de-DE"/>
        </w:rPr>
        <w:t>London.</w:t>
      </w:r>
    </w:p>
    <w:p>
      <w:pPr>
        <w:pStyle w:val="Text"/>
        <w:spacing w:line="240" w:lineRule="auto"/>
        <w:ind w:left="720" w:hanging="720"/>
        <w:jc w:val="both"/>
        <w:rPr>
          <w:rStyle w:val="page number"/>
        </w:rPr>
      </w:pPr>
      <w:r>
        <w:rPr>
          <w:rStyle w:val="Hyperlink.4"/>
        </w:rPr>
        <w:fldChar w:fldCharType="begin" w:fldLock="0"/>
      </w:r>
      <w:r>
        <w:rPr>
          <w:rStyle w:val="Hyperlink.4"/>
        </w:rPr>
        <w:instrText xml:space="preserve"> HYPERLINK "https://papyri.info/biblio/95865"</w:instrText>
      </w:r>
      <w:r>
        <w:rPr>
          <w:rStyle w:val="Hyperlink.4"/>
        </w:rPr>
        <w:fldChar w:fldCharType="separate" w:fldLock="0"/>
      </w:r>
      <w:r>
        <w:rPr>
          <w:rStyle w:val="Hyperlink.4"/>
          <w:rtl w:val="0"/>
          <w:lang w:val="de-DE"/>
        </w:rPr>
        <w:t>Gerstinger, H. (1926)</w:t>
      </w:r>
      <w:r>
        <w:rPr/>
        <w:fldChar w:fldCharType="end" w:fldLock="0"/>
      </w:r>
      <w:r>
        <w:rPr>
          <w:rStyle w:val="page number"/>
          <w:rtl w:val="0"/>
          <w:lang w:val="de-DE"/>
        </w:rPr>
        <w:t xml:space="preserve"> “</w:t>
      </w:r>
      <w:r>
        <w:rPr>
          <w:rStyle w:val="page number"/>
          <w:rtl w:val="0"/>
          <w:lang w:val="de-DE"/>
        </w:rPr>
        <w:t xml:space="preserve">Zur Geschichte der Griechischen Abteilung der Papyrussamlung der Nationalbibliothek in Wien, mit einem Anhang: Katalog der Homerpapyri der Sammlung </w:t>
      </w:r>
      <w:r>
        <w:rPr>
          <w:rStyle w:val="page number"/>
          <w:rtl w:val="0"/>
          <w:lang w:val="de-DE"/>
        </w:rPr>
        <w:t>‘</w:t>
      </w:r>
      <w:r>
        <w:rPr>
          <w:rStyle w:val="page number"/>
          <w:rtl w:val="0"/>
          <w:lang w:val="de-DE"/>
        </w:rPr>
        <w:t>Papyrus Erzherzog Rainer</w:t>
      </w:r>
      <w:r>
        <w:rPr>
          <w:rStyle w:val="page number"/>
          <w:rtl w:val="0"/>
          <w:lang w:val="de-DE"/>
        </w:rPr>
        <w:t>’</w:t>
      </w:r>
      <w:r>
        <w:rPr>
          <w:rStyle w:val="page number"/>
          <w:rtl w:val="0"/>
          <w:lang w:val="de-DE"/>
        </w:rPr>
        <w:t>,</w:t>
      </w:r>
      <w:r>
        <w:rPr>
          <w:rStyle w:val="page number"/>
          <w:rtl w:val="0"/>
          <w:lang w:val="de-DE"/>
        </w:rPr>
        <w:t xml:space="preserve">” </w:t>
      </w:r>
      <w:r>
        <w:rPr>
          <w:rStyle w:val="page number"/>
          <w:rtl w:val="0"/>
          <w:lang w:val="de-DE"/>
        </w:rPr>
        <w:t>Archiv f</w:t>
      </w:r>
      <w:r>
        <w:rPr>
          <w:rStyle w:val="page number"/>
          <w:rtl w:val="0"/>
          <w:lang w:val="de-DE"/>
        </w:rPr>
        <w:t>ü</w:t>
      </w:r>
      <w:r>
        <w:rPr>
          <w:rStyle w:val="page number"/>
          <w:rtl w:val="0"/>
          <w:lang w:val="de-DE"/>
        </w:rPr>
        <w:t>r Bibliographie 1: 82</w:t>
      </w:r>
      <w:r>
        <w:rPr>
          <w:rStyle w:val="page number"/>
          <w:rtl w:val="0"/>
          <w:lang w:val="de-DE"/>
        </w:rPr>
        <w:t>–</w:t>
      </w:r>
      <w:r>
        <w:rPr>
          <w:rStyle w:val="page number"/>
          <w:rtl w:val="0"/>
          <w:lang w:val="de-DE"/>
        </w:rPr>
        <w:t>93.</w:t>
      </w:r>
    </w:p>
    <w:p>
      <w:pPr>
        <w:pStyle w:val="Text"/>
        <w:spacing w:line="240" w:lineRule="auto"/>
        <w:ind w:left="720" w:hanging="720"/>
      </w:pP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tl w:val="0"/>
          <w:lang w:val="en-US"/>
        </w:rPr>
        <w:t>Grenfell, B.P., and Hunt, A.S. (1897)</w:t>
      </w:r>
      <w:r>
        <w:rPr/>
        <w:fldChar w:fldCharType="end" w:fldLock="0"/>
      </w:r>
      <w:r>
        <w:rPr>
          <w:rtl w:val="0"/>
          <w:lang w:val="en-US"/>
        </w:rPr>
        <w:t xml:space="preserve"> New Classical Fragments and Other Greek and Latin Papyri. Oxford.</w:t>
      </w:r>
    </w:p>
    <w:p>
      <w:pPr>
        <w:pStyle w:val="Text"/>
        <w:spacing w:line="240" w:lineRule="auto"/>
        <w:ind w:left="720" w:hanging="720"/>
      </w:pP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tl w:val="0"/>
          <w:lang w:val="en-US"/>
        </w:rPr>
        <w:t>Grenfell, B.P., Hunt, A.S., and Hogarth, D.G. (1900)</w:t>
      </w:r>
      <w:r>
        <w:rPr/>
        <w:fldChar w:fldCharType="end" w:fldLock="0"/>
      </w:r>
      <w:r>
        <w:rPr>
          <w:rtl w:val="0"/>
          <w:lang w:val="en-US"/>
        </w:rPr>
        <w:t xml:space="preserve"> Fayum Towns and their Papyri. London.</w:t>
      </w:r>
    </w:p>
    <w:p>
      <w:pPr>
        <w:pStyle w:val="Text"/>
        <w:spacing w:line="240" w:lineRule="auto"/>
        <w:ind w:left="720" w:hanging="720"/>
      </w:pP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tl w:val="0"/>
          <w:lang w:val="de-DE"/>
        </w:rPr>
        <w:t>Hagen, F. and Ryholt, K. (2016)</w:t>
      </w:r>
      <w:r>
        <w:rPr/>
        <w:fldChar w:fldCharType="end" w:fldLock="0"/>
      </w:r>
      <w:r>
        <w:rPr>
          <w:rtl w:val="0"/>
          <w:lang w:val="en-US"/>
        </w:rPr>
        <w:t xml:space="preserve"> The Antiquities Trade in Egypt: 1880</w:t>
      </w:r>
      <w:r>
        <w:rPr>
          <w:rtl w:val="0"/>
        </w:rPr>
        <w:t>–</w:t>
      </w:r>
      <w:r>
        <w:rPr>
          <w:rtl w:val="0"/>
          <w:lang w:val="en-US"/>
        </w:rPr>
        <w:t>1930. The H.O. Lange Papers.</w:t>
      </w:r>
      <w:r>
        <w:rPr>
          <w:rStyle w:val="page number"/>
          <w:i w:val="1"/>
          <w:iCs w:val="1"/>
          <w:rtl w:val="0"/>
        </w:rPr>
        <w:t xml:space="preserve"> </w:t>
      </w:r>
      <w:r>
        <w:rPr>
          <w:rtl w:val="0"/>
        </w:rPr>
        <w:t xml:space="preserve">Copenhagen. </w:t>
      </w:r>
    </w:p>
    <w:p>
      <w:pPr>
        <w:pStyle w:val="Text"/>
        <w:spacing w:line="240" w:lineRule="auto"/>
        <w:ind w:left="720" w:hanging="720"/>
      </w:pPr>
      <w:r>
        <w:rPr>
          <w:rStyle w:val="Hyperlink.0"/>
        </w:rPr>
        <w:fldChar w:fldCharType="begin" w:fldLock="0"/>
      </w:r>
      <w:r>
        <w:rPr>
          <w:rStyle w:val="Hyperlink.0"/>
        </w:rPr>
        <w:instrText xml:space="preserve"> HYPERLINK "https://papyri.info/biblio/96095"</w:instrText>
      </w:r>
      <w:r>
        <w:rPr>
          <w:rStyle w:val="Hyperlink.0"/>
        </w:rPr>
        <w:fldChar w:fldCharType="separate" w:fldLock="0"/>
      </w:r>
      <w:r>
        <w:rPr>
          <w:rStyle w:val="Hyperlink.0"/>
          <w:rtl w:val="0"/>
        </w:rPr>
        <w:t>Hall, H. R. (1928)</w:t>
      </w:r>
      <w:r>
        <w:rPr/>
        <w:fldChar w:fldCharType="end" w:fldLock="0"/>
      </w:r>
      <w:r>
        <w:rPr>
          <w:rtl w:val="0"/>
          <w:lang w:val="pt-PT"/>
        </w:rPr>
        <w:t xml:space="preserve"> “</w:t>
      </w:r>
      <w:r>
        <w:rPr>
          <w:rtl w:val="0"/>
          <w:lang w:val="de-DE"/>
        </w:rPr>
        <w:t>David George Hogarth: Died Nov. 6, 1927.</w:t>
      </w:r>
      <w:r>
        <w:rPr>
          <w:rtl w:val="0"/>
        </w:rPr>
        <w:t xml:space="preserve">” </w:t>
      </w:r>
      <w:r>
        <w:rPr>
          <w:rtl w:val="0"/>
          <w:lang w:val="de-DE"/>
        </w:rPr>
        <w:t>JEA 14: 128</w:t>
      </w:r>
      <w:r>
        <w:rPr>
          <w:rtl w:val="0"/>
        </w:rPr>
        <w:t>–</w:t>
      </w:r>
      <w:r>
        <w:rPr>
          <w:rtl w:val="0"/>
        </w:rPr>
        <w:t>130.</w:t>
      </w:r>
    </w:p>
    <w:p>
      <w:pPr>
        <w:pStyle w:val="Text"/>
        <w:spacing w:line="240" w:lineRule="auto"/>
        <w:ind w:left="720" w:hanging="720"/>
      </w:pPr>
      <w:r>
        <w:rPr>
          <w:rStyle w:val="Hyperlink.0"/>
        </w:rPr>
        <w:fldChar w:fldCharType="begin" w:fldLock="0"/>
      </w:r>
      <w:r>
        <w:rPr>
          <w:rStyle w:val="Hyperlink.0"/>
        </w:rPr>
        <w:instrText xml:space="preserve"> HYPERLINK "https://papyri.info/biblio/96090"</w:instrText>
      </w:r>
      <w:r>
        <w:rPr>
          <w:rStyle w:val="Hyperlink.0"/>
        </w:rPr>
        <w:fldChar w:fldCharType="separate" w:fldLock="0"/>
      </w:r>
      <w:r>
        <w:rPr>
          <w:rStyle w:val="Hyperlink.0"/>
          <w:rtl w:val="0"/>
          <w:lang w:val="en-US"/>
        </w:rPr>
        <w:t>Hickey, T. M. and Keenan, J. G. (2016)</w:t>
      </w:r>
      <w:r>
        <w:rPr/>
        <w:fldChar w:fldCharType="end" w:fldLock="0"/>
      </w:r>
      <w:r>
        <w:rPr>
          <w:rtl w:val="0"/>
          <w:lang w:val="pt-PT"/>
        </w:rPr>
        <w:t xml:space="preserve"> “</w:t>
      </w:r>
      <w:r>
        <w:rPr>
          <w:rtl w:val="0"/>
          <w:lang w:val="en-US"/>
        </w:rPr>
        <w:t>At the Creation. Seven Letters from Grenfell, 1897.</w:t>
      </w:r>
      <w:r>
        <w:rPr>
          <w:rtl w:val="0"/>
        </w:rPr>
        <w:t xml:space="preserve">” </w:t>
      </w:r>
      <w:r>
        <w:rPr>
          <w:rtl w:val="0"/>
          <w:lang w:val="en-US"/>
        </w:rPr>
        <w:t>APapyrol 28: 351</w:t>
      </w:r>
      <w:r>
        <w:rPr>
          <w:rtl w:val="0"/>
        </w:rPr>
        <w:t>–</w:t>
      </w:r>
      <w:r>
        <w:rPr>
          <w:rtl w:val="0"/>
        </w:rPr>
        <w:t>382.</w:t>
      </w:r>
    </w:p>
    <w:p>
      <w:pPr>
        <w:pStyle w:val="Text"/>
        <w:spacing w:line="240" w:lineRule="auto"/>
        <w:ind w:left="720" w:hanging="720"/>
      </w:pPr>
      <w:r>
        <w:rPr>
          <w:rStyle w:val="Hyperlink.0"/>
        </w:rPr>
        <w:fldChar w:fldCharType="begin" w:fldLock="0"/>
      </w:r>
      <w:r>
        <w:rPr>
          <w:rStyle w:val="Hyperlink.0"/>
        </w:rPr>
        <w:instrText xml:space="preserve"> HYPERLINK "https://papyri.info/biblio/96076"</w:instrText>
      </w:r>
      <w:r>
        <w:rPr>
          <w:rStyle w:val="Hyperlink.0"/>
        </w:rPr>
        <w:fldChar w:fldCharType="separate" w:fldLock="0"/>
      </w:r>
      <w:r>
        <w:rPr>
          <w:rStyle w:val="Hyperlink.0"/>
          <w:rtl w:val="0"/>
          <w:lang w:val="en-US"/>
        </w:rPr>
        <w:t>Hogarth, D.G., and Benson, E.F. (1894</w:t>
      </w:r>
      <w:r>
        <w:rPr>
          <w:rStyle w:val="Hyperlink.0"/>
          <w:rtl w:val="0"/>
        </w:rPr>
        <w:t>–</w:t>
      </w:r>
      <w:r>
        <w:rPr>
          <w:rStyle w:val="Hyperlink.0"/>
          <w:rtl w:val="0"/>
        </w:rPr>
        <w:t>5)</w:t>
      </w:r>
      <w:r>
        <w:rPr/>
        <w:fldChar w:fldCharType="end" w:fldLock="0"/>
      </w:r>
      <w:r>
        <w:rPr>
          <w:rtl w:val="0"/>
          <w:lang w:val="pt-PT"/>
        </w:rPr>
        <w:t xml:space="preserve"> “</w:t>
      </w:r>
      <w:r>
        <w:rPr>
          <w:rtl w:val="0"/>
          <w:lang w:val="en-US"/>
        </w:rPr>
        <w:t>Report on the Prospects of Research in Alexandria.</w:t>
      </w:r>
      <w:r>
        <w:rPr>
          <w:rtl w:val="0"/>
        </w:rPr>
        <w:t xml:space="preserve">” </w:t>
      </w:r>
      <w:r>
        <w:rPr>
          <w:rtl w:val="0"/>
          <w:lang w:val="en-US"/>
        </w:rPr>
        <w:t>Egypt Exploration Fund: Archaeological Report 1894</w:t>
      </w:r>
      <w:r>
        <w:rPr>
          <w:rtl w:val="0"/>
        </w:rPr>
        <w:t>–</w:t>
      </w:r>
      <w:r>
        <w:rPr>
          <w:rtl w:val="0"/>
        </w:rPr>
        <w:t>1895: 1</w:t>
      </w:r>
      <w:r>
        <w:rPr>
          <w:rtl w:val="0"/>
        </w:rPr>
        <w:t>–</w:t>
      </w:r>
      <w:r>
        <w:rPr>
          <w:rtl w:val="0"/>
        </w:rPr>
        <w:t>33.</w:t>
      </w:r>
    </w:p>
    <w:p>
      <w:pPr>
        <w:pStyle w:val="Text"/>
        <w:spacing w:line="240" w:lineRule="auto"/>
        <w:ind w:left="720" w:hanging="720"/>
      </w:pP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tl w:val="0"/>
          <w:lang w:val="de-DE"/>
        </w:rPr>
        <w:t>Hogarth, D.G., and Grenfell, B.P. (1895</w:t>
      </w:r>
      <w:r>
        <w:rPr>
          <w:rStyle w:val="Hyperlink.0"/>
          <w:rtl w:val="0"/>
        </w:rPr>
        <w:t>–</w:t>
      </w:r>
      <w:r>
        <w:rPr>
          <w:rStyle w:val="Hyperlink.0"/>
          <w:rtl w:val="0"/>
        </w:rPr>
        <w:t>6)</w:t>
      </w:r>
      <w:r>
        <w:rPr/>
        <w:fldChar w:fldCharType="end" w:fldLock="0"/>
      </w:r>
      <w:r>
        <w:rPr>
          <w:rtl w:val="0"/>
          <w:lang w:val="pt-PT"/>
        </w:rPr>
        <w:t xml:space="preserve"> “</w:t>
      </w:r>
      <w:r>
        <w:rPr>
          <w:rtl w:val="0"/>
          <w:lang w:val="en-US"/>
        </w:rPr>
        <w:t>Cities of the Faiy</w:t>
      </w:r>
      <w:r>
        <w:rPr>
          <w:rtl w:val="0"/>
          <w:lang w:val="fr-FR"/>
        </w:rPr>
        <w:t>û</w:t>
      </w:r>
      <w:r>
        <w:rPr>
          <w:rtl w:val="0"/>
          <w:lang w:val="it-IT"/>
        </w:rPr>
        <w:t>m: Karanis and Bacchias,</w:t>
      </w:r>
      <w:r>
        <w:rPr>
          <w:rtl w:val="0"/>
        </w:rPr>
        <w:t xml:space="preserve">” </w:t>
      </w:r>
      <w:r>
        <w:rPr>
          <w:rtl w:val="0"/>
          <w:lang w:val="en-US"/>
        </w:rPr>
        <w:t>Egypt Exploration Fund: Archaeological Report 1895</w:t>
      </w:r>
      <w:r>
        <w:rPr>
          <w:rtl w:val="0"/>
        </w:rPr>
        <w:t>–</w:t>
      </w:r>
      <w:r>
        <w:rPr>
          <w:rtl w:val="0"/>
        </w:rPr>
        <w:t>1896: 14</w:t>
      </w:r>
      <w:r>
        <w:rPr>
          <w:rtl w:val="0"/>
        </w:rPr>
        <w:t>–</w:t>
      </w:r>
      <w:r>
        <w:rPr>
          <w:rtl w:val="0"/>
        </w:rPr>
        <w:t>19.</w:t>
      </w:r>
    </w:p>
    <w:p>
      <w:pPr>
        <w:pStyle w:val="Text"/>
        <w:spacing w:line="240" w:lineRule="auto"/>
        <w:ind w:left="720" w:hanging="720"/>
      </w:pPr>
      <w:r>
        <w:rPr>
          <w:rStyle w:val="Hyperlink.0"/>
        </w:rPr>
        <w:fldChar w:fldCharType="begin" w:fldLock="0"/>
      </w:r>
      <w:r>
        <w:rPr>
          <w:rStyle w:val="Hyperlink.0"/>
        </w:rPr>
        <w:instrText xml:space="preserve"> HYPERLINK "https://papyri.info/biblio/96074"</w:instrText>
      </w:r>
      <w:r>
        <w:rPr>
          <w:rStyle w:val="Hyperlink.0"/>
        </w:rPr>
        <w:fldChar w:fldCharType="separate" w:fldLock="0"/>
      </w:r>
      <w:r>
        <w:rPr>
          <w:rStyle w:val="Hyperlink.0"/>
          <w:rtl w:val="0"/>
          <w:lang w:val="nl-NL"/>
        </w:rPr>
        <w:t>Hunt, A.S. (1926)</w:t>
      </w:r>
      <w:r>
        <w:rPr/>
        <w:fldChar w:fldCharType="end" w:fldLock="0"/>
      </w:r>
      <w:r>
        <w:rPr>
          <w:rtl w:val="0"/>
          <w:lang w:val="pt-PT"/>
        </w:rPr>
        <w:t xml:space="preserve"> “</w:t>
      </w:r>
      <w:r>
        <w:rPr>
          <w:rtl w:val="0"/>
          <w:lang w:val="de-DE"/>
        </w:rPr>
        <w:t>B. P. Grenfell 1869-1926,</w:t>
      </w:r>
      <w:r>
        <w:rPr>
          <w:rtl w:val="0"/>
        </w:rPr>
        <w:t xml:space="preserve">” </w:t>
      </w:r>
      <w:r>
        <w:rPr>
          <w:rtl w:val="0"/>
        </w:rPr>
        <w:t>PBA 12: 357</w:t>
      </w:r>
      <w:r>
        <w:rPr>
          <w:rtl w:val="0"/>
        </w:rPr>
        <w:t>–</w:t>
      </w:r>
      <w:r>
        <w:rPr>
          <w:rtl w:val="0"/>
        </w:rPr>
        <w:t>364.</w:t>
      </w:r>
    </w:p>
    <w:p>
      <w:pPr>
        <w:pStyle w:val="Text"/>
        <w:spacing w:line="240" w:lineRule="auto"/>
        <w:ind w:left="720" w:hanging="720"/>
      </w:pPr>
      <w:r>
        <w:rPr>
          <w:rStyle w:val="Hyperlink.0"/>
        </w:rPr>
        <w:fldChar w:fldCharType="begin" w:fldLock="0"/>
      </w:r>
      <w:r>
        <w:rPr>
          <w:rStyle w:val="Hyperlink.0"/>
        </w:rPr>
        <w:instrText xml:space="preserve"> HYPERLINK "https://papyri.info/biblio/95198"</w:instrText>
      </w:r>
      <w:r>
        <w:rPr>
          <w:rStyle w:val="Hyperlink.0"/>
        </w:rPr>
        <w:fldChar w:fldCharType="separate" w:fldLock="0"/>
      </w:r>
      <w:r>
        <w:rPr>
          <w:rStyle w:val="Hyperlink.0"/>
          <w:rtl w:val="0"/>
          <w:lang w:val="en-US"/>
        </w:rPr>
        <w:t>Kenyon, F.G. and Bell, H.I. (1907)</w:t>
      </w:r>
      <w:r>
        <w:rPr/>
        <w:fldChar w:fldCharType="end" w:fldLock="0"/>
      </w:r>
      <w:r>
        <w:rPr>
          <w:rtl w:val="0"/>
          <w:lang w:val="en-US"/>
        </w:rPr>
        <w:t xml:space="preserve"> Greek Papyri in the British Museum. Catalogue, with Texts. Vol. III. London</w:t>
      </w:r>
    </w:p>
    <w:p>
      <w:pPr>
        <w:pStyle w:val="Text"/>
        <w:spacing w:line="240" w:lineRule="auto"/>
        <w:ind w:left="720" w:hanging="720"/>
      </w:pPr>
      <w:r>
        <w:rPr>
          <w:rStyle w:val="Hyperlink.0"/>
        </w:rPr>
        <w:fldChar w:fldCharType="begin" w:fldLock="0"/>
      </w:r>
      <w:r>
        <w:rPr>
          <w:rStyle w:val="Hyperlink.0"/>
        </w:rPr>
        <w:instrText xml:space="preserve"> HYPERLINK "https://papyri.info/biblio/96080"</w:instrText>
      </w:r>
      <w:r>
        <w:rPr>
          <w:rStyle w:val="Hyperlink.0"/>
        </w:rPr>
        <w:fldChar w:fldCharType="separate" w:fldLock="0"/>
      </w:r>
      <w:r>
        <w:rPr>
          <w:rStyle w:val="Hyperlink.0"/>
          <w:rtl w:val="0"/>
        </w:rPr>
        <w:t>Kenyon, F.G. (1897)</w:t>
      </w:r>
      <w:r>
        <w:rPr/>
        <w:fldChar w:fldCharType="end" w:fldLock="0"/>
      </w:r>
      <w:r>
        <w:rPr>
          <w:rtl w:val="0"/>
        </w:rPr>
        <w:t xml:space="preserve"> </w:t>
      </w:r>
      <w:r>
        <w:rPr>
          <w:rStyle w:val="page number"/>
          <w:color w:val="24292f"/>
          <w:u w:color="24292f"/>
          <w:shd w:val="clear" w:color="auto" w:fill="ffffff"/>
          <w:rtl w:val="0"/>
          <w:lang w:val="en-US"/>
        </w:rPr>
        <w:t>The poems of Bacchylides from a papyrus in the British Museum.</w:t>
      </w:r>
      <w:r>
        <w:rPr>
          <w:rtl w:val="0"/>
        </w:rPr>
        <w:t xml:space="preserve"> London.</w:t>
      </w:r>
    </w:p>
    <w:p>
      <w:pPr>
        <w:pStyle w:val="Text"/>
        <w:spacing w:line="240" w:lineRule="auto"/>
        <w:ind w:left="720" w:hanging="720"/>
      </w:pPr>
      <w:r>
        <w:rPr>
          <w:rStyle w:val="Hyperlink.0"/>
        </w:rPr>
        <w:fldChar w:fldCharType="begin" w:fldLock="0"/>
      </w:r>
      <w:r>
        <w:rPr>
          <w:rStyle w:val="Hyperlink.0"/>
        </w:rPr>
        <w:instrText xml:space="preserve"> HYPERLINK "https://papyri.info/biblio/14863"</w:instrText>
      </w:r>
      <w:r>
        <w:rPr>
          <w:rStyle w:val="Hyperlink.0"/>
        </w:rPr>
        <w:fldChar w:fldCharType="separate" w:fldLock="0"/>
      </w:r>
      <w:r>
        <w:rPr>
          <w:rStyle w:val="Hyperlink.0"/>
          <w:rtl w:val="0"/>
        </w:rPr>
        <w:t>Leonard, A. (1997)</w:t>
      </w:r>
      <w:r>
        <w:rPr/>
        <w:fldChar w:fldCharType="end" w:fldLock="0"/>
      </w:r>
      <w:r>
        <w:rPr>
          <w:rtl w:val="0"/>
          <w:lang w:val="en-US"/>
        </w:rPr>
        <w:t xml:space="preserve"> Ancient Naukratis: Excavations at a Greek Emporium in Egypt. Part I: The Excavations at Kom Ge'if. The Annual of the American Schools of Oriental Research, Vol. 54. Atlanta.</w:t>
      </w:r>
    </w:p>
    <w:p>
      <w:pPr>
        <w:pStyle w:val="Text"/>
        <w:spacing w:line="240" w:lineRule="auto"/>
        <w:ind w:left="720" w:hanging="720"/>
      </w:pPr>
      <w:r>
        <w:rPr>
          <w:rStyle w:val="Hyperlink.0"/>
        </w:rPr>
        <w:fldChar w:fldCharType="begin" w:fldLock="0"/>
      </w:r>
      <w:r>
        <w:rPr>
          <w:rStyle w:val="Hyperlink.0"/>
        </w:rPr>
        <w:instrText xml:space="preserve"> HYPERLINK "https://papyri.info/biblio/35712"</w:instrText>
      </w:r>
      <w:r>
        <w:rPr>
          <w:rStyle w:val="Hyperlink.0"/>
        </w:rPr>
        <w:fldChar w:fldCharType="separate" w:fldLock="0"/>
      </w:r>
      <w:r>
        <w:rPr>
          <w:rStyle w:val="Hyperlink.0"/>
          <w:rtl w:val="0"/>
        </w:rPr>
        <w:t>Lobel, E. (1936)</w:t>
      </w:r>
      <w:r>
        <w:rPr/>
        <w:fldChar w:fldCharType="end" w:fldLock="0"/>
      </w:r>
      <w:r>
        <w:rPr>
          <w:rtl w:val="0"/>
          <w:lang w:val="pt-PT"/>
        </w:rPr>
        <w:t xml:space="preserve"> “</w:t>
      </w:r>
      <w:r>
        <w:rPr>
          <w:rtl w:val="0"/>
          <w:lang w:val="de-DE"/>
        </w:rPr>
        <w:t>A Tragic Fragment,</w:t>
      </w:r>
      <w:r>
        <w:rPr>
          <w:rtl w:val="0"/>
        </w:rPr>
        <w:t xml:space="preserve">” </w:t>
      </w:r>
      <w:r>
        <w:rPr>
          <w:rtl w:val="0"/>
          <w:lang w:val="en-US"/>
        </w:rPr>
        <w:t>in C. Bailey et al. (eds.), Greek Poetry and Life: Essays Presented to Professor Gilbert Murray. London: 295</w:t>
      </w:r>
      <w:r>
        <w:rPr>
          <w:rtl w:val="0"/>
        </w:rPr>
        <w:t>–</w:t>
      </w:r>
      <w:r>
        <w:rPr>
          <w:rtl w:val="0"/>
        </w:rPr>
        <w:t>298.</w:t>
      </w:r>
    </w:p>
    <w:p>
      <w:pPr>
        <w:pStyle w:val="Text"/>
        <w:spacing w:line="240" w:lineRule="auto"/>
        <w:ind w:left="720" w:hanging="720"/>
      </w:pPr>
      <w:r>
        <w:rPr>
          <w:rStyle w:val="Hyperlink.0"/>
        </w:rPr>
        <w:fldChar w:fldCharType="begin" w:fldLock="0"/>
      </w:r>
      <w:r>
        <w:rPr>
          <w:rStyle w:val="Hyperlink.0"/>
        </w:rPr>
        <w:instrText xml:space="preserve"> HYPERLINK "https://papyri.info/biblio/96066"</w:instrText>
      </w:r>
      <w:r>
        <w:rPr>
          <w:rStyle w:val="Hyperlink.0"/>
        </w:rPr>
        <w:fldChar w:fldCharType="separate" w:fldLock="0"/>
      </w:r>
      <w:r>
        <w:rPr>
          <w:rStyle w:val="Hyperlink.0"/>
          <w:rtl w:val="0"/>
        </w:rPr>
        <w:t>Lock, P. (1990)</w:t>
      </w:r>
      <w:r>
        <w:rPr/>
        <w:fldChar w:fldCharType="end" w:fldLock="0"/>
      </w:r>
      <w:r>
        <w:rPr>
          <w:rtl w:val="0"/>
          <w:lang w:val="pt-PT"/>
        </w:rPr>
        <w:t xml:space="preserve"> “</w:t>
      </w:r>
      <w:r>
        <w:rPr>
          <w:rtl w:val="0"/>
          <w:lang w:val="en-US"/>
        </w:rPr>
        <w:t>D.G. Hogarth (1869</w:t>
      </w:r>
      <w:r>
        <w:rPr>
          <w:rtl w:val="0"/>
        </w:rPr>
        <w:t>–</w:t>
      </w:r>
      <w:r>
        <w:rPr>
          <w:rtl w:val="0"/>
        </w:rPr>
        <w:t xml:space="preserve">1927): </w:t>
      </w:r>
      <w:r>
        <w:rPr>
          <w:rtl w:val="0"/>
        </w:rPr>
        <w:t xml:space="preserve">‘… </w:t>
      </w:r>
      <w:r>
        <w:rPr>
          <w:rtl w:val="0"/>
          <w:lang w:val="en-US"/>
        </w:rPr>
        <w:t>A Specialist in the Science of Archaeology</w:t>
      </w:r>
      <w:r>
        <w:rPr>
          <w:rtl w:val="0"/>
        </w:rPr>
        <w:t>’</w:t>
      </w:r>
      <w:r>
        <w:rPr>
          <w:rtl w:val="0"/>
        </w:rPr>
        <w:t>,</w:t>
      </w:r>
      <w:r>
        <w:rPr>
          <w:rtl w:val="0"/>
        </w:rPr>
        <w:t xml:space="preserve">” </w:t>
      </w:r>
      <w:r>
        <w:rPr>
          <w:rtl w:val="0"/>
        </w:rPr>
        <w:t>ABSA 85: 175</w:t>
      </w:r>
      <w:r>
        <w:rPr>
          <w:rtl w:val="0"/>
        </w:rPr>
        <w:t>–</w:t>
      </w:r>
      <w:r>
        <w:rPr>
          <w:rtl w:val="0"/>
        </w:rPr>
        <w:t>200.</w:t>
      </w:r>
    </w:p>
    <w:p>
      <w:pPr>
        <w:pStyle w:val="Text"/>
        <w:spacing w:line="240" w:lineRule="auto"/>
        <w:ind w:left="720" w:hanging="720"/>
      </w:pPr>
      <w:r>
        <w:rPr>
          <w:rStyle w:val="Hyperlink.0"/>
        </w:rPr>
        <w:fldChar w:fldCharType="begin" w:fldLock="0"/>
      </w:r>
      <w:r>
        <w:rPr>
          <w:rStyle w:val="Hyperlink.0"/>
        </w:rPr>
        <w:instrText xml:space="preserve"> HYPERLINK "https://papyri.info/biblio/96069"</w:instrText>
      </w:r>
      <w:r>
        <w:rPr>
          <w:rStyle w:val="Hyperlink.0"/>
        </w:rPr>
        <w:fldChar w:fldCharType="separate" w:fldLock="0"/>
      </w:r>
      <w:r>
        <w:rPr>
          <w:rStyle w:val="Hyperlink.0"/>
          <w:rtl w:val="0"/>
          <w:lang w:val="en-US"/>
        </w:rPr>
        <w:t>Madan, F. and Craster, H. H. E. (1924)</w:t>
      </w:r>
      <w:r>
        <w:rPr/>
        <w:fldChar w:fldCharType="end" w:fldLock="0"/>
      </w:r>
      <w:r>
        <w:rPr>
          <w:rtl w:val="0"/>
          <w:lang w:val="en-US"/>
        </w:rPr>
        <w:t xml:space="preserve"> Summary Catalogue of Western Manuscripts in the Bodleian Library at Oxford. Vol. VI (Accessions 1890</w:t>
      </w:r>
      <w:r>
        <w:rPr>
          <w:rtl w:val="0"/>
        </w:rPr>
        <w:t>–</w:t>
      </w:r>
      <w:r>
        <w:rPr>
          <w:rtl w:val="0"/>
        </w:rPr>
        <w:t>1915) Nos. 31001</w:t>
      </w:r>
      <w:r>
        <w:rPr>
          <w:rtl w:val="0"/>
        </w:rPr>
        <w:t>–</w:t>
      </w:r>
      <w:r>
        <w:rPr>
          <w:rtl w:val="0"/>
        </w:rPr>
        <w:t>37299. Oxford.</w:t>
      </w:r>
    </w:p>
    <w:p>
      <w:pPr>
        <w:pStyle w:val="Text"/>
        <w:spacing w:line="240" w:lineRule="auto"/>
        <w:ind w:left="720" w:hanging="720"/>
      </w:pP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tl w:val="0"/>
        </w:rPr>
        <w:t>Montserrat, D. (1996)</w:t>
      </w:r>
      <w:r>
        <w:rPr/>
        <w:fldChar w:fldCharType="end" w:fldLock="0"/>
      </w:r>
      <w:r>
        <w:rPr>
          <w:rtl w:val="0"/>
        </w:rPr>
        <w:t xml:space="preserve"> “‘</w:t>
      </w:r>
      <w:r>
        <w:rPr>
          <w:rtl w:val="0"/>
          <w:lang w:val="en-US"/>
        </w:rPr>
        <w:t>No Papyrus and No Portraits</w:t>
      </w:r>
      <w:r>
        <w:rPr>
          <w:rtl w:val="0"/>
        </w:rPr>
        <w:t>’</w:t>
      </w:r>
      <w:r>
        <w:rPr>
          <w:rtl w:val="0"/>
          <w:lang w:val="en-US"/>
        </w:rPr>
        <w:t>: Hogarth, Grenfell, and the First Season in the Fayum, 1895</w:t>
      </w:r>
      <w:r>
        <w:rPr>
          <w:rtl w:val="0"/>
        </w:rPr>
        <w:t>–</w:t>
      </w:r>
      <w:r>
        <w:rPr>
          <w:rtl w:val="0"/>
        </w:rPr>
        <w:t>6,</w:t>
      </w:r>
      <w:r>
        <w:rPr>
          <w:rtl w:val="0"/>
        </w:rPr>
        <w:t xml:space="preserve">” </w:t>
      </w:r>
      <w:r>
        <w:rPr>
          <w:rtl w:val="0"/>
        </w:rPr>
        <w:t>BASP 33: 133</w:t>
      </w:r>
      <w:r>
        <w:rPr>
          <w:rtl w:val="0"/>
        </w:rPr>
        <w:t>–</w:t>
      </w:r>
      <w:r>
        <w:rPr>
          <w:rtl w:val="0"/>
        </w:rPr>
        <w:t>176.</w:t>
      </w:r>
    </w:p>
    <w:p>
      <w:pPr>
        <w:pStyle w:val="Text"/>
        <w:spacing w:line="240" w:lineRule="auto"/>
        <w:ind w:left="720" w:hanging="720"/>
      </w:pPr>
      <w:r>
        <w:rPr>
          <w:rStyle w:val="Hyperlink.0"/>
        </w:rPr>
        <w:fldChar w:fldCharType="begin" w:fldLock="0"/>
      </w:r>
      <w:r>
        <w:rPr>
          <w:rStyle w:val="Hyperlink.0"/>
        </w:rPr>
        <w:instrText xml:space="preserve"> HYPERLINK "https://papyri.info/biblio/76740"</w:instrText>
      </w:r>
      <w:r>
        <w:rPr>
          <w:rStyle w:val="Hyperlink.0"/>
        </w:rPr>
        <w:fldChar w:fldCharType="separate" w:fldLock="0"/>
      </w:r>
      <w:r>
        <w:rPr>
          <w:rStyle w:val="Hyperlink.0"/>
          <w:rtl w:val="0"/>
          <w:lang w:val="en-US"/>
        </w:rPr>
        <w:t>Rathbone, D. (2007)</w:t>
      </w:r>
      <w:r>
        <w:rPr/>
        <w:fldChar w:fldCharType="end" w:fldLock="0"/>
      </w:r>
      <w:r>
        <w:rPr>
          <w:rtl w:val="0"/>
          <w:lang w:val="pt-PT"/>
        </w:rPr>
        <w:t xml:space="preserve"> “</w:t>
      </w:r>
      <w:r>
        <w:rPr>
          <w:rtl w:val="0"/>
          <w:lang w:val="en-US"/>
        </w:rPr>
        <w:t>Grenfell and Hunt at Oxyrhynchus and in the Fayum,</w:t>
      </w:r>
      <w:r>
        <w:rPr>
          <w:rtl w:val="0"/>
        </w:rPr>
        <w:t xml:space="preserve">” </w:t>
      </w:r>
      <w:r>
        <w:rPr>
          <w:rtl w:val="0"/>
          <w:lang w:val="en-US"/>
        </w:rPr>
        <w:t xml:space="preserve">in P. Spencer (ed.), The Egypt Exploration Society </w:t>
      </w:r>
      <w:r>
        <w:rPr>
          <w:rtl w:val="0"/>
        </w:rPr>
        <w:t xml:space="preserve">– </w:t>
      </w:r>
      <w:r>
        <w:rPr>
          <w:rtl w:val="0"/>
          <w:lang w:val="en-US"/>
        </w:rPr>
        <w:t>The Early Years. London: 199</w:t>
      </w:r>
      <w:r>
        <w:rPr>
          <w:rtl w:val="0"/>
        </w:rPr>
        <w:t>–</w:t>
      </w:r>
      <w:r>
        <w:rPr>
          <w:rtl w:val="0"/>
        </w:rPr>
        <w:t>229.</w:t>
      </w:r>
    </w:p>
    <w:p>
      <w:pPr>
        <w:pStyle w:val="Text"/>
        <w:spacing w:line="240" w:lineRule="auto"/>
        <w:ind w:left="720" w:hanging="720"/>
      </w:pP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tl w:val="0"/>
          <w:lang w:val="it-IT"/>
        </w:rPr>
        <w:t>Salomons, R.P. (1996)</w:t>
      </w:r>
      <w:r>
        <w:rPr/>
        <w:fldChar w:fldCharType="end" w:fldLock="0"/>
      </w:r>
      <w:r>
        <w:rPr>
          <w:rtl w:val="0"/>
          <w:lang w:val="nl-NL"/>
        </w:rPr>
        <w:t xml:space="preserve"> Papyri Bodleianae I. Amsterdam.</w:t>
      </w:r>
    </w:p>
    <w:p>
      <w:pPr>
        <w:pStyle w:val="Text"/>
        <w:spacing w:line="240" w:lineRule="auto"/>
        <w:ind w:left="720" w:hanging="720"/>
      </w:pPr>
      <w:r>
        <w:rPr>
          <w:rStyle w:val="Hyperlink.0"/>
        </w:rPr>
        <w:fldChar w:fldCharType="begin" w:fldLock="0"/>
      </w:r>
      <w:r>
        <w:rPr>
          <w:rStyle w:val="Hyperlink.0"/>
        </w:rPr>
        <w:instrText xml:space="preserve"> HYPERLINK "https://papyri.info/biblio/96099"</w:instrText>
      </w:r>
      <w:r>
        <w:rPr>
          <w:rStyle w:val="Hyperlink.0"/>
        </w:rPr>
        <w:fldChar w:fldCharType="separate" w:fldLock="0"/>
      </w:r>
      <w:r>
        <w:rPr>
          <w:rStyle w:val="Hyperlink.0"/>
          <w:rtl w:val="0"/>
        </w:rPr>
        <w:t>Sampson, C. M. (2022a)</w:t>
      </w:r>
      <w:r>
        <w:rPr/>
        <w:fldChar w:fldCharType="end" w:fldLock="0"/>
      </w:r>
      <w:r>
        <w:rPr>
          <w:rtl w:val="0"/>
          <w:lang w:val="pt-PT"/>
        </w:rPr>
        <w:t xml:space="preserve"> “</w:t>
      </w:r>
      <w:r>
        <w:rPr>
          <w:rtl w:val="0"/>
          <w:lang w:val="en-US"/>
        </w:rPr>
        <w:t>P.Hamb.graec. 185: Garden Tax Between the Archives of (Lucius) Iulius Serenus and Gemellus Horioin,</w:t>
      </w:r>
      <w:r>
        <w:rPr>
          <w:rtl w:val="0"/>
        </w:rPr>
        <w:t xml:space="preserve">” </w:t>
      </w:r>
      <w:r>
        <w:rPr>
          <w:rtl w:val="0"/>
        </w:rPr>
        <w:t>Pylon 1.</w:t>
      </w:r>
    </w:p>
    <w:p>
      <w:pPr>
        <w:pStyle w:val="Text"/>
        <w:spacing w:line="240" w:lineRule="auto"/>
        <w:ind w:left="720" w:hanging="720"/>
      </w:pPr>
      <w:r>
        <w:rPr>
          <w:rtl w:val="0"/>
          <w:lang w:val="en-US"/>
        </w:rPr>
        <w:t xml:space="preserve">Sampson, C. M. (forthcoming 2022b) </w:t>
      </w:r>
      <w:r>
        <w:rPr>
          <w:rtl w:val="0"/>
          <w:lang w:val="de-DE"/>
        </w:rPr>
        <w:t>“</w:t>
      </w:r>
      <w:r>
        <w:rPr>
          <w:rtl w:val="0"/>
          <w:lang w:val="en-US"/>
        </w:rPr>
        <w:t>New Light on P.Mich. 15 686,</w:t>
      </w:r>
      <w:r>
        <w:rPr>
          <w:rtl w:val="0"/>
        </w:rPr>
        <w:t xml:space="preserve">” </w:t>
      </w:r>
      <w:r>
        <w:rPr>
          <w:rtl w:val="0"/>
        </w:rPr>
        <w:t>Pylon 2.</w:t>
      </w:r>
    </w:p>
    <w:p>
      <w:pPr>
        <w:pStyle w:val="Text"/>
        <w:spacing w:line="240" w:lineRule="auto"/>
        <w:ind w:left="720" w:hanging="720"/>
      </w:pPr>
      <w:r>
        <w:rPr>
          <w:rStyle w:val="Hyperlink.0"/>
        </w:rPr>
        <w:fldChar w:fldCharType="begin" w:fldLock="0"/>
      </w:r>
      <w:r>
        <w:rPr>
          <w:rStyle w:val="Hyperlink.0"/>
        </w:rPr>
        <w:instrText xml:space="preserve"> HYPERLINK "https://papyri.info/biblio/56129"</w:instrText>
      </w:r>
      <w:r>
        <w:rPr>
          <w:rStyle w:val="Hyperlink.0"/>
        </w:rPr>
        <w:fldChar w:fldCharType="separate" w:fldLock="0"/>
      </w:r>
      <w:r>
        <w:rPr>
          <w:rStyle w:val="Hyperlink.0"/>
          <w:rtl w:val="0"/>
        </w:rPr>
        <w:t>Turner, E. G. (1983)</w:t>
      </w:r>
      <w:r>
        <w:rPr/>
        <w:fldChar w:fldCharType="end" w:fldLock="0"/>
      </w:r>
      <w:r>
        <w:rPr>
          <w:rtl w:val="0"/>
          <w:lang w:val="pt-PT"/>
        </w:rPr>
        <w:t xml:space="preserve"> “</w:t>
      </w:r>
      <w:r>
        <w:rPr>
          <w:rtl w:val="0"/>
          <w:lang w:val="de-DE"/>
        </w:rPr>
        <w:t>Edgar Lobel,</w:t>
      </w:r>
      <w:r>
        <w:rPr>
          <w:rtl w:val="0"/>
        </w:rPr>
        <w:t xml:space="preserve">” </w:t>
      </w:r>
      <w:r>
        <w:rPr>
          <w:rtl w:val="0"/>
        </w:rPr>
        <w:t>Gnomon 55: 275</w:t>
      </w:r>
      <w:r>
        <w:rPr>
          <w:rtl w:val="0"/>
        </w:rPr>
        <w:t>–</w:t>
      </w:r>
      <w:r>
        <w:rPr>
          <w:rtl w:val="0"/>
        </w:rPr>
        <w:t>280.</w:t>
      </w:r>
    </w:p>
    <w:p>
      <w:pPr>
        <w:pStyle w:val="Text"/>
        <w:spacing w:line="240" w:lineRule="auto"/>
        <w:ind w:left="720" w:hanging="720"/>
      </w:pPr>
      <w:r>
        <w:rPr>
          <w:rStyle w:val="Hyperlink.0"/>
        </w:rPr>
        <w:fldChar w:fldCharType="begin" w:fldLock="0"/>
      </w:r>
      <w:r>
        <w:rPr>
          <w:rStyle w:val="Hyperlink.0"/>
        </w:rPr>
        <w:instrText xml:space="preserve"> HYPERLINK "https://papyri.info/biblio/64412"</w:instrText>
      </w:r>
      <w:r>
        <w:rPr>
          <w:rStyle w:val="Hyperlink.0"/>
        </w:rPr>
        <w:fldChar w:fldCharType="separate" w:fldLock="0"/>
      </w:r>
      <w:r>
        <w:rPr>
          <w:rStyle w:val="Hyperlink.0"/>
          <w:rtl w:val="0"/>
          <w:lang w:val="nl-NL"/>
        </w:rPr>
        <w:t>Vandorpe, K. (1994)</w:t>
      </w:r>
      <w:r>
        <w:rPr/>
        <w:fldChar w:fldCharType="end" w:fldLock="0"/>
      </w:r>
      <w:r>
        <w:rPr>
          <w:rtl w:val="0"/>
          <w:lang w:val="pt-PT"/>
        </w:rPr>
        <w:t xml:space="preserve"> “</w:t>
      </w:r>
      <w:r>
        <w:rPr>
          <w:rtl w:val="0"/>
          <w:lang w:val="en-US"/>
        </w:rPr>
        <w:t>Museum Archaeology or How to Reconstruct Pathyris Archives.</w:t>
      </w:r>
      <w:r>
        <w:rPr>
          <w:rtl w:val="0"/>
        </w:rPr>
        <w:t xml:space="preserve">” </w:t>
      </w:r>
      <w:r>
        <w:rPr>
          <w:rtl w:val="0"/>
          <w:lang w:val="de-DE"/>
        </w:rPr>
        <w:t>EVO 17: 289</w:t>
      </w:r>
      <w:r>
        <w:rPr>
          <w:rtl w:val="0"/>
        </w:rPr>
        <w:t>–</w:t>
      </w:r>
      <w:r>
        <w:rPr>
          <w:rtl w:val="0"/>
        </w:rPr>
        <w:t>300.</w:t>
      </w:r>
    </w:p>
    <w:p>
      <w:pPr>
        <w:pStyle w:val="Text"/>
        <w:spacing w:line="240" w:lineRule="auto"/>
        <w:ind w:left="720" w:hanging="720"/>
      </w:pPr>
      <w:r>
        <w:rPr>
          <w:rStyle w:val="Hyperlink.0"/>
        </w:rPr>
        <w:fldChar w:fldCharType="begin" w:fldLock="0"/>
      </w:r>
      <w:r>
        <w:rPr>
          <w:rStyle w:val="Hyperlink.0"/>
        </w:rPr>
        <w:instrText xml:space="preserve"> HYPERLINK "https://papyri.info/biblio/20939"</w:instrText>
      </w:r>
      <w:r>
        <w:rPr>
          <w:rStyle w:val="Hyperlink.0"/>
        </w:rPr>
        <w:fldChar w:fldCharType="separate" w:fldLock="0"/>
      </w:r>
      <w:r>
        <w:rPr>
          <w:rStyle w:val="Hyperlink.0"/>
          <w:rtl w:val="0"/>
          <w:lang w:val="de-DE"/>
        </w:rPr>
        <w:t>Vandorpe, K., and Waebens, S. (2009)</w:t>
      </w:r>
      <w:r>
        <w:rPr/>
        <w:fldChar w:fldCharType="end" w:fldLock="0"/>
      </w:r>
      <w:r>
        <w:rPr>
          <w:rtl w:val="0"/>
          <w:lang w:val="en-US"/>
        </w:rPr>
        <w:t>. Reconstructing Pathyris</w:t>
      </w:r>
      <w:r>
        <w:rPr>
          <w:rtl w:val="0"/>
        </w:rPr>
        <w:t xml:space="preserve">’ </w:t>
      </w:r>
      <w:r>
        <w:rPr>
          <w:rtl w:val="0"/>
          <w:lang w:val="en-US"/>
        </w:rPr>
        <w:t>Archives. A Multicultural Community in Hellenistic Egypt. Brussels.</w:t>
      </w:r>
    </w:p>
    <w:p>
      <w:pPr>
        <w:pStyle w:val="Text"/>
        <w:spacing w:line="240" w:lineRule="auto"/>
        <w:ind w:left="720" w:hanging="720"/>
      </w:pP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tl w:val="0"/>
          <w:lang w:val="de-DE"/>
        </w:rPr>
        <w:t>Wegener, E. P. (1937)</w:t>
      </w:r>
      <w:r>
        <w:rPr/>
        <w:fldChar w:fldCharType="end" w:fldLock="0"/>
      </w:r>
      <w:r>
        <w:rPr>
          <w:rtl w:val="0"/>
          <w:lang w:val="pt-PT"/>
        </w:rPr>
        <w:t xml:space="preserve"> “</w:t>
      </w:r>
      <w:r>
        <w:rPr>
          <w:rtl w:val="0"/>
          <w:lang w:val="en-US"/>
        </w:rPr>
        <w:t>Some Oxford Papyri,</w:t>
      </w:r>
      <w:r>
        <w:rPr>
          <w:rtl w:val="0"/>
        </w:rPr>
        <w:t xml:space="preserve">” </w:t>
      </w:r>
      <w:r>
        <w:rPr>
          <w:rtl w:val="0"/>
        </w:rPr>
        <w:t>JEA 23: 204</w:t>
      </w:r>
      <w:r>
        <w:rPr>
          <w:rtl w:val="0"/>
        </w:rPr>
        <w:t>–</w:t>
      </w:r>
      <w:r>
        <w:rPr>
          <w:rtl w:val="0"/>
        </w:rPr>
        <w:t>225.</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rStyle w:val="page number"/>
        <w:sz w:val="20"/>
        <w:szCs w:val="20"/>
        <w:rtl w:val="0"/>
      </w:rPr>
      <w:fldChar w:fldCharType="begin" w:fldLock="0"/>
    </w:r>
    <w:r>
      <w:rPr>
        <w:rStyle w:val="page number"/>
        <w:sz w:val="20"/>
        <w:szCs w:val="20"/>
        <w:rtl w:val="0"/>
      </w:rPr>
      <w:instrText xml:space="preserve"> PAGE </w:instrText>
    </w:r>
    <w:r>
      <w:rPr>
        <w:rStyle w:val="page number"/>
        <w:sz w:val="20"/>
        <w:szCs w:val="20"/>
        <w:rtl w:val="0"/>
      </w:rPr>
      <w:fldChar w:fldCharType="separate" w:fldLock="0"/>
    </w:r>
    <w:r>
      <w:rPr>
        <w:rStyle w:val="page number"/>
        <w:sz w:val="20"/>
        <w:szCs w:val="20"/>
        <w:rtl w:val="0"/>
      </w:rPr>
      <w:t>26</w:t>
    </w:r>
    <w:r>
      <w:rPr>
        <w:rStyle w:val="page number"/>
        <w:sz w:val="20"/>
        <w:szCs w:val="20"/>
        <w:rtl w:val="0"/>
      </w:rPr>
      <w:fldChar w:fldCharType="end" w:fldLock="0"/>
    </w:r>
    <w:r>
      <w:rPr>
        <w:rStyle w:val="page number"/>
        <w:sz w:val="20"/>
        <w:szCs w:val="20"/>
      </w:r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Fonts w:cs="Arial Unicode MS" w:eastAsia="Arial Unicode MS"/>
          <w:rtl w:val="0"/>
        </w:rPr>
        <w:t xml:space="preserve"> For an overview of Hogarth</w:t>
      </w:r>
      <w:r>
        <w:rPr>
          <w:rFonts w:cs="Arial Unicode MS" w:eastAsia="Arial Unicode MS" w:hint="default"/>
          <w:rtl w:val="0"/>
        </w:rPr>
        <w:t>’</w:t>
      </w:r>
      <w:r>
        <w:rPr>
          <w:rFonts w:cs="Arial Unicode MS" w:eastAsia="Arial Unicode MS"/>
          <w:rtl w:val="0"/>
        </w:rPr>
        <w:t xml:space="preserve">s career, see </w:t>
      </w:r>
      <w:r>
        <w:rPr>
          <w:rStyle w:val="Hyperlink.0"/>
        </w:rPr>
        <w:fldChar w:fldCharType="begin" w:fldLock="0"/>
      </w:r>
      <w:r>
        <w:rPr>
          <w:rStyle w:val="Hyperlink.0"/>
        </w:rPr>
        <w:instrText xml:space="preserve"> HYPERLINK "https://papyri.info/biblio/96066"</w:instrText>
      </w:r>
      <w:r>
        <w:rPr>
          <w:rStyle w:val="Hyperlink.0"/>
        </w:rPr>
        <w:fldChar w:fldCharType="separate" w:fldLock="0"/>
      </w:r>
      <w:r>
        <w:rPr>
          <w:rStyle w:val="Hyperlink.0"/>
          <w:rFonts w:cs="Arial Unicode MS" w:eastAsia="Arial Unicode MS"/>
          <w:rtl w:val="0"/>
        </w:rPr>
        <w:t>Lock 1990</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"https://papyri.info/biblio/96095"</w:instrText>
      </w:r>
      <w:r>
        <w:rPr>
          <w:rStyle w:val="Hyperlink.0"/>
        </w:rPr>
        <w:fldChar w:fldCharType="separate" w:fldLock="0"/>
      </w:r>
      <w:r>
        <w:rPr>
          <w:rStyle w:val="Hyperlink.0"/>
          <w:rFonts w:cs="Arial Unicode MS" w:eastAsia="Arial Unicode MS"/>
          <w:rtl w:val="0"/>
        </w:rPr>
        <w:t>Hall 1928</w:t>
      </w:r>
      <w:r>
        <w:rPr/>
        <w:fldChar w:fldCharType="end" w:fldLock="0"/>
      </w:r>
      <w:r>
        <w:rPr>
          <w:rFonts w:cs="Arial Unicode MS" w:eastAsia="Arial Unicode MS"/>
          <w:rtl w:val="0"/>
        </w:rPr>
        <w:t>.</w:t>
      </w:r>
    </w:p>
  </w:footnote>
  <w:footnote w:id="2">
    <w:p>
      <w:pPr>
        <w:pStyle w:val="footnote text"/>
      </w:pPr>
      <w:r>
        <w:rPr>
          <w:rStyle w:val="footnote reference"/>
        </w:rPr>
        <w:footnoteRef/>
      </w:r>
      <w:r>
        <w:rPr>
          <w:rFonts w:cs="Arial Unicode MS" w:eastAsia="Arial Unicode MS"/>
          <w:rtl w:val="0"/>
        </w:rPr>
        <w:t xml:space="preserve"> Hogarth</w:t>
      </w:r>
      <w:r>
        <w:rPr>
          <w:rFonts w:cs="Arial Unicode MS" w:eastAsia="Arial Unicode MS" w:hint="default"/>
          <w:rtl w:val="0"/>
        </w:rPr>
        <w:t>’</w:t>
      </w:r>
      <w:r>
        <w:rPr>
          <w:rFonts w:cs="Arial Unicode MS" w:eastAsia="Arial Unicode MS"/>
          <w:rtl w:val="0"/>
        </w:rPr>
        <w:t>s name appears in the entries for 170 items in the Ashmolean Museum, 81 in the online Pitt Rivers Museum catalogue (</w:t>
      </w:r>
      <w:r>
        <w:rPr>
          <w:rStyle w:val="Hyperlink.0"/>
        </w:rPr>
        <w:fldChar w:fldCharType="begin" w:fldLock="0"/>
      </w:r>
      <w:r>
        <w:rPr>
          <w:rStyle w:val="Hyperlink.0"/>
        </w:rPr>
        <w:instrText xml:space="preserve"> HYPERLINK "http://databases.prm.ox.ac.uk/fmi/webd/objects_online"</w:instrText>
      </w:r>
      <w:r>
        <w:rPr>
          <w:rStyle w:val="Hyperlink.0"/>
        </w:rPr>
        <w:fldChar w:fldCharType="separate" w:fldLock="0"/>
      </w:r>
      <w:r>
        <w:rPr>
          <w:rStyle w:val="Hyperlink.0"/>
          <w:rFonts w:cs="Arial Unicode MS" w:eastAsia="Arial Unicode MS"/>
          <w:rtl w:val="0"/>
        </w:rPr>
        <w:t>http://databases.prm.ox.ac.uk/fmi/webd/objects_online</w:t>
      </w:r>
      <w:r>
        <w:rPr/>
        <w:fldChar w:fldCharType="end" w:fldLock="0"/>
      </w:r>
      <w:r>
        <w:rPr>
          <w:rFonts w:cs="Arial Unicode MS" w:eastAsia="Arial Unicode MS"/>
          <w:rtl w:val="0"/>
        </w:rPr>
        <w:t>), and 1,793 in the British Museum (</w:t>
      </w:r>
      <w:r>
        <w:rPr>
          <w:rStyle w:val="Hyperlink.0"/>
        </w:rPr>
        <w:fldChar w:fldCharType="begin" w:fldLock="0"/>
      </w:r>
      <w:r>
        <w:rPr>
          <w:rStyle w:val="Hyperlink.0"/>
        </w:rPr>
        <w:instrText xml:space="preserve"> HYPERLINK "https://www.britishmuseum.org/collection/search?agent=Dr%2520David%2520George%2520Hogarth"</w:instrText>
      </w:r>
      <w:r>
        <w:rPr>
          <w:rStyle w:val="Hyperlink.0"/>
        </w:rPr>
        <w:fldChar w:fldCharType="separate" w:fldLock="0"/>
      </w:r>
      <w:r>
        <w:rPr>
          <w:rStyle w:val="Hyperlink.0"/>
          <w:rFonts w:cs="Arial Unicode MS" w:eastAsia="Arial Unicode MS"/>
          <w:rtl w:val="0"/>
        </w:rPr>
        <w:t>https://www.britishmuseum.org/collection/search?agent=Dr%20David%20George%20Hogarth</w:t>
      </w:r>
      <w:r>
        <w:rPr/>
        <w:fldChar w:fldCharType="end" w:fldLock="0"/>
      </w:r>
      <w:r>
        <w:rPr>
          <w:rFonts w:cs="Arial Unicode MS" w:eastAsia="Arial Unicode MS"/>
          <w:rtl w:val="0"/>
        </w:rPr>
        <w:t>). Both sites last accessed 15 August 2022.</w:t>
      </w:r>
    </w:p>
  </w:footnote>
  <w:footnote w:id="3">
    <w:p>
      <w:pPr>
        <w:pStyle w:val="footnote text"/>
      </w:pPr>
      <w:r>
        <w:rPr>
          <w:rStyle w:val="footnote reference"/>
        </w:rPr>
        <w:footnoteRef/>
      </w:r>
      <w:r>
        <w:rPr>
          <w:rFonts w:cs="Arial Unicode MS" w:eastAsia="Arial Unicode MS"/>
          <w:rtl w:val="0"/>
        </w:rPr>
        <w:t xml:space="preserve"> In a 17 December 1927 letter to Dick Knowles, Lawrence wrote </w:t>
      </w:r>
      <w:r>
        <w:rPr>
          <w:rFonts w:cs="Arial Unicode MS" w:eastAsia="Arial Unicode MS" w:hint="default"/>
          <w:rtl w:val="0"/>
        </w:rPr>
        <w:t>“</w:t>
      </w:r>
      <w:r>
        <w:rPr>
          <w:rFonts w:cs="Arial Unicode MS" w:eastAsia="Arial Unicode MS"/>
          <w:rtl w:val="0"/>
        </w:rPr>
        <w:t xml:space="preserve">Today is the anniversary of our sailing from Southampton. I was very unhappy at tearing up my roots, once more. The first time I left England, in 1905, was a dream of delight: not that it was the first time, of course; but in 1905 I began my own, independent, voluntary travels. France, mainly: then further afield, by slow degrees, until the War cut short that development of me into a sort of Hogarth: a travelled, archaeological sort of man, with geography and a pen as his two standbys. </w:t>
      </w:r>
      <w:r>
        <w:rPr>
          <w:rStyle w:val="page number"/>
          <w:rFonts w:cs="Arial Unicode MS" w:eastAsia="Arial Unicode MS"/>
          <w:b w:val="1"/>
          <w:bCs w:val="1"/>
          <w:rtl w:val="0"/>
          <w:lang w:val="en-US"/>
        </w:rPr>
        <w:t>Hogarth was a very wonderful man. You never met him. He was first of all human, and then charitable, and then alive. I owed him everything I had, since I was 17, which is the age at which I suddenly found myself.</w:t>
      </w:r>
      <w:r>
        <w:rPr>
          <w:rFonts w:cs="Arial Unicode MS" w:eastAsia="Arial Unicode MS"/>
          <w:rtl w:val="0"/>
        </w:rPr>
        <w:t xml:space="preserve"> You may have begun a little earlier, since the being torn out of home is an education in itself</w:t>
      </w:r>
      <w:r>
        <w:rPr>
          <w:rFonts w:cs="Arial Unicode MS" w:eastAsia="Arial Unicode MS" w:hint="default"/>
          <w:rtl w:val="0"/>
        </w:rPr>
        <w:t xml:space="preserve">” </w:t>
      </w:r>
      <w:r>
        <w:rPr>
          <w:rFonts w:cs="Arial Unicode MS" w:eastAsia="Arial Unicode MS"/>
          <w:rtl w:val="0"/>
        </w:rPr>
        <w:t xml:space="preserve">(my emphasis). See </w:t>
      </w:r>
      <w:r>
        <w:rPr>
          <w:rStyle w:val="Hyperlink.0"/>
        </w:rPr>
        <w:fldChar w:fldCharType="begin" w:fldLock="0"/>
      </w:r>
      <w:r>
        <w:rPr>
          <w:rStyle w:val="Hyperlink.0"/>
        </w:rPr>
        <w:instrText xml:space="preserve"> HYPERLINK "https://papyri.info/biblio/96083"</w:instrText>
      </w:r>
      <w:r>
        <w:rPr>
          <w:rStyle w:val="Hyperlink.0"/>
        </w:rPr>
        <w:fldChar w:fldCharType="separate" w:fldLock="0"/>
      </w:r>
      <w:r>
        <w:rPr>
          <w:rStyle w:val="Hyperlink.0"/>
          <w:rFonts w:cs="Arial Unicode MS" w:eastAsia="Arial Unicode MS"/>
          <w:rtl w:val="0"/>
        </w:rPr>
        <w:t>Garnett 1941: no. 149, p. 255</w:t>
      </w:r>
      <w:r>
        <w:rPr/>
        <w:fldChar w:fldCharType="end" w:fldLock="0"/>
      </w:r>
      <w:r>
        <w:rPr>
          <w:rFonts w:cs="Arial Unicode MS" w:eastAsia="Arial Unicode MS"/>
          <w:rtl w:val="0"/>
        </w:rPr>
        <w:t>.</w:t>
      </w:r>
    </w:p>
  </w:footnote>
  <w:footnote w:id="4">
    <w:p>
      <w:pPr>
        <w:pStyle w:val="footnote text"/>
      </w:pPr>
      <w:r>
        <w:rPr>
          <w:rStyle w:val="footnote reference"/>
        </w:rPr>
        <w:footnoteRef/>
      </w:r>
      <w:r>
        <w:rPr>
          <w:rFonts w:cs="Arial Unicode MS" w:eastAsia="Arial Unicode MS"/>
          <w:rtl w:val="0"/>
        </w:rPr>
        <w:t xml:space="preserve"> The Egypt Exploration Fund is today known as the Egypt Exploration Society, but the renaming did not occur until 1919 and I will refer to it throughout this article in Hogarth</w:t>
      </w:r>
      <w:r>
        <w:rPr>
          <w:rFonts w:cs="Arial Unicode MS" w:eastAsia="Arial Unicode MS" w:hint="default"/>
          <w:rtl w:val="0"/>
        </w:rPr>
        <w:t>’</w:t>
      </w:r>
      <w:r>
        <w:rPr>
          <w:rFonts w:cs="Arial Unicode MS" w:eastAsia="Arial Unicode MS"/>
          <w:rtl w:val="0"/>
        </w:rPr>
        <w:t xml:space="preserve">s fashion, as </w:t>
      </w:r>
      <w:r>
        <w:rPr>
          <w:rFonts w:cs="Arial Unicode MS" w:eastAsia="Arial Unicode MS" w:hint="default"/>
          <w:rtl w:val="0"/>
        </w:rPr>
        <w:t>“</w:t>
      </w:r>
      <w:r>
        <w:rPr>
          <w:rFonts w:cs="Arial Unicode MS" w:eastAsia="Arial Unicode MS"/>
          <w:rtl w:val="0"/>
        </w:rPr>
        <w:t>the Fund.</w:t>
      </w:r>
      <w:r>
        <w:rPr>
          <w:rFonts w:cs="Arial Unicode MS" w:eastAsia="Arial Unicode MS" w:hint="default"/>
          <w:rtl w:val="0"/>
        </w:rPr>
        <w:t xml:space="preserve">” </w:t>
      </w:r>
      <w:r>
        <w:rPr>
          <w:rFonts w:cs="Arial Unicode MS" w:eastAsia="Arial Unicode MS"/>
          <w:rtl w:val="0"/>
        </w:rPr>
        <w:t>Hogarth</w:t>
      </w:r>
      <w:r>
        <w:rPr>
          <w:rFonts w:cs="Arial Unicode MS" w:eastAsia="Arial Unicode MS" w:hint="default"/>
          <w:rtl w:val="0"/>
        </w:rPr>
        <w:t>’</w:t>
      </w:r>
      <w:r>
        <w:rPr>
          <w:rFonts w:cs="Arial Unicode MS" w:eastAsia="Arial Unicode MS"/>
          <w:rtl w:val="0"/>
        </w:rPr>
        <w:t xml:space="preserve">s starting salary was </w:t>
      </w:r>
      <w:r>
        <w:rPr>
          <w:rFonts w:cs="Arial Unicode MS" w:eastAsia="Arial Unicode MS" w:hint="default"/>
          <w:rtl w:val="0"/>
        </w:rPr>
        <w:t>£</w:t>
      </w:r>
      <w:r>
        <w:rPr>
          <w:rFonts w:cs="Arial Unicode MS" w:eastAsia="Arial Unicode MS"/>
          <w:rtl w:val="0"/>
        </w:rPr>
        <w:t xml:space="preserve">300 a year, plus expenses: Hogarth to Laura V. Uppleby, Harston Rectory, Grantham (undated): P452/PER/2/2/1. By the time of his resignation, it had evidently risen to </w:t>
      </w:r>
      <w:r>
        <w:rPr>
          <w:rFonts w:cs="Arial Unicode MS" w:eastAsia="Arial Unicode MS" w:hint="default"/>
          <w:rtl w:val="0"/>
        </w:rPr>
        <w:t>£</w:t>
      </w:r>
      <w:r>
        <w:rPr>
          <w:rFonts w:cs="Arial Unicode MS" w:eastAsia="Arial Unicode MS"/>
          <w:rtl w:val="0"/>
        </w:rPr>
        <w:t xml:space="preserve">500: see B. P. Grenfell to W. M. F. Petrie, Beni-Mazar (14 February 1897), transcribed by </w:t>
      </w:r>
      <w:r>
        <w:rPr>
          <w:rStyle w:val="Hyperlink.0"/>
        </w:rPr>
        <w:fldChar w:fldCharType="begin" w:fldLock="0"/>
      </w:r>
      <w:r>
        <w:rPr>
          <w:rStyle w:val="Hyperlink.0"/>
        </w:rPr>
        <w:instrText xml:space="preserve"> HYPERLINK "https://papyri.info/biblio/96090"</w:instrText>
      </w:r>
      <w:r>
        <w:rPr>
          <w:rStyle w:val="Hyperlink.0"/>
        </w:rPr>
        <w:fldChar w:fldCharType="separate" w:fldLock="0"/>
      </w:r>
      <w:r>
        <w:rPr>
          <w:rStyle w:val="Hyperlink.0"/>
          <w:rFonts w:cs="Arial Unicode MS" w:eastAsia="Arial Unicode MS"/>
          <w:rtl w:val="0"/>
        </w:rPr>
        <w:t>Hickey and Keenan (2016: 365</w:t>
      </w:r>
      <w:r>
        <w:rPr>
          <w:rStyle w:val="Hyperlink.0"/>
          <w:rFonts w:cs="Arial Unicode MS" w:eastAsia="Arial Unicode MS" w:hint="default"/>
          <w:rtl w:val="0"/>
        </w:rPr>
        <w:t>–</w:t>
      </w:r>
      <w:r>
        <w:rPr>
          <w:rStyle w:val="Hyperlink.0"/>
          <w:rFonts w:cs="Arial Unicode MS" w:eastAsia="Arial Unicode MS"/>
          <w:rtl w:val="0"/>
        </w:rPr>
        <w:t>375, on 373)</w:t>
      </w:r>
      <w:r>
        <w:rPr/>
        <w:fldChar w:fldCharType="end" w:fldLock="0"/>
      </w:r>
      <w:r>
        <w:rPr>
          <w:rFonts w:cs="Arial Unicode MS" w:eastAsia="Arial Unicode MS"/>
          <w:rtl w:val="0"/>
        </w:rPr>
        <w:t>. The latter letter is now kept in the Petrie Museum of Archaeology (6/GRE/01); the former is part of the Papers of David George Hogarth (1860s</w:t>
      </w:r>
      <w:r>
        <w:rPr>
          <w:rFonts w:cs="Arial Unicode MS" w:eastAsia="Arial Unicode MS" w:hint="default"/>
          <w:rtl w:val="0"/>
        </w:rPr>
        <w:t>–</w:t>
      </w:r>
      <w:r>
        <w:rPr>
          <w:rFonts w:cs="Arial Unicode MS" w:eastAsia="Arial Unicode MS"/>
          <w:rtl w:val="0"/>
        </w:rPr>
        <w:t>2017), now held by the Magdalen College Archives, cited throughout this article in accordance with the Archive</w:t>
      </w:r>
      <w:r>
        <w:rPr>
          <w:rFonts w:cs="Arial Unicode MS" w:eastAsia="Arial Unicode MS" w:hint="default"/>
          <w:rtl w:val="0"/>
        </w:rPr>
        <w:t>’</w:t>
      </w:r>
      <w:r>
        <w:rPr>
          <w:rFonts w:cs="Arial Unicode MS" w:eastAsia="Arial Unicode MS"/>
          <w:rtl w:val="0"/>
        </w:rPr>
        <w:t>s records (</w:t>
      </w:r>
      <w:r>
        <w:rPr>
          <w:rStyle w:val="Hyperlink.0"/>
        </w:rPr>
        <w:fldChar w:fldCharType="begin" w:fldLock="0"/>
      </w:r>
      <w:r>
        <w:rPr>
          <w:rStyle w:val="Hyperlink.0"/>
        </w:rPr>
        <w:instrText xml:space="preserve"> HYPERLINK "https://archive-cat.magd.ox.ac.uk/records/P452"</w:instrText>
      </w:r>
      <w:r>
        <w:rPr>
          <w:rStyle w:val="Hyperlink.0"/>
        </w:rPr>
        <w:fldChar w:fldCharType="separate" w:fldLock="0"/>
      </w:r>
      <w:r>
        <w:rPr>
          <w:rStyle w:val="Hyperlink.0"/>
          <w:rFonts w:cs="Arial Unicode MS" w:eastAsia="Arial Unicode MS"/>
          <w:rtl w:val="0"/>
        </w:rPr>
        <w:t>https://archive-cat.magd.ox.ac.uk/records/P452</w:t>
      </w:r>
      <w:r>
        <w:rPr/>
        <w:fldChar w:fldCharType="end" w:fldLock="0"/>
      </w:r>
      <w:r>
        <w:rPr>
          <w:rFonts w:cs="Arial Unicode MS" w:eastAsia="Arial Unicode MS"/>
          <w:rtl w:val="0"/>
        </w:rPr>
        <w:t>). Last accessed 15 August 2022.</w:t>
      </w:r>
    </w:p>
  </w:footnote>
  <w:footnote w:id="5">
    <w:p>
      <w:pPr>
        <w:pStyle w:val="footnote text"/>
      </w:pPr>
      <w:r>
        <w:rPr>
          <w:rStyle w:val="footnote reference"/>
        </w:rPr>
        <w:footnoteRef/>
      </w:r>
      <w:r>
        <w:rPr>
          <w:rFonts w:cs="Arial Unicode MS" w:eastAsia="Arial Unicode MS"/>
          <w:rtl w:val="0"/>
        </w:rPr>
        <w:t xml:space="preserve"> Arthur S. Hunt did not arrive in the Fayum until 16 January 1896 and worked that season at his own expense. For a summary of the season</w:t>
      </w:r>
      <w:r>
        <w:rPr>
          <w:rFonts w:cs="Arial Unicode MS" w:eastAsia="Arial Unicode MS" w:hint="default"/>
          <w:rtl w:val="0"/>
        </w:rPr>
        <w:t>’</w:t>
      </w:r>
      <w:r>
        <w:rPr>
          <w:rFonts w:cs="Arial Unicode MS" w:eastAsia="Arial Unicode MS"/>
          <w:rtl w:val="0"/>
        </w:rPr>
        <w:t xml:space="preserve">s work, see </w:t>
      </w:r>
      <w:r>
        <w:rPr>
          <w:rStyle w:val="Hyperlink.0"/>
        </w:rPr>
        <w:fldChar w:fldCharType="begin" w:fldLock="0"/>
      </w:r>
      <w:r>
        <w:rPr>
          <w:rStyle w:val="Hyperlink.0"/>
        </w:rPr>
        <w:instrText xml:space="preserve"> HYPERLINK "https://papyri.info/biblio/15202"</w:instrText>
      </w:r>
      <w:r>
        <w:rPr>
          <w:rStyle w:val="Hyperlink.0"/>
        </w:rPr>
        <w:fldChar w:fldCharType="separate" w:fldLock="0"/>
      </w:r>
      <w:r>
        <w:rPr>
          <w:rStyle w:val="Hyperlink.0"/>
          <w:rFonts w:cs="Arial Unicode MS" w:eastAsia="Arial Unicode MS"/>
          <w:rtl w:val="0"/>
        </w:rPr>
        <w:t>Davoli (1998: 74</w:t>
      </w:r>
      <w:r>
        <w:rPr>
          <w:rStyle w:val="Hyperlink.0"/>
          <w:rFonts w:cs="Arial Unicode MS" w:eastAsia="Arial Unicode MS" w:hint="default"/>
          <w:rtl w:val="0"/>
        </w:rPr>
        <w:t>–</w:t>
      </w:r>
      <w:r>
        <w:rPr>
          <w:rStyle w:val="Hyperlink.0"/>
          <w:rFonts w:cs="Arial Unicode MS" w:eastAsia="Arial Unicode MS"/>
          <w:rtl w:val="0"/>
        </w:rPr>
        <w:t>76)</w:t>
      </w:r>
      <w:r>
        <w:rPr/>
        <w:fldChar w:fldCharType="end" w:fldLock="0"/>
      </w:r>
      <w:r>
        <w:rPr>
          <w:rFonts w:cs="Arial Unicode MS" w:eastAsia="Arial Unicode MS"/>
          <w:rtl w:val="0"/>
        </w:rPr>
        <w:t>.</w:t>
      </w:r>
    </w:p>
  </w:footnote>
  <w:footnote w:id="6">
    <w:p>
      <w:pPr>
        <w:pStyle w:val="footnote text"/>
      </w:pPr>
      <w:r>
        <w:rPr>
          <w:rStyle w:val="footnote reference"/>
        </w:rPr>
        <w:footnoteRef/>
      </w:r>
      <w:r>
        <w:rPr>
          <w:rFonts w:cs="Arial Unicode MS" w:eastAsia="Arial Unicode MS"/>
          <w:rtl w:val="0"/>
        </w:rPr>
        <w:t xml:space="preserve"> Letter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On the unconventional nature of the dig, see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Grenfell, Hunt, and Hogarth 1900</w:t>
      </w:r>
      <w:r>
        <w:rPr/>
        <w:fldChar w:fldCharType="end" w:fldLock="0"/>
      </w:r>
      <w:r>
        <w:rPr>
          <w:rStyle w:val="Hyperlink.0"/>
          <w:rFonts w:cs="Arial Unicode MS" w:eastAsia="Arial Unicode MS"/>
          <w:rtl w:val="0"/>
        </w:rPr>
        <w:t>: 20</w:t>
      </w:r>
      <w:r>
        <w:rPr>
          <w:rFonts w:cs="Arial Unicode MS" w:eastAsia="Arial Unicode MS"/>
          <w:rtl w:val="0"/>
        </w:rPr>
        <w:t>.</w:t>
      </w:r>
    </w:p>
  </w:footnote>
  <w:footnote w:id="7">
    <w:p>
      <w:pPr>
        <w:pStyle w:val="footnote text"/>
      </w:pPr>
      <w:r>
        <w:rPr>
          <w:rStyle w:val="footnote reference"/>
        </w:rPr>
        <w:footnoteRef/>
      </w:r>
      <w:r>
        <w:rPr>
          <w:rFonts w:cs="Arial Unicode MS" w:eastAsia="Arial Unicode MS" w:hint="default"/>
          <w:rtl w:val="0"/>
        </w:rPr>
        <w:t xml:space="preserve"> “</w:t>
      </w:r>
      <w:r>
        <w:rPr>
          <w:rFonts w:cs="Arial Unicode MS" w:eastAsia="Arial Unicode MS"/>
          <w:rtl w:val="0"/>
        </w:rPr>
        <w:t>It was in 1877 that a large find of papyri was made in the Fayum, and later Professor Petrie made his discovery of papyri in mummy cases. Digging was not always done by organized diggers, and therefore one had to go to the dealers in order to obtain papyri. The system was bad, but a good deal could still be got from them. The idea of digging for papyri occurred to Mr. Grenfell, and accordingly he and the lecturer [sc. Hogarth], having obtained a concession, began work on two mounds in the Fayum.</w:t>
      </w:r>
      <w:r>
        <w:rPr>
          <w:rFonts w:cs="Arial Unicode MS" w:eastAsia="Arial Unicode MS" w:hint="default"/>
          <w:rtl w:val="0"/>
        </w:rPr>
        <w:t>” “</w:t>
      </w:r>
      <w:r>
        <w:rPr>
          <w:rFonts w:cs="Arial Unicode MS" w:eastAsia="Arial Unicode MS"/>
          <w:rtl w:val="0"/>
        </w:rPr>
        <w:t>Egypt Exploration Fund,</w:t>
      </w:r>
      <w:r>
        <w:rPr>
          <w:rFonts w:cs="Arial Unicode MS" w:eastAsia="Arial Unicode MS" w:hint="default"/>
          <w:rtl w:val="0"/>
        </w:rPr>
        <w:t xml:space="preserve">” </w:t>
      </w:r>
      <w:r>
        <w:rPr>
          <w:rFonts w:cs="Arial Unicode MS" w:eastAsia="Arial Unicode MS"/>
          <w:rtl w:val="0"/>
        </w:rPr>
        <w:t xml:space="preserve">The Times (3 July 1896). </w:t>
      </w:r>
    </w:p>
  </w:footnote>
  <w:footnote w:id="8">
    <w:p>
      <w:pPr>
        <w:pStyle w:val="footnote text"/>
      </w:pPr>
      <w:r>
        <w:rPr>
          <w:rStyle w:val="footnote reference"/>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122</w:t>
      </w:r>
      <w:r>
        <w:rPr>
          <w:rStyle w:val="Hyperlink.0"/>
          <w:rFonts w:cs="Arial Unicode MS" w:eastAsia="Arial Unicode MS" w:hint="default"/>
          <w:rtl w:val="0"/>
        </w:rPr>
        <w:t>–</w:t>
      </w:r>
      <w:r>
        <w:rPr>
          <w:rStyle w:val="Hyperlink.0"/>
          <w:rFonts w:cs="Arial Unicode MS" w:eastAsia="Arial Unicode MS"/>
          <w:rtl w:val="0"/>
        </w:rPr>
        <w:t>124)</w:t>
      </w:r>
      <w:r>
        <w:rPr/>
        <w:fldChar w:fldCharType="end" w:fldLock="0"/>
      </w:r>
      <w:r>
        <w:rPr>
          <w:rFonts w:cs="Arial Unicode MS" w:eastAsia="Arial Unicode MS"/>
          <w:rtl w:val="0"/>
        </w:rPr>
        <w:t>, on dealers and the official permits they obtained.</w:t>
      </w:r>
    </w:p>
  </w:footnote>
  <w:footnote w:id="9">
    <w:p>
      <w:pPr>
        <w:pStyle w:val="footnote text"/>
      </w:pPr>
      <w:r>
        <w:rPr>
          <w:rStyle w:val="footnote reference"/>
        </w:rPr>
        <w:footnoteRef/>
      </w:r>
      <w:r>
        <w:rPr>
          <w:rFonts w:cs="Arial Unicode MS" w:eastAsia="Arial Unicode MS" w:hint="default"/>
          <w:rtl w:val="0"/>
        </w:rPr>
        <w:t xml:space="preserve"> “</w:t>
      </w:r>
      <w:r>
        <w:rPr>
          <w:rFonts w:cs="Arial Unicode MS" w:eastAsia="Arial Unicode MS"/>
          <w:rtl w:val="0"/>
        </w:rPr>
        <w:t xml:space="preserve">We are high up on the flank of a great mound, in which we are digging. Lord only knows what town it is </w:t>
      </w:r>
      <w:r>
        <w:rPr>
          <w:rFonts w:cs="Arial Unicode MS" w:eastAsia="Arial Unicode MS" w:hint="default"/>
          <w:rtl w:val="0"/>
        </w:rPr>
        <w:t xml:space="preserve">– </w:t>
      </w:r>
      <w:r>
        <w:rPr>
          <w:rFonts w:cs="Arial Unicode MS" w:eastAsia="Arial Unicode MS"/>
          <w:rtl w:val="0"/>
        </w:rPr>
        <w:t>it</w:t>
      </w:r>
      <w:r>
        <w:rPr>
          <w:rFonts w:cs="Arial Unicode MS" w:eastAsia="Arial Unicode MS" w:hint="default"/>
          <w:rtl w:val="0"/>
        </w:rPr>
        <w:t>’</w:t>
      </w:r>
      <w:r>
        <w:rPr>
          <w:rFonts w:cs="Arial Unicode MS" w:eastAsia="Arial Unicode MS"/>
          <w:rtl w:val="0"/>
        </w:rPr>
        <w:t xml:space="preserve">s one of our duties to find out the name </w:t>
      </w:r>
      <w:r>
        <w:rPr>
          <w:rFonts w:cs="Arial Unicode MS" w:eastAsia="Arial Unicode MS" w:hint="default"/>
          <w:rtl w:val="0"/>
        </w:rPr>
        <w:t xml:space="preserve">– </w:t>
      </w:r>
      <w:r>
        <w:rPr>
          <w:rFonts w:cs="Arial Unicode MS" w:eastAsia="Arial Unicode MS"/>
          <w:rtl w:val="0"/>
        </w:rPr>
        <w:t>but anyway it is big enough to last us a full season and more. All Graeco-Roman, thank heavens! no hieroglyphs or hieratic postures or women with the heads hoisted off their shoulders! We are after papyri mainly and have got even now some which may turn out well. At present the dig is mainly in the Temple and the Tombs</w:t>
      </w:r>
      <w:r>
        <w:rPr>
          <w:rFonts w:cs="Arial Unicode MS" w:eastAsia="Arial Unicode MS" w:hint="default"/>
          <w:rtl w:val="0"/>
        </w:rPr>
        <w:t xml:space="preserve">…” </w:t>
      </w:r>
      <w:r>
        <w:rPr>
          <w:rFonts w:cs="Arial Unicode MS" w:eastAsia="Arial Unicode MS"/>
          <w:rtl w:val="0"/>
        </w:rPr>
        <w:t>Hogarth to Charles R. Fletcher,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(30 December 1894): P452/PER/4/4. See also the second quotation in fn. 10 (supra) from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14)</w:t>
      </w:r>
      <w:r>
        <w:rPr/>
        <w:fldChar w:fldCharType="end" w:fldLock="0"/>
      </w:r>
      <w:r>
        <w:rPr>
          <w:rFonts w:cs="Arial Unicode MS" w:eastAsia="Arial Unicode MS"/>
          <w:rtl w:val="0"/>
        </w:rPr>
        <w:t>. The two mounds of the 1895/6 season turned out to preserve the ruins of ancient Karanis and Bacchias.</w:t>
      </w:r>
    </w:p>
  </w:footnote>
  <w:footnote w:id="10">
    <w:p>
      <w:pPr>
        <w:pStyle w:val="footnote text"/>
      </w:pPr>
      <w:r>
        <w:rPr>
          <w:rStyle w:val="footnote reference"/>
        </w:rPr>
        <w:footnoteRef/>
      </w:r>
      <w:r>
        <w:rPr>
          <w:rFonts w:cs="Arial Unicode MS" w:eastAsia="Arial Unicode MS"/>
          <w:rtl w:val="0"/>
        </w:rPr>
        <w:t xml:space="preserve"> The financial and ethical concerns are evident in </w:t>
      </w:r>
      <w:r>
        <w:rPr>
          <w:rStyle w:val="Hyperlink.0"/>
        </w:rPr>
        <w:fldChar w:fldCharType="begin" w:fldLock="0"/>
      </w:r>
      <w:r>
        <w:rPr>
          <w:rStyle w:val="Hyperlink.0"/>
        </w:rPr>
        <w:instrText xml:space="preserve"> HYPERLINK "https://papyri.info/biblio/96074"</w:instrText>
      </w:r>
      <w:r>
        <w:rPr>
          <w:rStyle w:val="Hyperlink.0"/>
        </w:rPr>
        <w:fldChar w:fldCharType="separate" w:fldLock="0"/>
      </w:r>
      <w:r>
        <w:rPr>
          <w:rStyle w:val="Hyperlink.0"/>
          <w:rFonts w:cs="Arial Unicode MS" w:eastAsia="Arial Unicode MS"/>
          <w:rtl w:val="0"/>
        </w:rPr>
        <w:t>Hunt (1926: 3)</w:t>
      </w:r>
      <w:r>
        <w:rPr/>
        <w:fldChar w:fldCharType="end" w:fldLock="0"/>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During the course of 1895 a project was shaped which was destined to have a far-reaching effect on the development of papyrology. The flow of papyri from various districts to the antiquity-dealers was obviously proceeding. Might it not be more satisfactory, perhaps in the long term more economical, to go to the source and dig them up for oneself instead of buying them at second or third hand, thereby encouraging an illicit traffic.</w:t>
      </w:r>
      <w:r>
        <w:rPr>
          <w:rFonts w:cs="Arial Unicode MS" w:eastAsia="Arial Unicode MS" w:hint="default"/>
          <w:rtl w:val="0"/>
        </w:rPr>
        <w:t xml:space="preserve">” </w:t>
      </w:r>
      <w:r>
        <w:rPr>
          <w:rFonts w:cs="Arial Unicode MS" w:eastAsia="Arial Unicode MS"/>
          <w:rtl w:val="0"/>
        </w:rPr>
        <w:t xml:space="preserve">The link between scholarly and ethical concerns is implicit in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14)</w:t>
      </w:r>
      <w:r>
        <w:rPr/>
        <w:fldChar w:fldCharType="end" w:fldLock="0"/>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the Faiy</w:t>
      </w:r>
      <w:r>
        <w:rPr>
          <w:rFonts w:cs="Arial Unicode MS" w:eastAsia="Arial Unicode MS" w:hint="default"/>
          <w:rtl w:val="0"/>
        </w:rPr>
        <w:t>û</w:t>
      </w:r>
      <w:r>
        <w:rPr>
          <w:rFonts w:cs="Arial Unicode MS" w:eastAsia="Arial Unicode MS"/>
          <w:rtl w:val="0"/>
        </w:rPr>
        <w:t>m at this moment is very far indeed from being worked out. Much as has been filtering from it to Europe through various channels since 1877, the dealers</w:t>
      </w:r>
      <w:r>
        <w:rPr>
          <w:rFonts w:cs="Arial Unicode MS" w:eastAsia="Arial Unicode MS" w:hint="default"/>
          <w:rtl w:val="0"/>
        </w:rPr>
        <w:t xml:space="preserve">’ </w:t>
      </w:r>
      <w:r>
        <w:rPr>
          <w:rFonts w:cs="Arial Unicode MS" w:eastAsia="Arial Unicode MS"/>
          <w:rtl w:val="0"/>
        </w:rPr>
        <w:t xml:space="preserve">shops in Cairo and Medinet were still full of its papyri in 1895. </w:t>
      </w:r>
      <w:r>
        <w:rPr>
          <w:rStyle w:val="page number"/>
          <w:rFonts w:cs="Arial Unicode MS" w:eastAsia="Arial Unicode MS"/>
          <w:b w:val="1"/>
          <w:bCs w:val="1"/>
          <w:rtl w:val="0"/>
          <w:lang w:val="en-US"/>
        </w:rPr>
        <w:t xml:space="preserve">And furthermore, concerning all the documents which have found their way to London, Berlin, Vienna, and Paris, hardly a single fact as to </w:t>
      </w:r>
      <w:r>
        <w:rPr>
          <w:rStyle w:val="page number"/>
          <w:rFonts w:cs="Arial Unicode MS" w:eastAsia="Arial Unicode MS"/>
          <w:b w:val="1"/>
          <w:bCs w:val="1"/>
          <w:i w:val="1"/>
          <w:iCs w:val="1"/>
          <w:rtl w:val="0"/>
          <w:lang w:val="en-US"/>
        </w:rPr>
        <w:t xml:space="preserve">provenance </w:t>
      </w:r>
      <w:r>
        <w:rPr>
          <w:rStyle w:val="page number"/>
          <w:rFonts w:cs="Arial Unicode MS" w:eastAsia="Arial Unicode MS"/>
          <w:b w:val="1"/>
          <w:bCs w:val="1"/>
          <w:rtl w:val="0"/>
          <w:lang w:val="en-US"/>
        </w:rPr>
        <w:t>is known, their discovery having been due in all cases to native diggers. Consequently, out of scores of place names, added by the papyri to the meagre literary list of towns in the Arsinoite nome, only one had been fixed to any particular site</w:t>
      </w:r>
      <w:r>
        <w:rPr>
          <w:rFonts w:cs="Arial Unicode MS" w:eastAsia="Arial Unicode MS"/>
          <w:rtl w:val="0"/>
        </w:rPr>
        <w:t xml:space="preserve">: that one was </w:t>
      </w:r>
      <w:r>
        <w:rPr>
          <w:rStyle w:val="page number"/>
          <w:rFonts w:cs="Arial Unicode MS" w:eastAsia="Arial Unicode MS"/>
          <w:i w:val="1"/>
          <w:iCs w:val="1"/>
          <w:rtl w:val="0"/>
          <w:lang w:val="en-US"/>
        </w:rPr>
        <w:t>Socnopaei Nesus</w:t>
      </w:r>
      <w:r>
        <w:rPr>
          <w:rFonts w:cs="Arial Unicode MS" w:eastAsia="Arial Unicode MS"/>
          <w:rtl w:val="0"/>
        </w:rPr>
        <w:t xml:space="preserve">, identified certainly with </w:t>
      </w:r>
      <w:r>
        <w:rPr>
          <w:rStyle w:val="page number"/>
          <w:rFonts w:cs="Arial Unicode MS" w:eastAsia="Arial Unicode MS"/>
          <w:i w:val="1"/>
          <w:iCs w:val="1"/>
          <w:rtl w:val="0"/>
          <w:lang w:val="en-US"/>
        </w:rPr>
        <w:t>Dim</w:t>
      </w:r>
      <w:r>
        <w:rPr>
          <w:rStyle w:val="page number"/>
          <w:rFonts w:cs="Arial Unicode MS" w:eastAsia="Arial Unicode MS" w:hint="default"/>
          <w:i w:val="1"/>
          <w:iCs w:val="1"/>
          <w:rtl w:val="0"/>
          <w:lang w:val="en-US"/>
        </w:rPr>
        <w:t>ê</w:t>
      </w:r>
      <w:r>
        <w:rPr>
          <w:rStyle w:val="page number"/>
          <w:rFonts w:cs="Arial Unicode MS" w:eastAsia="Arial Unicode MS"/>
          <w:i w:val="1"/>
          <w:iCs w:val="1"/>
          <w:rtl w:val="0"/>
          <w:lang w:val="en-US"/>
        </w:rPr>
        <w:t xml:space="preserve">h </w:t>
      </w:r>
      <w:r>
        <w:rPr>
          <w:rFonts w:cs="Arial Unicode MS" w:eastAsia="Arial Unicode MS"/>
          <w:rtl w:val="0"/>
        </w:rPr>
        <w:t>in the far north-west</w:t>
      </w:r>
      <w:r>
        <w:rPr>
          <w:rFonts w:cs="Arial Unicode MS" w:eastAsia="Arial Unicode MS" w:hint="default"/>
          <w:rtl w:val="0"/>
        </w:rPr>
        <w:t xml:space="preserve">” </w:t>
      </w:r>
      <w:r>
        <w:rPr>
          <w:rFonts w:cs="Arial Unicode MS" w:eastAsia="Arial Unicode MS"/>
          <w:rtl w:val="0"/>
        </w:rPr>
        <w:t>(my emphasis).</w:t>
      </w:r>
    </w:p>
  </w:footnote>
  <w:footnote w:id="11">
    <w:p>
      <w:pPr>
        <w:pStyle w:val="footnote text"/>
      </w:pPr>
      <w:r>
        <w:rPr>
          <w:rStyle w:val="footnote reference"/>
        </w:rPr>
        <w:footnoteRef/>
      </w:r>
      <w:r>
        <w:rPr>
          <w:rFonts w:cs="Arial Unicode MS" w:eastAsia="Arial Unicode MS"/>
          <w:rtl w:val="0"/>
        </w:rPr>
        <w:t xml:space="preserve"> See, e.g., the judicious remarks of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133</w:t>
      </w:r>
      <w:r>
        <w:rPr>
          <w:rStyle w:val="Hyperlink.0"/>
          <w:rFonts w:cs="Arial Unicode MS" w:eastAsia="Arial Unicode MS" w:hint="default"/>
          <w:rtl w:val="0"/>
        </w:rPr>
        <w:t>–</w:t>
      </w:r>
      <w:r>
        <w:rPr>
          <w:rStyle w:val="Hyperlink.0"/>
          <w:rFonts w:cs="Arial Unicode MS" w:eastAsia="Arial Unicode MS"/>
          <w:rtl w:val="0"/>
        </w:rPr>
        <w:t>137</w:t>
      </w:r>
      <w:r>
        <w:rPr/>
        <w:fldChar w:fldCharType="end" w:fldLock="0"/>
      </w:r>
      <w:r>
        <w:rPr>
          <w:rFonts w:cs="Arial Unicode MS" w:eastAsia="Arial Unicode MS"/>
          <w:rtl w:val="0"/>
        </w:rPr>
        <w:t xml:space="preserve">. Cf. </w:t>
      </w:r>
      <w:r>
        <w:rPr>
          <w:rStyle w:val="Hyperlink.0"/>
        </w:rPr>
        <w:fldChar w:fldCharType="begin" w:fldLock="0"/>
      </w:r>
      <w:r>
        <w:rPr>
          <w:rStyle w:val="Hyperlink.0"/>
        </w:rPr>
        <w:instrText xml:space="preserve"> HYPERLINK "https://papyri.info/biblio/96066"</w:instrText>
      </w:r>
      <w:r>
        <w:rPr>
          <w:rStyle w:val="Hyperlink.0"/>
        </w:rPr>
        <w:fldChar w:fldCharType="separate" w:fldLock="0"/>
      </w:r>
      <w:r>
        <w:rPr>
          <w:rStyle w:val="Hyperlink.0"/>
          <w:rFonts w:cs="Arial Unicode MS" w:eastAsia="Arial Unicode MS"/>
          <w:rtl w:val="0"/>
        </w:rPr>
        <w:t>Lock 1990: 180</w:t>
      </w:r>
      <w:r>
        <w:rPr>
          <w:rStyle w:val="Hyperlink.0"/>
          <w:rFonts w:cs="Arial Unicode MS" w:eastAsia="Arial Unicode MS" w:hint="default"/>
          <w:rtl w:val="0"/>
        </w:rPr>
        <w:t>–</w:t>
      </w:r>
      <w:r>
        <w:rPr>
          <w:rStyle w:val="Hyperlink.0"/>
          <w:rFonts w:cs="Arial Unicode MS" w:eastAsia="Arial Unicode MS"/>
          <w:rtl w:val="0"/>
        </w:rPr>
        <w:t>185</w:t>
      </w:r>
      <w:r>
        <w:rPr/>
        <w:fldChar w:fldCharType="end" w:fldLock="0"/>
      </w:r>
      <w:r>
        <w:rPr>
          <w:rFonts w:cs="Arial Unicode MS" w:eastAsia="Arial Unicode MS"/>
          <w:rtl w:val="0"/>
        </w:rPr>
        <w:t>.</w:t>
      </w:r>
    </w:p>
  </w:footnote>
  <w:footnote w:id="12">
    <w:p>
      <w:pPr>
        <w:pStyle w:val="Text"/>
        <w:spacing w:line="240" w:lineRule="auto"/>
        <w:ind w:firstLine="0"/>
      </w:pPr>
      <w:r>
        <w:rPr>
          <w:rStyle w:val="footnote reference"/>
        </w:rPr>
        <w:footnoteRef/>
      </w:r>
      <w:r>
        <w:rPr>
          <w:rStyle w:val="page number"/>
          <w:sz w:val="20"/>
          <w:szCs w:val="20"/>
          <w:rtl w:val="0"/>
        </w:rPr>
        <w:t xml:space="preserve"> </w:t>
      </w:r>
      <w:r>
        <w:rPr>
          <w:rStyle w:val="Hyperlink.1"/>
        </w:rPr>
        <w:fldChar w:fldCharType="begin" w:fldLock="0"/>
      </w:r>
      <w:r>
        <w:rPr>
          <w:rStyle w:val="Hyperlink.1"/>
        </w:rPr>
        <w:instrText xml:space="preserve"> HYPERLINK "https://papyri.info/biblio/95143"</w:instrText>
      </w:r>
      <w:r>
        <w:rPr>
          <w:rStyle w:val="Hyperlink.1"/>
        </w:rPr>
        <w:fldChar w:fldCharType="separate" w:fldLock="0"/>
      </w:r>
      <w:r>
        <w:rPr>
          <w:rStyle w:val="Hyperlink.1"/>
          <w:rtl w:val="0"/>
          <w:lang w:val="en-US"/>
        </w:rPr>
        <w:t>Grenfell, Hunt, and Hogarth 1900</w:t>
      </w:r>
      <w:r>
        <w:rPr/>
        <w:fldChar w:fldCharType="end" w:fldLock="0"/>
      </w:r>
      <w:r>
        <w:rPr>
          <w:rStyle w:val="page number"/>
          <w:sz w:val="20"/>
          <w:szCs w:val="20"/>
          <w:rtl w:val="0"/>
          <w:lang w:val="en-US"/>
        </w:rPr>
        <w:t xml:space="preserve">; see also the field report </w:t>
      </w:r>
      <w:r>
        <w:rPr>
          <w:rStyle w:val="Hyperlink.1"/>
        </w:rPr>
        <w:fldChar w:fldCharType="begin" w:fldLock="0"/>
      </w:r>
      <w:r>
        <w:rPr>
          <w:rStyle w:val="Hyperlink.1"/>
        </w:rPr>
        <w:instrText xml:space="preserve"> HYPERLINK "https://papyri.info/biblio/96072"</w:instrText>
      </w:r>
      <w:r>
        <w:rPr>
          <w:rStyle w:val="Hyperlink.1"/>
        </w:rPr>
        <w:fldChar w:fldCharType="separate" w:fldLock="0"/>
      </w:r>
      <w:r>
        <w:rPr>
          <w:rStyle w:val="Hyperlink.1"/>
          <w:rtl w:val="0"/>
          <w:lang w:val="en-US"/>
        </w:rPr>
        <w:t>Hogarth and Grenfell 1895</w:t>
      </w:r>
      <w:r>
        <w:rPr>
          <w:rStyle w:val="Hyperlink.1"/>
          <w:rtl w:val="0"/>
        </w:rPr>
        <w:t>–</w:t>
      </w:r>
      <w:r>
        <w:rPr>
          <w:rStyle w:val="Hyperlink.1"/>
          <w:rtl w:val="0"/>
        </w:rPr>
        <w:t>6</w:t>
      </w:r>
      <w:r>
        <w:rPr/>
        <w:fldChar w:fldCharType="end" w:fldLock="0"/>
      </w:r>
      <w:r>
        <w:rPr>
          <w:rStyle w:val="page number"/>
          <w:sz w:val="20"/>
          <w:szCs w:val="20"/>
          <w:rtl w:val="0"/>
        </w:rPr>
        <w:t xml:space="preserve">. Cf. </w:t>
      </w:r>
      <w:r>
        <w:rPr>
          <w:rStyle w:val="Hyperlink.1"/>
        </w:rPr>
        <w:fldChar w:fldCharType="begin" w:fldLock="0"/>
      </w:r>
      <w:r>
        <w:rPr>
          <w:rStyle w:val="Hyperlink.1"/>
        </w:rPr>
        <w:instrText xml:space="preserve"> HYPERLINK "https://papyri.info/biblio/96066"</w:instrText>
      </w:r>
      <w:r>
        <w:rPr>
          <w:rStyle w:val="Hyperlink.1"/>
        </w:rPr>
        <w:fldChar w:fldCharType="separate" w:fldLock="0"/>
      </w:r>
      <w:r>
        <w:rPr>
          <w:rStyle w:val="Hyperlink.1"/>
          <w:rtl w:val="0"/>
          <w:lang w:val="en-US"/>
        </w:rPr>
        <w:t>Lock 1990: 185</w:t>
      </w:r>
      <w:r>
        <w:rPr/>
        <w:fldChar w:fldCharType="end" w:fldLock="0"/>
      </w:r>
      <w:r>
        <w:rPr>
          <w:rStyle w:val="page number"/>
          <w:sz w:val="20"/>
          <w:szCs w:val="20"/>
          <w:rtl w:val="0"/>
        </w:rPr>
        <w:t xml:space="preserve">: </w:t>
      </w:r>
      <w:r>
        <w:rPr>
          <w:rStyle w:val="page number"/>
          <w:sz w:val="20"/>
          <w:szCs w:val="20"/>
          <w:rtl w:val="0"/>
          <w:lang w:val="de-DE"/>
        </w:rPr>
        <w:t>“</w:t>
      </w:r>
      <w:r>
        <w:rPr>
          <w:rStyle w:val="page number"/>
          <w:sz w:val="20"/>
          <w:szCs w:val="20"/>
          <w:rtl w:val="0"/>
          <w:lang w:val="en-US"/>
        </w:rPr>
        <w:t>It is very much a book for the papyrologist.</w:t>
      </w:r>
      <w:r>
        <w:rPr>
          <w:rStyle w:val="page number"/>
          <w:sz w:val="20"/>
          <w:szCs w:val="20"/>
          <w:rtl w:val="0"/>
        </w:rPr>
        <w:t>”</w:t>
      </w:r>
    </w:p>
  </w:footnote>
  <w:footnote w:id="13">
    <w:p>
      <w:pPr>
        <w:pStyle w:val="footnote text"/>
      </w:pPr>
      <w:r>
        <w:rPr>
          <w:rStyle w:val="footnote reference"/>
        </w:rPr>
        <w:footnoteRef/>
      </w:r>
      <w:r>
        <w:rPr>
          <w:rFonts w:cs="Arial Unicode MS" w:eastAsia="Arial Unicode MS"/>
          <w:rtl w:val="0"/>
        </w:rPr>
        <w:t xml:space="preserve"> For Hogarth</w:t>
      </w:r>
      <w:r>
        <w:rPr>
          <w:rFonts w:cs="Arial Unicode MS" w:eastAsia="Arial Unicode MS" w:hint="default"/>
          <w:rtl w:val="0"/>
        </w:rPr>
        <w:t>’</w:t>
      </w:r>
      <w:r>
        <w:rPr>
          <w:rFonts w:cs="Arial Unicode MS" w:eastAsia="Arial Unicode MS"/>
          <w:rtl w:val="0"/>
        </w:rPr>
        <w:t>s resignation letter, offering six months</w:t>
      </w:r>
      <w:r>
        <w:rPr>
          <w:rFonts w:cs="Arial Unicode MS" w:eastAsia="Arial Unicode MS" w:hint="default"/>
          <w:rtl w:val="0"/>
        </w:rPr>
        <w:t xml:space="preserve">’ </w:t>
      </w:r>
      <w:r>
        <w:rPr>
          <w:rFonts w:cs="Arial Unicode MS" w:eastAsia="Arial Unicode MS"/>
          <w:rtl w:val="0"/>
        </w:rPr>
        <w:t xml:space="preserve">notice, see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167</w:t>
      </w:r>
      <w:r>
        <w:rPr>
          <w:rStyle w:val="Hyperlink.0"/>
          <w:rFonts w:cs="Arial Unicode MS" w:eastAsia="Arial Unicode MS" w:hint="default"/>
          <w:rtl w:val="0"/>
        </w:rPr>
        <w:t>–</w:t>
      </w:r>
      <w:r>
        <w:rPr>
          <w:rStyle w:val="Hyperlink.0"/>
          <w:rFonts w:cs="Arial Unicode MS" w:eastAsia="Arial Unicode MS"/>
          <w:rtl w:val="0"/>
        </w:rPr>
        <w:t>171)</w:t>
      </w:r>
      <w:r>
        <w:rPr/>
        <w:fldChar w:fldCharType="end" w:fldLock="0"/>
      </w:r>
      <w:r>
        <w:rPr>
          <w:rFonts w:cs="Arial Unicode MS" w:eastAsia="Arial Unicode MS"/>
          <w:rtl w:val="0"/>
        </w:rPr>
        <w:t xml:space="preserve">: the letter is housed in the archives of the Egypt Exploration Society (EES Inv. III k 139). On the same day he wrote home </w:t>
      </w:r>
      <w:r>
        <w:rPr>
          <w:rFonts w:cs="Arial Unicode MS" w:eastAsia="Arial Unicode MS" w:hint="default"/>
          <w:rtl w:val="0"/>
        </w:rPr>
        <w:t>“</w:t>
      </w:r>
      <w:r>
        <w:rPr>
          <w:rFonts w:cs="Arial Unicode MS" w:eastAsia="Arial Unicode MS"/>
          <w:rtl w:val="0"/>
        </w:rPr>
        <w:t>I have resigned the Fund so must get home to arrange matters and decide what</w:t>
      </w:r>
      <w:r>
        <w:rPr>
          <w:rFonts w:cs="Arial Unicode MS" w:eastAsia="Arial Unicode MS" w:hint="default"/>
          <w:rtl w:val="0"/>
        </w:rPr>
        <w:t>’</w:t>
      </w:r>
      <w:r>
        <w:rPr>
          <w:rFonts w:cs="Arial Unicode MS" w:eastAsia="Arial Unicode MS"/>
          <w:rtl w:val="0"/>
        </w:rPr>
        <w:t>s to be done.</w:t>
      </w:r>
      <w:r>
        <w:rPr>
          <w:rFonts w:cs="Arial Unicode MS" w:eastAsia="Arial Unicode MS" w:hint="default"/>
          <w:rtl w:val="0"/>
        </w:rPr>
        <w:t xml:space="preserve">” </w:t>
      </w:r>
      <w:r>
        <w:rPr>
          <w:rFonts w:cs="Arial Unicode MS" w:eastAsia="Arial Unicode MS"/>
          <w:rtl w:val="0"/>
        </w:rPr>
        <w:t xml:space="preserve">Hogarth to Laura V. Hogarth, Mena House Hotel, Pyramids, Cairo (14 March 1896): P452/PER/2/2/2. For the recommendation of Grenfell, see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139)</w:t>
      </w:r>
      <w:r>
        <w:rPr/>
        <w:fldChar w:fldCharType="end" w:fldLock="0"/>
      </w:r>
      <w:r>
        <w:rPr>
          <w:rFonts w:cs="Arial Unicode MS" w:eastAsia="Arial Unicode MS"/>
          <w:rtl w:val="0"/>
        </w:rPr>
        <w:t>, citing the minutes of the Fund</w:t>
      </w:r>
      <w:r>
        <w:rPr>
          <w:rFonts w:cs="Arial Unicode MS" w:eastAsia="Arial Unicode MS" w:hint="default"/>
          <w:rtl w:val="0"/>
        </w:rPr>
        <w:t>’</w:t>
      </w:r>
      <w:r>
        <w:rPr>
          <w:rFonts w:cs="Arial Unicode MS" w:eastAsia="Arial Unicode MS"/>
          <w:rtl w:val="0"/>
        </w:rPr>
        <w:t>s Annual General Meeting on 13 November 1896. Grenfell</w:t>
      </w:r>
      <w:r>
        <w:rPr>
          <w:rFonts w:cs="Arial Unicode MS" w:eastAsia="Arial Unicode MS" w:hint="default"/>
          <w:rtl w:val="0"/>
        </w:rPr>
        <w:t>’</w:t>
      </w:r>
      <w:r>
        <w:rPr>
          <w:rFonts w:cs="Arial Unicode MS" w:eastAsia="Arial Unicode MS"/>
          <w:rtl w:val="0"/>
        </w:rPr>
        <w:t xml:space="preserve">s professional capabilities more than made up for an occasionally difficult personality: Hogarth at one point writes that he was </w:t>
      </w:r>
      <w:r>
        <w:rPr>
          <w:rFonts w:cs="Arial Unicode MS" w:eastAsia="Arial Unicode MS" w:hint="default"/>
          <w:rtl w:val="0"/>
        </w:rPr>
        <w:t>“</w:t>
      </w:r>
      <w:r>
        <w:rPr>
          <w:rFonts w:cs="Arial Unicode MS" w:eastAsia="Arial Unicode MS"/>
          <w:rtl w:val="0"/>
        </w:rPr>
        <w:t xml:space="preserve">very unkempt + jerky + sometimes combative </w:t>
      </w:r>
      <w:r>
        <w:rPr>
          <w:rFonts w:cs="Arial Unicode MS" w:eastAsia="Arial Unicode MS" w:hint="default"/>
          <w:rtl w:val="0"/>
        </w:rPr>
        <w:t xml:space="preserve">– </w:t>
      </w:r>
      <w:r>
        <w:rPr>
          <w:rFonts w:cs="Arial Unicode MS" w:eastAsia="Arial Unicode MS"/>
          <w:rtl w:val="0"/>
        </w:rPr>
        <w:t xml:space="preserve">his mother again! But we get on all right </w:t>
      </w:r>
      <w:r>
        <w:rPr>
          <w:rFonts w:cs="Arial Unicode MS" w:eastAsia="Arial Unicode MS" w:hint="default"/>
          <w:rtl w:val="0"/>
        </w:rPr>
        <w:t xml:space="preserve">– </w:t>
      </w:r>
      <w:r>
        <w:rPr>
          <w:rFonts w:cs="Arial Unicode MS" w:eastAsia="Arial Unicode MS"/>
          <w:rtl w:val="0"/>
        </w:rPr>
        <w:t>best when there is a lot to do.</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w:t>
      </w:r>
    </w:p>
  </w:footnote>
  <w:footnote w:id="14">
    <w:p>
      <w:pPr>
        <w:pStyle w:val="footnote text"/>
      </w:pPr>
      <w:r>
        <w:rPr>
          <w:rStyle w:val="footnote reference"/>
        </w:rPr>
        <w:footnoteRef/>
      </w:r>
      <w:r>
        <w:rPr>
          <w:rFonts w:cs="Arial Unicode MS" w:eastAsia="Arial Unicode MS"/>
          <w:rtl w:val="0"/>
        </w:rPr>
        <w:t xml:space="preserve"> Hogarth and Grenfell surveyed the southern Fayum in the first week of March before departing Egypt, and then publicly advocated for the continuation of the Fayum expedition in the winter of 1896/7: see </w:t>
      </w:r>
      <w:r>
        <w:rPr>
          <w:rStyle w:val="Hyperlink.0"/>
        </w:rPr>
        <w:fldChar w:fldCharType="begin" w:fldLock="0"/>
      </w:r>
      <w:r>
        <w:rPr>
          <w:rStyle w:val="Hyperlink.0"/>
        </w:rPr>
        <w:instrText xml:space="preserve"> HYPERLINK "https://papyri.info/biblio/96072"</w:instrText>
      </w:r>
      <w:r>
        <w:rPr>
          <w:rStyle w:val="Hyperlink.0"/>
        </w:rPr>
        <w:fldChar w:fldCharType="separate" w:fldLock="0"/>
      </w:r>
      <w:r>
        <w:rPr>
          <w:rStyle w:val="Hyperlink.0"/>
          <w:rFonts w:cs="Arial Unicode MS" w:eastAsia="Arial Unicode MS"/>
          <w:rtl w:val="0"/>
        </w:rPr>
        <w:t>Hogarth and Grenfell 1895</w:t>
      </w:r>
      <w:r>
        <w:rPr>
          <w:rStyle w:val="Hyperlink.0"/>
          <w:rFonts w:cs="Arial Unicode MS" w:eastAsia="Arial Unicode MS" w:hint="default"/>
          <w:rtl w:val="0"/>
        </w:rPr>
        <w:t>–</w:t>
      </w:r>
      <w:r>
        <w:rPr>
          <w:rStyle w:val="Hyperlink.0"/>
          <w:rFonts w:cs="Arial Unicode MS" w:eastAsia="Arial Unicode MS"/>
          <w:rtl w:val="0"/>
        </w:rPr>
        <w:t>6: 19</w:t>
      </w:r>
      <w:r>
        <w:rPr/>
        <w:fldChar w:fldCharType="end" w:fldLock="0"/>
      </w:r>
      <w:r>
        <w:rPr>
          <w:rFonts w:cs="Arial Unicode MS" w:eastAsia="Arial Unicode MS"/>
          <w:rtl w:val="0"/>
        </w:rPr>
        <w:t>. But Grenfell and Hunt would not return to the Fayum until the 1898/9 season.</w:t>
      </w:r>
    </w:p>
  </w:footnote>
  <w:footnote w:id="15">
    <w:p>
      <w:pPr>
        <w:pStyle w:val="footnote text"/>
      </w:pPr>
      <w:r>
        <w:rPr>
          <w:rStyle w:val="footnote reference"/>
        </w:rPr>
        <w:footnoteRef/>
      </w:r>
      <w:r>
        <w:rPr>
          <w:rFonts w:cs="Arial Unicode MS" w:eastAsia="Arial Unicode MS"/>
          <w:rtl w:val="0"/>
        </w:rPr>
        <w:t xml:space="preserve"> As </w:t>
      </w:r>
      <w:r>
        <w:rPr>
          <w:rStyle w:val="Hyperlink.0"/>
        </w:rPr>
        <w:fldChar w:fldCharType="begin" w:fldLock="0"/>
      </w:r>
      <w:r>
        <w:rPr>
          <w:rStyle w:val="Hyperlink.0"/>
        </w:rPr>
        <w:instrText xml:space="preserve"> HYPERLINK "https://papyri.info/biblio/76740"</w:instrText>
      </w:r>
      <w:r>
        <w:rPr>
          <w:rStyle w:val="Hyperlink.0"/>
        </w:rPr>
        <w:fldChar w:fldCharType="separate" w:fldLock="0"/>
      </w:r>
      <w:r>
        <w:rPr>
          <w:rStyle w:val="Hyperlink.0"/>
          <w:rFonts w:cs="Arial Unicode MS" w:eastAsia="Arial Unicode MS"/>
          <w:rtl w:val="0"/>
        </w:rPr>
        <w:t>Rathbone (2007: 200)</w:t>
      </w:r>
      <w:r>
        <w:rPr/>
        <w:fldChar w:fldCharType="end" w:fldLock="0"/>
      </w:r>
      <w:r>
        <w:rPr>
          <w:rFonts w:cs="Arial Unicode MS" w:eastAsia="Arial Unicode MS"/>
          <w:rtl w:val="0"/>
        </w:rPr>
        <w:t xml:space="preserve"> notes, Grenfell and Hunt </w:t>
      </w:r>
      <w:r>
        <w:rPr>
          <w:rFonts w:cs="Arial Unicode MS" w:eastAsia="Arial Unicode MS" w:hint="default"/>
          <w:rtl w:val="0"/>
        </w:rPr>
        <w:t>“</w:t>
      </w:r>
      <w:r>
        <w:rPr>
          <w:rFonts w:cs="Arial Unicode MS" w:eastAsia="Arial Unicode MS"/>
          <w:rtl w:val="0"/>
        </w:rPr>
        <w:t>had little interest in the archaeology of the sites where they worked. They kept no systematic records and made no plans of their excavations, although Grenfell was preparing for publication an annotated map of the mounds of Oxyrhynchus which he never finished. However they were diligent in keeping the mummies, complete pots and objects of all types, from plough to haircomb, found incidentally by their workmen.</w:t>
      </w:r>
      <w:r>
        <w:rPr>
          <w:rFonts w:cs="Arial Unicode MS" w:eastAsia="Arial Unicode MS" w:hint="default"/>
          <w:rtl w:val="0"/>
        </w:rPr>
        <w:t xml:space="preserve">” </w:t>
      </w:r>
      <w:r>
        <w:rPr>
          <w:rFonts w:cs="Arial Unicode MS" w:eastAsia="Arial Unicode MS"/>
          <w:rtl w:val="0"/>
        </w:rPr>
        <w:t>But in 1895/6, Grenfell did make records of his activities, to which Hogarth</w:t>
      </w:r>
      <w:r>
        <w:rPr>
          <w:rFonts w:cs="Arial Unicode MS" w:eastAsia="Arial Unicode MS" w:hint="default"/>
          <w:rtl w:val="0"/>
        </w:rPr>
        <w:t>’</w:t>
      </w:r>
      <w:r>
        <w:rPr>
          <w:rFonts w:cs="Arial Unicode MS" w:eastAsia="Arial Unicode MS"/>
          <w:rtl w:val="0"/>
        </w:rPr>
        <w:t xml:space="preserve">s daybook (P452/ARC/3/3) refers on several occasions: </w:t>
      </w:r>
      <w:r>
        <w:rPr>
          <w:rFonts w:cs="Arial Unicode MS" w:eastAsia="Arial Unicode MS" w:hint="default"/>
          <w:rtl w:val="0"/>
        </w:rPr>
        <w:t>“</w:t>
      </w:r>
      <w:r>
        <w:rPr>
          <w:rFonts w:cs="Arial Unicode MS" w:eastAsia="Arial Unicode MS"/>
          <w:rtl w:val="0"/>
        </w:rPr>
        <w:t>v. G</w:t>
      </w:r>
      <w:r>
        <w:rPr>
          <w:rFonts w:cs="Arial Unicode MS" w:eastAsia="Arial Unicode MS" w:hint="default"/>
          <w:rtl w:val="0"/>
        </w:rPr>
        <w:t>’</w:t>
      </w:r>
      <w:r>
        <w:rPr>
          <w:rFonts w:cs="Arial Unicode MS" w:eastAsia="Arial Unicode MS"/>
          <w:rtl w:val="0"/>
        </w:rPr>
        <w:t>s notebook for Tombs</w:t>
      </w:r>
      <w:r>
        <w:rPr>
          <w:rFonts w:cs="Arial Unicode MS" w:eastAsia="Arial Unicode MS" w:hint="default"/>
          <w:rtl w:val="0"/>
        </w:rPr>
        <w:t xml:space="preserve">” </w:t>
      </w:r>
      <w:r>
        <w:rPr>
          <w:rFonts w:cs="Arial Unicode MS" w:eastAsia="Arial Unicode MS"/>
          <w:rtl w:val="0"/>
        </w:rPr>
        <w:t xml:space="preserve">(27 December 1895); </w:t>
      </w:r>
      <w:r>
        <w:rPr>
          <w:rFonts w:cs="Arial Unicode MS" w:eastAsia="Arial Unicode MS" w:hint="default"/>
          <w:rtl w:val="0"/>
        </w:rPr>
        <w:t>“</w:t>
      </w:r>
      <w:r>
        <w:rPr>
          <w:rFonts w:cs="Arial Unicode MS" w:eastAsia="Arial Unicode MS"/>
          <w:rtl w:val="0"/>
        </w:rPr>
        <w:t>v. Grenfell</w:t>
      </w:r>
      <w:r>
        <w:rPr>
          <w:rFonts w:cs="Arial Unicode MS" w:eastAsia="Arial Unicode MS" w:hint="default"/>
          <w:rtl w:val="0"/>
        </w:rPr>
        <w:t>’</w:t>
      </w:r>
      <w:r>
        <w:rPr>
          <w:rFonts w:cs="Arial Unicode MS" w:eastAsia="Arial Unicode MS"/>
          <w:rtl w:val="0"/>
        </w:rPr>
        <w:t>s Diary</w:t>
      </w:r>
      <w:r>
        <w:rPr>
          <w:rFonts w:cs="Arial Unicode MS" w:eastAsia="Arial Unicode MS" w:hint="default"/>
          <w:rtl w:val="0"/>
        </w:rPr>
        <w:t xml:space="preserve">” </w:t>
      </w:r>
      <w:r>
        <w:rPr>
          <w:rFonts w:cs="Arial Unicode MS" w:eastAsia="Arial Unicode MS"/>
          <w:rtl w:val="0"/>
        </w:rPr>
        <w:t xml:space="preserve">(annotation for 26 January </w:t>
      </w:r>
      <w:r>
        <w:rPr>
          <w:rFonts w:cs="Arial Unicode MS" w:eastAsia="Arial Unicode MS" w:hint="default"/>
          <w:rtl w:val="0"/>
        </w:rPr>
        <w:t xml:space="preserve">– </w:t>
      </w:r>
      <w:r>
        <w:rPr>
          <w:rFonts w:cs="Arial Unicode MS" w:eastAsia="Arial Unicode MS"/>
          <w:rtl w:val="0"/>
        </w:rPr>
        <w:t xml:space="preserve">12 February 1896, while Hogarth traveled upriver: see further, below); and </w:t>
      </w:r>
      <w:r>
        <w:rPr>
          <w:rFonts w:cs="Arial Unicode MS" w:eastAsia="Arial Unicode MS" w:hint="default"/>
          <w:rtl w:val="0"/>
        </w:rPr>
        <w:t>“</w:t>
      </w:r>
      <w:r>
        <w:rPr>
          <w:rFonts w:cs="Arial Unicode MS" w:eastAsia="Arial Unicode MS"/>
          <w:rtl w:val="0"/>
        </w:rPr>
        <w:t>cf. B.P.G.</w:t>
      </w:r>
      <w:r>
        <w:rPr>
          <w:rFonts w:cs="Arial Unicode MS" w:eastAsia="Arial Unicode MS" w:hint="default"/>
          <w:rtl w:val="0"/>
        </w:rPr>
        <w:t xml:space="preserve">” </w:t>
      </w:r>
      <w:r>
        <w:rPr>
          <w:rFonts w:cs="Arial Unicode MS" w:eastAsia="Arial Unicode MS"/>
          <w:rtl w:val="0"/>
        </w:rPr>
        <w:t>for each of Hogarth</w:t>
      </w:r>
      <w:r>
        <w:rPr>
          <w:rFonts w:cs="Arial Unicode MS" w:eastAsia="Arial Unicode MS" w:hint="default"/>
          <w:rtl w:val="0"/>
        </w:rPr>
        <w:t>’</w:t>
      </w:r>
      <w:r>
        <w:rPr>
          <w:rFonts w:cs="Arial Unicode MS" w:eastAsia="Arial Unicode MS"/>
          <w:rtl w:val="0"/>
        </w:rPr>
        <w:t>s first days back in camp (12</w:t>
      </w:r>
      <w:r>
        <w:rPr>
          <w:rFonts w:cs="Arial Unicode MS" w:eastAsia="Arial Unicode MS" w:hint="default"/>
          <w:rtl w:val="0"/>
        </w:rPr>
        <w:t>–</w:t>
      </w:r>
      <w:r>
        <w:rPr>
          <w:rFonts w:cs="Arial Unicode MS" w:eastAsia="Arial Unicode MS"/>
          <w:rtl w:val="0"/>
        </w:rPr>
        <w:t>14 February 1896).</w:t>
      </w:r>
    </w:p>
  </w:footnote>
  <w:footnote w:id="16">
    <w:p>
      <w:pPr>
        <w:pStyle w:val="footnote text"/>
      </w:pPr>
      <w:r>
        <w:rPr>
          <w:rStyle w:val="footnote reference"/>
        </w:rPr>
        <w:footnoteRef/>
      </w:r>
      <w:r>
        <w:rPr>
          <w:rFonts w:cs="Arial Unicode MS" w:eastAsia="Arial Unicode MS"/>
          <w:rtl w:val="0"/>
        </w:rPr>
        <w:t xml:space="preserve"> A complete list of the current locations for papyri published in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P.Fay.</w:t>
      </w:r>
      <w:r>
        <w:rPr/>
        <w:fldChar w:fldCharType="end" w:fldLock="0"/>
      </w:r>
      <w:r>
        <w:rPr>
          <w:rFonts w:cs="Arial Unicode MS" w:eastAsia="Arial Unicode MS"/>
          <w:rtl w:val="0"/>
        </w:rPr>
        <w:t xml:space="preserve"> is available online: </w:t>
      </w:r>
      <w:r>
        <w:rPr>
          <w:rStyle w:val="Hyperlink.0"/>
        </w:rPr>
        <w:fldChar w:fldCharType="begin" w:fldLock="0"/>
      </w:r>
      <w:r>
        <w:rPr>
          <w:rStyle w:val="Hyperlink.0"/>
        </w:rPr>
        <w:instrText xml:space="preserve"> HYPERLINK "http://www.papyrology.ox.ac.uk/POxy/lists/antlist.html"</w:instrText>
      </w:r>
      <w:r>
        <w:rPr>
          <w:rStyle w:val="Hyperlink.0"/>
        </w:rPr>
        <w:fldChar w:fldCharType="separate" w:fldLock="0"/>
      </w:r>
      <w:r>
        <w:rPr>
          <w:rStyle w:val="Hyperlink.0"/>
          <w:rFonts w:cs="Arial Unicode MS" w:eastAsia="Arial Unicode MS"/>
          <w:rtl w:val="0"/>
        </w:rPr>
        <w:t>http://www.papyrology.ox.ac.uk/POxy/lists/antlist.html</w:t>
      </w:r>
      <w:r>
        <w:rPr/>
        <w:fldChar w:fldCharType="end" w:fldLock="0"/>
      </w:r>
      <w:r>
        <w:rPr>
          <w:rFonts w:cs="Arial Unicode MS" w:eastAsia="Arial Unicode MS"/>
          <w:rtl w:val="0"/>
        </w:rPr>
        <w:t>. Last accessed 15 August 2022.</w:t>
      </w:r>
    </w:p>
  </w:footnote>
  <w:footnote w:id="17">
    <w:p>
      <w:pPr>
        <w:pStyle w:val="footnote text"/>
      </w:pPr>
      <w:r>
        <w:rPr>
          <w:rStyle w:val="footnote reference"/>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Fonts w:cs="Arial Unicode MS" w:eastAsia="Arial Unicode MS"/>
          <w:rtl w:val="0"/>
        </w:rPr>
        <w:t>Grenfell and Hunt 1897: v</w:t>
      </w:r>
      <w:r>
        <w:rPr/>
        <w:fldChar w:fldCharType="end" w:fldLock="0"/>
      </w:r>
      <w:r>
        <w:rPr>
          <w:rFonts w:cs="Arial Unicode MS" w:eastAsia="Arial Unicode MS"/>
          <w:rtl w:val="0"/>
        </w:rPr>
        <w:t>.</w:t>
      </w:r>
    </w:p>
  </w:footnote>
  <w:footnote w:id="18">
    <w:p>
      <w:pPr>
        <w:pStyle w:val="footnote text"/>
      </w:pPr>
      <w:r>
        <w:rPr>
          <w:rStyle w:val="footnote reference"/>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211</w:t>
      </w:r>
      <w:r>
        <w:rPr/>
        <w:fldChar w:fldCharType="end" w:fldLock="0"/>
      </w:r>
      <w:r>
        <w:rPr>
          <w:rFonts w:cs="Arial Unicode MS" w:eastAsia="Arial Unicode MS"/>
          <w:rtl w:val="0"/>
        </w:rPr>
        <w:t>. Apart from Edgar Lobel, who was then Keeper in the Bodleian, Wegener was the first to study Hogarth</w:t>
      </w:r>
      <w:r>
        <w:rPr>
          <w:rFonts w:cs="Arial Unicode MS" w:eastAsia="Arial Unicode MS" w:hint="default"/>
          <w:rtl w:val="0"/>
        </w:rPr>
        <w:t>’</w:t>
      </w:r>
      <w:r>
        <w:rPr>
          <w:rFonts w:cs="Arial Unicode MS" w:eastAsia="Arial Unicode MS"/>
          <w:rtl w:val="0"/>
        </w:rPr>
        <w:t>s papyri: she visited Oxford in August 1936, a little more than a year following the donation. Wegener records the date as 11 May, but since the library</w:t>
      </w:r>
      <w:r>
        <w:rPr>
          <w:rFonts w:cs="Arial Unicode MS" w:eastAsia="Arial Unicode MS" w:hint="default"/>
          <w:rtl w:val="0"/>
        </w:rPr>
        <w:t>’</w:t>
      </w:r>
      <w:r>
        <w:rPr>
          <w:rFonts w:cs="Arial Unicode MS" w:eastAsia="Arial Unicode MS"/>
          <w:rtl w:val="0"/>
        </w:rPr>
        <w:t>s Register of donations states that the collection was accessioned on 15 May (see n. 66), I opt for the latter. On Lobel</w:t>
      </w:r>
      <w:r>
        <w:rPr>
          <w:rFonts w:cs="Arial Unicode MS" w:eastAsia="Arial Unicode MS" w:hint="default"/>
          <w:rtl w:val="0"/>
        </w:rPr>
        <w:t>’</w:t>
      </w:r>
      <w:r>
        <w:rPr>
          <w:rFonts w:cs="Arial Unicode MS" w:eastAsia="Arial Unicode MS"/>
          <w:rtl w:val="0"/>
        </w:rPr>
        <w:t>s recording and cataloguing of the papyri added in 1935, see further, below.</w:t>
      </w:r>
    </w:p>
  </w:footnote>
  <w:footnote w:id="19">
    <w:p>
      <w:pPr>
        <w:pStyle w:val="footnote text"/>
      </w:pPr>
      <w:r>
        <w:rPr>
          <w:rStyle w:val="footnote reference"/>
        </w:rPr>
        <w:footnoteRef/>
      </w:r>
      <w:r>
        <w:rPr>
          <w:rFonts w:cs="Arial Unicode MS" w:eastAsia="Arial Unicode MS"/>
          <w:rtl w:val="0"/>
        </w:rPr>
        <w:t xml:space="preserve"> As was Hogarth (1881</w:t>
      </w:r>
      <w:r>
        <w:rPr>
          <w:rFonts w:cs="Arial Unicode MS" w:eastAsia="Arial Unicode MS" w:hint="default"/>
          <w:rtl w:val="0"/>
        </w:rPr>
        <w:t>–</w:t>
      </w:r>
      <w:r>
        <w:rPr>
          <w:rFonts w:cs="Arial Unicode MS" w:eastAsia="Arial Unicode MS"/>
          <w:rtl w:val="0"/>
        </w:rPr>
        <w:t>1885), Fletcher was a demy at Magdalen (1876</w:t>
      </w:r>
      <w:r>
        <w:rPr>
          <w:rFonts w:cs="Arial Unicode MS" w:eastAsia="Arial Unicode MS" w:hint="default"/>
          <w:rtl w:val="0"/>
        </w:rPr>
        <w:t>–</w:t>
      </w:r>
      <w:r>
        <w:rPr>
          <w:rFonts w:cs="Arial Unicode MS" w:eastAsia="Arial Unicode MS"/>
          <w:rtl w:val="0"/>
        </w:rPr>
        <w:t>1880), and subsequently a Tutor in Modern History (1885</w:t>
      </w:r>
      <w:r>
        <w:rPr>
          <w:rFonts w:cs="Arial Unicode MS" w:eastAsia="Arial Unicode MS" w:hint="default"/>
          <w:rtl w:val="0"/>
        </w:rPr>
        <w:t>–</w:t>
      </w:r>
      <w:r>
        <w:rPr>
          <w:rFonts w:cs="Arial Unicode MS" w:eastAsia="Arial Unicode MS"/>
          <w:rtl w:val="0"/>
        </w:rPr>
        <w:t>1906) and Fellow of the college (1889</w:t>
      </w:r>
      <w:r>
        <w:rPr>
          <w:rFonts w:cs="Arial Unicode MS" w:eastAsia="Arial Unicode MS" w:hint="default"/>
          <w:rtl w:val="0"/>
        </w:rPr>
        <w:t>–</w:t>
      </w:r>
      <w:r>
        <w:rPr>
          <w:rFonts w:cs="Arial Unicode MS" w:eastAsia="Arial Unicode MS"/>
          <w:rtl w:val="0"/>
        </w:rPr>
        <w:t>1906).</w:t>
      </w:r>
    </w:p>
  </w:footnote>
  <w:footnote w:id="20">
    <w:p>
      <w:pPr>
        <w:pStyle w:val="footnote text"/>
      </w:pPr>
      <w:r>
        <w:rPr>
          <w:rStyle w:val="footnote reference"/>
        </w:rPr>
        <w:footnoteRef/>
      </w:r>
      <w:r>
        <w:rPr>
          <w:rFonts w:cs="Arial Unicode MS" w:eastAsia="Arial Unicode MS"/>
          <w:rtl w:val="0"/>
        </w:rPr>
        <w:t xml:space="preserve"> Two exceptions are </w:t>
      </w:r>
      <w:r>
        <w:rPr>
          <w:rStyle w:val="Hyperlink.0"/>
        </w:rPr>
        <w:fldChar w:fldCharType="begin" w:fldLock="0"/>
      </w:r>
      <w:r>
        <w:rPr>
          <w:rStyle w:val="Hyperlink.0"/>
        </w:rPr>
        <w:instrText xml:space="preserve"> HYPERLINK "https://papyri.info/hgv/11360"</w:instrText>
      </w:r>
      <w:r>
        <w:rPr>
          <w:rStyle w:val="Hyperlink.0"/>
        </w:rPr>
        <w:fldChar w:fldCharType="separate" w:fldLock="0"/>
      </w:r>
      <w:r>
        <w:rPr>
          <w:rStyle w:val="Hyperlink.0"/>
          <w:rFonts w:cs="Arial Unicode MS" w:eastAsia="Arial Unicode MS"/>
          <w:rtl w:val="0"/>
        </w:rPr>
        <w:t>P.Grenf. 2 57</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"https://papyri.info/ddbdp/p.grenf;2;79coli"</w:instrText>
      </w:r>
      <w:r>
        <w:rPr>
          <w:rStyle w:val="Hyperlink.0"/>
        </w:rPr>
        <w:fldChar w:fldCharType="separate" w:fldLock="0"/>
      </w:r>
      <w:r>
        <w:rPr>
          <w:rStyle w:val="Hyperlink.0"/>
          <w:rFonts w:cs="Arial Unicode MS" w:eastAsia="Arial Unicode MS"/>
          <w:rtl w:val="0"/>
        </w:rPr>
        <w:t>P.Grenf. 2 79</w:t>
      </w:r>
      <w:r>
        <w:rPr/>
        <w:fldChar w:fldCharType="end" w:fldLock="0"/>
      </w:r>
      <w:r>
        <w:rPr>
          <w:rFonts w:cs="Arial Unicode MS" w:eastAsia="Arial Unicode MS"/>
          <w:rtl w:val="0"/>
        </w:rPr>
        <w:t>, regarding which see further, below. Hogarth knew Edwyn (</w:t>
      </w:r>
      <w:r>
        <w:rPr>
          <w:rFonts w:cs="Arial Unicode MS" w:eastAsia="Arial Unicode MS" w:hint="default"/>
          <w:rtl w:val="0"/>
        </w:rPr>
        <w:t>“</w:t>
      </w:r>
      <w:r>
        <w:rPr>
          <w:rFonts w:cs="Arial Unicode MS" w:eastAsia="Arial Unicode MS"/>
          <w:rtl w:val="0"/>
        </w:rPr>
        <w:t>Ned</w:t>
      </w:r>
      <w:r>
        <w:rPr>
          <w:rFonts w:cs="Arial Unicode MS" w:eastAsia="Arial Unicode MS" w:hint="default"/>
          <w:rtl w:val="0"/>
        </w:rPr>
        <w:t>”</w:t>
      </w:r>
      <w:r>
        <w:rPr>
          <w:rFonts w:cs="Arial Unicode MS" w:eastAsia="Arial Unicode MS"/>
          <w:rtl w:val="0"/>
        </w:rPr>
        <w:t>) Bevan from the previous season</w:t>
      </w:r>
      <w:r>
        <w:rPr>
          <w:rFonts w:cs="Arial Unicode MS" w:eastAsia="Arial Unicode MS" w:hint="default"/>
          <w:rtl w:val="0"/>
        </w:rPr>
        <w:t>’</w:t>
      </w:r>
      <w:r>
        <w:rPr>
          <w:rFonts w:cs="Arial Unicode MS" w:eastAsia="Arial Unicode MS"/>
          <w:rtl w:val="0"/>
        </w:rPr>
        <w:t xml:space="preserve">s dig at Alexandria (see </w:t>
      </w:r>
      <w:r>
        <w:rPr>
          <w:rStyle w:val="Hyperlink.0"/>
        </w:rPr>
        <w:fldChar w:fldCharType="begin" w:fldLock="0"/>
      </w:r>
      <w:r>
        <w:rPr>
          <w:rStyle w:val="Hyperlink.0"/>
        </w:rPr>
        <w:instrText xml:space="preserve"> HYPERLINK "https://papyri.info/biblio/96076"</w:instrText>
      </w:r>
      <w:r>
        <w:rPr>
          <w:rStyle w:val="Hyperlink.0"/>
        </w:rPr>
        <w:fldChar w:fldCharType="separate" w:fldLock="0"/>
      </w:r>
      <w:r>
        <w:rPr>
          <w:rStyle w:val="Hyperlink.0"/>
          <w:rFonts w:cs="Arial Unicode MS" w:eastAsia="Arial Unicode MS"/>
          <w:rtl w:val="0"/>
        </w:rPr>
        <w:t>Hogarth and Benson 1894</w:t>
      </w:r>
      <w:r>
        <w:rPr>
          <w:rStyle w:val="Hyperlink.0"/>
          <w:rFonts w:cs="Arial Unicode MS" w:eastAsia="Arial Unicode MS" w:hint="default"/>
          <w:rtl w:val="0"/>
        </w:rPr>
        <w:t>–</w:t>
      </w:r>
      <w:r>
        <w:rPr>
          <w:rStyle w:val="Hyperlink.0"/>
          <w:rFonts w:cs="Arial Unicode MS" w:eastAsia="Arial Unicode MS"/>
          <w:rtl w:val="0"/>
        </w:rPr>
        <w:t>5: 2</w:t>
      </w:r>
      <w:r>
        <w:rPr/>
        <w:fldChar w:fldCharType="end" w:fldLock="0"/>
      </w:r>
      <w:r>
        <w:rPr>
          <w:rFonts w:cs="Arial Unicode MS" w:eastAsia="Arial Unicode MS"/>
          <w:rtl w:val="0"/>
        </w:rPr>
        <w:t xml:space="preserve">). </w:t>
      </w:r>
    </w:p>
  </w:footnote>
  <w:footnote w:id="21">
    <w:p>
      <w:pPr>
        <w:pStyle w:val="footnote text"/>
      </w:pPr>
      <w:r>
        <w:rPr>
          <w:rStyle w:val="footnote reference"/>
        </w:rPr>
        <w:footnoteRef/>
      </w:r>
      <w:r>
        <w:rPr>
          <w:rFonts w:cs="Arial Unicode MS" w:eastAsia="Arial Unicode MS"/>
          <w:rtl w:val="0"/>
        </w:rPr>
        <w:t xml:space="preserve"> = </w:t>
      </w:r>
      <w:r>
        <w:rPr>
          <w:rStyle w:val="Hyperlink.0"/>
        </w:rPr>
        <w:fldChar w:fldCharType="begin" w:fldLock="0"/>
      </w:r>
      <w:r>
        <w:rPr>
          <w:rStyle w:val="Hyperlink.0"/>
        </w:rPr>
        <w:instrText xml:space="preserve"> HYPERLINK "https://www.trismegistos.org/archive/183"</w:instrText>
      </w:r>
      <w:r>
        <w:rPr>
          <w:rStyle w:val="Hyperlink.0"/>
        </w:rPr>
        <w:fldChar w:fldCharType="separate" w:fldLock="0"/>
      </w:r>
      <w:r>
        <w:rPr>
          <w:rStyle w:val="Hyperlink.0"/>
          <w:rFonts w:cs="Arial Unicode MS" w:eastAsia="Arial Unicode MS"/>
          <w:rtl w:val="0"/>
        </w:rPr>
        <w:t>TM Arch 183</w:t>
      </w:r>
      <w:r>
        <w:rPr/>
        <w:fldChar w:fldCharType="end" w:fldLock="0"/>
      </w:r>
      <w:r>
        <w:rPr>
          <w:rFonts w:cs="Arial Unicode MS" w:eastAsia="Arial Unicode MS"/>
          <w:rtl w:val="0"/>
        </w:rPr>
        <w:t xml:space="preserve">. See further </w:t>
      </w:r>
      <w:r>
        <w:rPr>
          <w:rStyle w:val="Hyperlink.0"/>
        </w:rPr>
        <w:fldChar w:fldCharType="begin" w:fldLock="0"/>
      </w:r>
      <w:r>
        <w:rPr>
          <w:rStyle w:val="Hyperlink.0"/>
        </w:rPr>
        <w:instrText xml:space="preserve"> HYPERLINK "https://papyri.info/biblio/95198"</w:instrText>
      </w:r>
      <w:r>
        <w:rPr>
          <w:rStyle w:val="Hyperlink.0"/>
        </w:rPr>
        <w:fldChar w:fldCharType="separate" w:fldLock="0"/>
      </w:r>
      <w:r>
        <w:rPr>
          <w:rStyle w:val="Hyperlink.0"/>
          <w:rFonts w:cs="Arial Unicode MS" w:eastAsia="Arial Unicode MS"/>
          <w:rtl w:val="0"/>
        </w:rPr>
        <w:t>Kenyon and Bell 1907: 5</w:t>
      </w:r>
      <w:r>
        <w:rPr>
          <w:rStyle w:val="Hyperlink.0"/>
          <w:rFonts w:cs="Arial Unicode MS" w:eastAsia="Arial Unicode MS" w:hint="default"/>
          <w:rtl w:val="0"/>
        </w:rPr>
        <w:t>–</w:t>
      </w:r>
      <w:r>
        <w:rPr>
          <w:rStyle w:val="Hyperlink.0"/>
          <w:rFonts w:cs="Arial Unicode MS" w:eastAsia="Arial Unicode MS"/>
          <w:rtl w:val="0"/>
        </w:rPr>
        <w:t>6</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"https://papyri.info/biblio/64412"</w:instrText>
      </w:r>
      <w:r>
        <w:rPr>
          <w:rStyle w:val="Hyperlink.0"/>
        </w:rPr>
        <w:fldChar w:fldCharType="separate" w:fldLock="0"/>
      </w:r>
      <w:r>
        <w:rPr>
          <w:rStyle w:val="Hyperlink.0"/>
          <w:rFonts w:cs="Arial Unicode MS" w:eastAsia="Arial Unicode MS"/>
          <w:rtl w:val="0"/>
        </w:rPr>
        <w:t>Vandorpe 1994</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"https://papyri.info/biblio/20939"</w:instrText>
      </w:r>
      <w:r>
        <w:rPr>
          <w:rStyle w:val="Hyperlink.0"/>
        </w:rPr>
        <w:fldChar w:fldCharType="separate" w:fldLock="0"/>
      </w:r>
      <w:r>
        <w:rPr>
          <w:rStyle w:val="Hyperlink.0"/>
          <w:rFonts w:cs="Arial Unicode MS" w:eastAsia="Arial Unicode MS"/>
          <w:rtl w:val="0"/>
        </w:rPr>
        <w:t xml:space="preserve">Vandorpe and Waebens 2009: </w:t>
      </w:r>
      <w:r>
        <w:rPr>
          <w:rStyle w:val="Hyperlink.0"/>
          <w:rFonts w:cs="Arial Unicode MS" w:eastAsia="Arial Unicode MS" w:hint="default"/>
          <w:rtl w:val="0"/>
        </w:rPr>
        <w:t>§</w:t>
      </w:r>
      <w:r>
        <w:rPr>
          <w:rStyle w:val="Hyperlink.0"/>
          <w:rFonts w:cs="Arial Unicode MS" w:eastAsia="Arial Unicode MS"/>
          <w:rtl w:val="0"/>
        </w:rPr>
        <w:t>21(2)</w:t>
      </w:r>
      <w:r>
        <w:rPr/>
        <w:fldChar w:fldCharType="end" w:fldLock="0"/>
      </w:r>
      <w:r>
        <w:rPr>
          <w:rFonts w:cs="Arial Unicode MS" w:eastAsia="Arial Unicode MS"/>
          <w:rtl w:val="0"/>
        </w:rPr>
        <w:t>.</w:t>
      </w:r>
    </w:p>
  </w:footnote>
  <w:footnote w:id="22">
    <w:p>
      <w:pPr>
        <w:pStyle w:val="footnote text"/>
      </w:pPr>
      <w:r>
        <w:rPr>
          <w:rStyle w:val="footnote reference"/>
        </w:rPr>
        <w:footnoteRef/>
      </w:r>
      <w:r>
        <w:rPr>
          <w:rFonts w:cs="Arial Unicode MS" w:eastAsia="Arial Unicode MS"/>
          <w:rtl w:val="0"/>
        </w:rPr>
        <w:t xml:space="preserve"> See the BL</w:t>
      </w:r>
      <w:r>
        <w:rPr>
          <w:rFonts w:cs="Arial Unicode MS" w:eastAsia="Arial Unicode MS" w:hint="default"/>
          <w:rtl w:val="0"/>
        </w:rPr>
        <w:t>’</w:t>
      </w:r>
      <w:r>
        <w:rPr>
          <w:rFonts w:cs="Arial Unicode MS" w:eastAsia="Arial Unicode MS"/>
          <w:rtl w:val="0"/>
        </w:rPr>
        <w:t>s Digitised Manuscripts portal (</w:t>
      </w:r>
      <w:r>
        <w:rPr>
          <w:rStyle w:val="Hyperlink.0"/>
        </w:rPr>
        <w:fldChar w:fldCharType="begin" w:fldLock="0"/>
      </w:r>
      <w:r>
        <w:rPr>
          <w:rStyle w:val="Hyperlink.0"/>
        </w:rPr>
        <w:instrText xml:space="preserve"> HYPERLINK "http://www.bl.uk/manuscripts/Default.aspx"</w:instrText>
      </w:r>
      <w:r>
        <w:rPr>
          <w:rStyle w:val="Hyperlink.0"/>
        </w:rPr>
        <w:fldChar w:fldCharType="separate" w:fldLock="0"/>
      </w:r>
      <w:r>
        <w:rPr>
          <w:rStyle w:val="Hyperlink.0"/>
          <w:rFonts w:cs="Arial Unicode MS" w:eastAsia="Arial Unicode MS"/>
          <w:rtl w:val="0"/>
        </w:rPr>
        <w:t>http://www.bl.uk/manuscripts/Default.aspx</w:t>
      </w:r>
      <w:r>
        <w:rPr/>
        <w:fldChar w:fldCharType="end" w:fldLock="0"/>
      </w:r>
      <w:r>
        <w:rPr>
          <w:rFonts w:cs="Arial Unicode MS" w:eastAsia="Arial Unicode MS"/>
          <w:rtl w:val="0"/>
        </w:rPr>
        <w:t>). Last accessed 15 August 2022.</w:t>
      </w:r>
    </w:p>
  </w:footnote>
  <w:footnote w:id="23">
    <w:p>
      <w:pPr>
        <w:pStyle w:val="footnote text"/>
      </w:pPr>
      <w:r>
        <w:rPr>
          <w:rStyle w:val="footnote reference"/>
        </w:rPr>
        <w:footnoteRef/>
      </w:r>
      <w:r>
        <w:rPr>
          <w:rFonts w:cs="Arial Unicode MS" w:eastAsia="Arial Unicode MS"/>
          <w:rtl w:val="0"/>
        </w:rPr>
        <w:t xml:space="preserve"> See Table 1, below.</w:t>
      </w:r>
    </w:p>
  </w:footnote>
  <w:footnote w:id="24">
    <w:p>
      <w:pPr>
        <w:pStyle w:val="footnote text"/>
      </w:pPr>
      <w:r>
        <w:rPr>
          <w:rStyle w:val="footnote reference"/>
        </w:rPr>
        <w:footnoteRef/>
      </w:r>
      <w:r>
        <w:rPr>
          <w:rFonts w:cs="Arial Unicode MS" w:eastAsia="Arial Unicode MS"/>
          <w:rtl w:val="0"/>
        </w:rPr>
        <w:t xml:space="preserve"> Hogarth to Laura V. Hogarth, PostBoat </w:t>
      </w:r>
      <w:r>
        <w:rPr>
          <w:rFonts w:cs="Arial Unicode MS" w:eastAsia="Arial Unicode MS" w:hint="default"/>
          <w:rtl w:val="0"/>
        </w:rPr>
        <w:t>“</w:t>
      </w:r>
      <w:r>
        <w:rPr>
          <w:rFonts w:cs="Arial Unicode MS" w:eastAsia="Arial Unicode MS"/>
          <w:rtl w:val="0"/>
        </w:rPr>
        <w:t>Amonarpas</w:t>
      </w:r>
      <w:r>
        <w:rPr>
          <w:rFonts w:cs="Arial Unicode MS" w:eastAsia="Arial Unicode MS" w:hint="default"/>
          <w:rtl w:val="0"/>
        </w:rPr>
        <w:t xml:space="preserve">” </w:t>
      </w:r>
      <w:r>
        <w:rPr>
          <w:rFonts w:cs="Arial Unicode MS" w:eastAsia="Arial Unicode MS"/>
          <w:rtl w:val="0"/>
        </w:rPr>
        <w:t xml:space="preserve">(5 February 1896): P452/PER/2/2/2.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156)</w:t>
      </w:r>
      <w:r>
        <w:rPr/>
        <w:fldChar w:fldCharType="end" w:fldLock="0"/>
      </w:r>
      <w:r>
        <w:rPr>
          <w:rFonts w:cs="Arial Unicode MS" w:eastAsia="Arial Unicode MS"/>
          <w:rtl w:val="0"/>
        </w:rPr>
        <w:t xml:space="preserve"> is mistaken when he infers from the daybook that Grenfell accompanied Hogarth on this trip, leaving Hunt in charge of the dig: in a subsequent letter, Hogarth remarks that Grenfell has been doing pretty well in his absence (</w:t>
      </w:r>
      <w:r>
        <w:rPr>
          <w:rFonts w:cs="Arial Unicode MS" w:eastAsia="Arial Unicode MS" w:hint="default"/>
          <w:rtl w:val="0"/>
        </w:rPr>
        <w:t>“</w:t>
      </w:r>
      <w:r>
        <w:rPr>
          <w:rFonts w:cs="Arial Unicode MS" w:eastAsia="Arial Unicode MS"/>
          <w:rtl w:val="0"/>
        </w:rPr>
        <w:t>Lots of papyrus</w:t>
      </w:r>
      <w:r>
        <w:rPr>
          <w:rFonts w:cs="Arial Unicode MS" w:eastAsia="Arial Unicode MS" w:hint="default"/>
          <w:rtl w:val="0"/>
        </w:rPr>
        <w:t>”</w:t>
      </w:r>
      <w:r>
        <w:rPr>
          <w:rFonts w:cs="Arial Unicode MS" w:eastAsia="Arial Unicode MS"/>
          <w:rtl w:val="0"/>
        </w:rPr>
        <w:t xml:space="preserve">): Hogarth to Laura V. Hogarth, (8 February 1896): P452/PER/2/2/2. </w:t>
      </w:r>
    </w:p>
  </w:footnote>
  <w:footnote w:id="25">
    <w:p>
      <w:pPr>
        <w:pStyle w:val="footnote text"/>
      </w:pPr>
      <w:r>
        <w:rPr>
          <w:rStyle w:val="footnote reference"/>
        </w:rPr>
        <w:footnoteRef/>
      </w:r>
      <w:r>
        <w:rPr>
          <w:rFonts w:cs="Arial Unicode MS" w:eastAsia="Arial Unicode MS"/>
          <w:rtl w:val="0"/>
        </w:rPr>
        <w:t xml:space="preserve"> Hogarth spent two days in Luxor before heading to Assuan for three days, and then another three days in Luxor before returning to the Fayum. See his letters to Laura V. Hogarth of 5 February and 8 February 1896 (P452/PER/2/2/2), written en route to Luxor from Assuan and prior to departure from Luxor, respectively.</w:t>
      </w:r>
    </w:p>
  </w:footnote>
  <w:footnote w:id="26">
    <w:p>
      <w:pPr>
        <w:pStyle w:val="footnote text"/>
      </w:pPr>
      <w:r>
        <w:rPr>
          <w:rStyle w:val="footnote reference"/>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"https://www.britishmuseum.org/collection/object/Y_EA10491"</w:instrText>
      </w:r>
      <w:r>
        <w:rPr>
          <w:rStyle w:val="Hyperlink.0"/>
        </w:rPr>
        <w:fldChar w:fldCharType="separate" w:fldLock="0"/>
      </w:r>
      <w:r>
        <w:rPr>
          <w:rStyle w:val="Hyperlink.0"/>
          <w:rFonts w:cs="Arial Unicode MS" w:eastAsia="Arial Unicode MS"/>
          <w:rtl w:val="0"/>
        </w:rPr>
        <w:t>https://www.britishmuseum.org/collection/object/Y_EA10491</w:t>
      </w:r>
      <w:r>
        <w:rPr/>
        <w:fldChar w:fldCharType="end" w:fldLock="0"/>
      </w:r>
      <w:r>
        <w:rPr>
          <w:rFonts w:cs="Arial Unicode MS" w:eastAsia="Arial Unicode MS"/>
          <w:rtl w:val="0"/>
        </w:rPr>
        <w:t>. Last accessed 15 August 2022. The catalogue</w:t>
      </w:r>
      <w:r>
        <w:rPr>
          <w:rFonts w:cs="Arial Unicode MS" w:eastAsia="Arial Unicode MS" w:hint="default"/>
          <w:rtl w:val="0"/>
        </w:rPr>
        <w:t>’</w:t>
      </w:r>
      <w:r>
        <w:rPr>
          <w:rFonts w:cs="Arial Unicode MS" w:eastAsia="Arial Unicode MS"/>
          <w:rtl w:val="0"/>
        </w:rPr>
        <w:t xml:space="preserve">s full report is that </w:t>
      </w:r>
      <w:r>
        <w:rPr>
          <w:rFonts w:cs="Arial Unicode MS" w:eastAsia="Arial Unicode MS" w:hint="default"/>
          <w:rtl w:val="0"/>
        </w:rPr>
        <w:t>“</w:t>
      </w:r>
      <w:r>
        <w:rPr>
          <w:rFonts w:cs="Arial Unicode MS" w:eastAsia="Arial Unicode MS"/>
          <w:rtl w:val="0"/>
        </w:rPr>
        <w:t>The Group of demotic papyri no.10491</w:t>
      </w:r>
      <w:r>
        <w:rPr>
          <w:rFonts w:cs="Arial Unicode MS" w:eastAsia="Arial Unicode MS" w:hint="default"/>
          <w:rtl w:val="0"/>
        </w:rPr>
        <w:t>–</w:t>
      </w:r>
      <w:r>
        <w:rPr>
          <w:rFonts w:cs="Arial Unicode MS" w:eastAsia="Arial Unicode MS"/>
          <w:rtl w:val="0"/>
        </w:rPr>
        <w:t>10505</w:t>
      </w:r>
      <w:r>
        <w:rPr>
          <w:rFonts w:cs="Arial Unicode MS" w:eastAsia="Arial Unicode MS" w:hint="default"/>
          <w:rtl w:val="0"/>
        </w:rPr>
        <w:t> </w:t>
      </w:r>
      <w:r>
        <w:rPr>
          <w:rFonts w:cs="Arial Unicode MS" w:eastAsia="Arial Unicode MS"/>
          <w:rtl w:val="0"/>
        </w:rPr>
        <w:t>were all acquired as a single lot in 1896 and form the archive of a single family in Gebelen. Some show some connection with other Gebelen papyri published by Spiegelberg in the Strassburg dem. papyri, + with some Greek ones published in P. Grenf. 2. They extend from B.C. 125 to 88. More papyri of this archive were acquired in 1899 (nos. 10510</w:t>
      </w:r>
      <w:r>
        <w:rPr>
          <w:rFonts w:cs="Arial Unicode MS" w:eastAsia="Arial Unicode MS" w:hint="default"/>
          <w:rtl w:val="0"/>
        </w:rPr>
        <w:t>–</w:t>
      </w:r>
      <w:r>
        <w:rPr>
          <w:rFonts w:cs="Arial Unicode MS" w:eastAsia="Arial Unicode MS"/>
          <w:rtl w:val="0"/>
        </w:rPr>
        <w:t>18) and in 1901 (nos. 10521, 10533</w:t>
      </w:r>
      <w:r>
        <w:rPr>
          <w:rFonts w:cs="Arial Unicode MS" w:eastAsia="Arial Unicode MS" w:hint="default"/>
          <w:rtl w:val="0"/>
        </w:rPr>
        <w:t>–</w:t>
      </w:r>
      <w:r>
        <w:rPr>
          <w:rFonts w:cs="Arial Unicode MS" w:eastAsia="Arial Unicode MS"/>
          <w:rtl w:val="0"/>
        </w:rPr>
        <w:t>4).</w:t>
      </w:r>
      <w:r>
        <w:rPr>
          <w:rFonts w:cs="Arial Unicode MS" w:eastAsia="Arial Unicode MS" w:hint="default"/>
          <w:rtl w:val="0"/>
        </w:rPr>
        <w:t>”</w:t>
      </w:r>
    </w:p>
  </w:footnote>
  <w:footnote w:id="27">
    <w:p>
      <w:pPr>
        <w:pStyle w:val="footnote text"/>
      </w:pPr>
      <w:r>
        <w:rPr>
          <w:rStyle w:val="footnote reference"/>
        </w:rPr>
        <w:footnoteRef/>
      </w:r>
      <w:r>
        <w:rPr>
          <w:rFonts w:cs="Arial Unicode MS" w:eastAsia="Arial Unicode MS"/>
          <w:rtl w:val="0"/>
        </w:rPr>
        <w:t xml:space="preserve"> The other five Demotic papyri in the group were presumably the property of Bevan. The latter man</w:t>
      </w:r>
      <w:r>
        <w:rPr>
          <w:rFonts w:cs="Arial Unicode MS" w:eastAsia="Arial Unicode MS" w:hint="default"/>
          <w:rtl w:val="0"/>
        </w:rPr>
        <w:t>’</w:t>
      </w:r>
      <w:r>
        <w:rPr>
          <w:rFonts w:cs="Arial Unicode MS" w:eastAsia="Arial Unicode MS"/>
          <w:rtl w:val="0"/>
        </w:rPr>
        <w:t>s donation, by contrast, required no outlay of funds and therefore no equivalent recommendation by the museum</w:t>
      </w:r>
      <w:r>
        <w:rPr>
          <w:rFonts w:cs="Arial Unicode MS" w:eastAsia="Arial Unicode MS" w:hint="default"/>
          <w:rtl w:val="0"/>
        </w:rPr>
        <w:t>’</w:t>
      </w:r>
      <w:r>
        <w:rPr>
          <w:rFonts w:cs="Arial Unicode MS" w:eastAsia="Arial Unicode MS"/>
          <w:rtl w:val="0"/>
        </w:rPr>
        <w:t xml:space="preserve">s Keeper. </w:t>
      </w:r>
    </w:p>
  </w:footnote>
  <w:footnote w:id="28">
    <w:p>
      <w:pPr>
        <w:pStyle w:val="footnote text"/>
      </w:pPr>
      <w:r>
        <w:rPr>
          <w:rStyle w:val="footnote reference"/>
        </w:rPr>
        <w:footnoteRef/>
      </w:r>
      <w:r>
        <w:rPr>
          <w:rFonts w:cs="Arial Unicode MS" w:eastAsia="Arial Unicode MS"/>
          <w:rtl w:val="0"/>
        </w:rPr>
        <w:t xml:space="preserve"> Hogarth to Laura V. Hogarth, K</w:t>
      </w:r>
      <w:r>
        <w:rPr>
          <w:rFonts w:cs="Arial Unicode MS" w:eastAsia="Arial Unicode MS" w:hint="default"/>
          <w:rtl w:val="0"/>
        </w:rPr>
        <w:t>û</w:t>
      </w:r>
      <w:r>
        <w:rPr>
          <w:rFonts w:cs="Arial Unicode MS" w:eastAsia="Arial Unicode MS"/>
          <w:rtl w:val="0"/>
        </w:rPr>
        <w:t>m el Atl (19 January 1896): P452/PER/2/2/3.</w:t>
      </w:r>
    </w:p>
  </w:footnote>
  <w:footnote w:id="29">
    <w:p>
      <w:pPr>
        <w:pStyle w:val="footnote text"/>
      </w:pPr>
      <w:r>
        <w:rPr>
          <w:rStyle w:val="footnote reference"/>
        </w:rPr>
        <w:footnoteRef/>
      </w:r>
      <w:r>
        <w:rPr>
          <w:rFonts w:cs="Arial Unicode MS" w:eastAsia="Arial Unicode MS"/>
          <w:rtl w:val="0"/>
        </w:rPr>
        <w:t xml:space="preserve"> Hogarth explains in the same letter that, on account of the Duke of Cambridge</w:t>
      </w:r>
      <w:r>
        <w:rPr>
          <w:rFonts w:cs="Arial Unicode MS" w:eastAsia="Arial Unicode MS" w:hint="default"/>
          <w:rtl w:val="0"/>
        </w:rPr>
        <w:t>’</w:t>
      </w:r>
      <w:r>
        <w:rPr>
          <w:rFonts w:cs="Arial Unicode MS" w:eastAsia="Arial Unicode MS"/>
          <w:rtl w:val="0"/>
        </w:rPr>
        <w:t xml:space="preserve">s visit to the area, </w:t>
      </w:r>
      <w:r>
        <w:rPr>
          <w:rFonts w:cs="Arial Unicode MS" w:eastAsia="Arial Unicode MS" w:hint="default"/>
          <w:rtl w:val="0"/>
        </w:rPr>
        <w:t>“</w:t>
      </w:r>
      <w:r>
        <w:rPr>
          <w:rFonts w:cs="Arial Unicode MS" w:eastAsia="Arial Unicode MS"/>
          <w:rtl w:val="0"/>
        </w:rPr>
        <w:t>prices are firm.</w:t>
      </w:r>
      <w:r>
        <w:rPr>
          <w:rFonts w:cs="Arial Unicode MS" w:eastAsia="Arial Unicode MS" w:hint="default"/>
          <w:rtl w:val="0"/>
        </w:rPr>
        <w:t xml:space="preserve">” </w:t>
      </w:r>
      <w:r>
        <w:rPr>
          <w:rFonts w:cs="Arial Unicode MS" w:eastAsia="Arial Unicode MS"/>
          <w:rtl w:val="0"/>
        </w:rPr>
        <w:t xml:space="preserve">Hogarth to Laura V. Hogarth, Luxor (8 February 1896): P452/PER/2/2/2. In an earlier letter, Hogarth offers a different explanation for leaving camp: </w:t>
      </w:r>
      <w:r>
        <w:rPr>
          <w:rFonts w:cs="Arial Unicode MS" w:eastAsia="Arial Unicode MS" w:hint="default"/>
          <w:rtl w:val="0"/>
        </w:rPr>
        <w:t>“</w:t>
      </w:r>
      <w:r>
        <w:rPr>
          <w:rFonts w:cs="Arial Unicode MS" w:eastAsia="Arial Unicode MS"/>
          <w:rtl w:val="0"/>
        </w:rPr>
        <w:t>I am planning an expedition up River about Feb. 15 to get through much of Ramad</w:t>
      </w:r>
      <w:r>
        <w:rPr>
          <w:rFonts w:cs="Arial Unicode MS" w:eastAsia="Arial Unicode MS" w:hint="default"/>
          <w:rtl w:val="0"/>
        </w:rPr>
        <w:t>â</w:t>
      </w:r>
      <w:r>
        <w:rPr>
          <w:rFonts w:cs="Arial Unicode MS" w:eastAsia="Arial Unicode MS"/>
          <w:rtl w:val="0"/>
        </w:rPr>
        <w:t>n. After that return here.</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m, Sennures, Fay</w:t>
      </w:r>
      <w:r>
        <w:rPr>
          <w:rFonts w:cs="Arial Unicode MS" w:eastAsia="Arial Unicode MS" w:hint="default"/>
          <w:rtl w:val="0"/>
        </w:rPr>
        <w:t>û</w:t>
      </w:r>
      <w:r>
        <w:rPr>
          <w:rFonts w:cs="Arial Unicode MS" w:eastAsia="Arial Unicode MS"/>
          <w:rtl w:val="0"/>
        </w:rPr>
        <w:t xml:space="preserve">m (4 January 1896): P452/PER/2/2/2. He later reconsidered the timing of the trip: </w:t>
      </w:r>
      <w:r>
        <w:rPr>
          <w:rFonts w:cs="Arial Unicode MS" w:eastAsia="Arial Unicode MS" w:hint="default"/>
          <w:rtl w:val="0"/>
        </w:rPr>
        <w:t>“</w:t>
      </w:r>
      <w:r>
        <w:rPr>
          <w:rFonts w:cs="Arial Unicode MS" w:eastAsia="Arial Unicode MS"/>
          <w:rtl w:val="0"/>
        </w:rPr>
        <w:t xml:space="preserve">I am very probably going up the Nile earlier than I had planned </w:t>
      </w:r>
      <w:r>
        <w:rPr>
          <w:rFonts w:cs="Arial Unicode MS" w:eastAsia="Arial Unicode MS" w:hint="default"/>
          <w:rtl w:val="0"/>
        </w:rPr>
        <w:t xml:space="preserve">– </w:t>
      </w:r>
      <w:r>
        <w:rPr>
          <w:rFonts w:cs="Arial Unicode MS" w:eastAsia="Arial Unicode MS"/>
          <w:rtl w:val="0"/>
        </w:rPr>
        <w:t>in fact next Saturday. If I defer it until the middle of February it seems highly probable that I shall be away when this dig comes to an end, which won</w:t>
      </w:r>
      <w:r>
        <w:rPr>
          <w:rFonts w:cs="Arial Unicode MS" w:eastAsia="Arial Unicode MS" w:hint="default"/>
          <w:rtl w:val="0"/>
        </w:rPr>
        <w:t>’</w:t>
      </w:r>
      <w:r>
        <w:rPr>
          <w:rFonts w:cs="Arial Unicode MS" w:eastAsia="Arial Unicode MS"/>
          <w:rtl w:val="0"/>
        </w:rPr>
        <w:t>t do. For I must see personally to the packing + winding up. So I shall take a fortnight now.</w:t>
      </w:r>
      <w:r>
        <w:rPr>
          <w:rFonts w:cs="Arial Unicode MS" w:eastAsia="Arial Unicode MS" w:hint="default"/>
          <w:rtl w:val="0"/>
        </w:rPr>
        <w:t xml:space="preserve">” </w:t>
      </w:r>
      <w:r>
        <w:rPr>
          <w:rFonts w:cs="Arial Unicode MS" w:eastAsia="Arial Unicode MS"/>
          <w:rtl w:val="0"/>
        </w:rPr>
        <w:t>Hogarth to Laura V. Hogarth, K</w:t>
      </w:r>
      <w:r>
        <w:rPr>
          <w:rFonts w:cs="Arial Unicode MS" w:eastAsia="Arial Unicode MS" w:hint="default"/>
          <w:rtl w:val="0"/>
        </w:rPr>
        <w:t>û</w:t>
      </w:r>
      <w:r>
        <w:rPr>
          <w:rFonts w:cs="Arial Unicode MS" w:eastAsia="Arial Unicode MS"/>
          <w:rtl w:val="0"/>
        </w:rPr>
        <w:t xml:space="preserve">m el Atl (21 January postscript to 19 January 1896): P452/PER/2/2/3. His excavation daybook occasionally records browsing for antiquities: while in Tamiya on a day trip that nearly ended in disaster, for example, he </w:t>
      </w:r>
      <w:r>
        <w:rPr>
          <w:rFonts w:cs="Arial Unicode MS" w:eastAsia="Arial Unicode MS" w:hint="default"/>
          <w:rtl w:val="0"/>
        </w:rPr>
        <w:t>“</w:t>
      </w:r>
      <w:r>
        <w:rPr>
          <w:rFonts w:cs="Arial Unicode MS" w:eastAsia="Arial Unicode MS"/>
          <w:rtl w:val="0"/>
        </w:rPr>
        <w:t>saw Coptic vellum lectionary ? + one or two papyri</w:t>
      </w:r>
      <w:r>
        <w:rPr>
          <w:rFonts w:cs="Arial Unicode MS" w:eastAsia="Arial Unicode MS" w:hint="default"/>
          <w:rtl w:val="0"/>
        </w:rPr>
        <w:t xml:space="preserve">” </w:t>
      </w:r>
      <w:r>
        <w:rPr>
          <w:rFonts w:cs="Arial Unicode MS" w:eastAsia="Arial Unicode MS"/>
          <w:rtl w:val="0"/>
        </w:rPr>
        <w:t>(10 January 1896): P452/ARC/3/3.</w:t>
      </w:r>
    </w:p>
  </w:footnote>
  <w:footnote w:id="30">
    <w:p>
      <w:pPr>
        <w:pStyle w:val="footnote text"/>
      </w:pPr>
      <w:r>
        <w:rPr>
          <w:rStyle w:val="footnote reference"/>
        </w:rPr>
        <w:footnoteRef/>
      </w:r>
      <w:r>
        <w:rPr>
          <w:rFonts w:cs="Arial Unicode MS" w:eastAsia="Arial Unicode MS"/>
          <w:rtl w:val="0"/>
        </w:rPr>
        <w:t xml:space="preserve"> No doubt the voyage home provided ample opportunity for work; Hogarth reports that, although excavated objects were shipped separately after being cleared at Ghizeh, he and Grenfell would </w:t>
      </w:r>
      <w:r>
        <w:rPr>
          <w:rFonts w:cs="Arial Unicode MS" w:eastAsia="Arial Unicode MS" w:hint="default"/>
          <w:rtl w:val="0"/>
        </w:rPr>
        <w:t>“</w:t>
      </w:r>
      <w:r>
        <w:rPr>
          <w:rFonts w:cs="Arial Unicode MS" w:eastAsia="Arial Unicode MS"/>
          <w:rtl w:val="0"/>
        </w:rPr>
        <w:t>bring to England a large number of other papyri bought in various parts of Egypt</w:t>
      </w:r>
      <w:r>
        <w:rPr>
          <w:rFonts w:cs="Arial Unicode MS" w:eastAsia="Arial Unicode MS" w:hint="default"/>
          <w:rtl w:val="0"/>
        </w:rPr>
        <w:t>”</w:t>
      </w:r>
      <w:r>
        <w:rPr>
          <w:rFonts w:cs="Arial Unicode MS" w:eastAsia="Arial Unicode MS"/>
          <w:rtl w:val="0"/>
        </w:rPr>
        <w:t>, evidently in person. See, respectively, his letters to Laura V. Hogarth, Hotel d</w:t>
      </w:r>
      <w:r>
        <w:rPr>
          <w:rFonts w:cs="Arial Unicode MS" w:eastAsia="Arial Unicode MS" w:hint="default"/>
          <w:rtl w:val="0"/>
        </w:rPr>
        <w:t>’</w:t>
      </w:r>
      <w:r>
        <w:rPr>
          <w:rFonts w:cs="Arial Unicode MS" w:eastAsia="Arial Unicode MS"/>
          <w:rtl w:val="0"/>
        </w:rPr>
        <w:t xml:space="preserve">Angleterre, Cairo (8 March 1896): P452/PER/2/2/2; and to Herbert Grueber, Mena House Hotel, Cairo (14 March 1896), transcribed in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167</w:t>
      </w:r>
      <w:r>
        <w:rPr>
          <w:rStyle w:val="Hyperlink.0"/>
          <w:rFonts w:cs="Arial Unicode MS" w:eastAsia="Arial Unicode MS" w:hint="default"/>
          <w:rtl w:val="0"/>
        </w:rPr>
        <w:t>–</w:t>
      </w:r>
      <w:r>
        <w:rPr>
          <w:rStyle w:val="Hyperlink.0"/>
          <w:rFonts w:cs="Arial Unicode MS" w:eastAsia="Arial Unicode MS"/>
          <w:rtl w:val="0"/>
        </w:rPr>
        <w:t>171)</w:t>
      </w:r>
      <w:r>
        <w:rPr/>
        <w:fldChar w:fldCharType="end" w:fldLock="0"/>
      </w:r>
      <w:r>
        <w:rPr>
          <w:rFonts w:cs="Arial Unicode MS" w:eastAsia="Arial Unicode MS"/>
          <w:rtl w:val="0"/>
        </w:rPr>
        <w:t>. The latter is housed in the archives of the Egypt Exploration Society (EES Inv. III k 139).</w:t>
      </w:r>
    </w:p>
  </w:footnote>
  <w:footnote w:id="31">
    <w:p>
      <w:pPr>
        <w:pStyle w:val="footnote text"/>
      </w:pPr>
      <w:r>
        <w:rPr>
          <w:rStyle w:val="footnote reference"/>
        </w:rPr>
        <w:footnoteRef/>
      </w:r>
      <w:r>
        <w:rPr>
          <w:rFonts w:cs="Arial Unicode MS" w:eastAsia="Arial Unicode MS"/>
          <w:rtl w:val="0"/>
        </w:rPr>
        <w:t xml:space="preserve"> Prior to mine, inquiries on this topic were certainly made in 1968 by Jean Bingen (via T. C. Skeat in the British Museum) as well as by P. J. Sijpesteijn in 1981. The only papyri now in the college</w:t>
      </w:r>
      <w:r>
        <w:rPr>
          <w:rFonts w:cs="Arial Unicode MS" w:eastAsia="Arial Unicode MS" w:hint="default"/>
          <w:rtl w:val="0"/>
        </w:rPr>
        <w:t>’</w:t>
      </w:r>
      <w:r>
        <w:rPr>
          <w:rFonts w:cs="Arial Unicode MS" w:eastAsia="Arial Unicode MS"/>
          <w:rtl w:val="0"/>
        </w:rPr>
        <w:t xml:space="preserve">s treasury are the distributed papyri </w:t>
      </w:r>
      <w:r>
        <w:rPr>
          <w:rStyle w:val="Hyperlink.0"/>
        </w:rPr>
        <w:fldChar w:fldCharType="begin" w:fldLock="0"/>
      </w:r>
      <w:r>
        <w:rPr>
          <w:rStyle w:val="Hyperlink.0"/>
        </w:rPr>
        <w:instrText xml:space="preserve"> HYPERLINK "https://papyri.info/ddbdp/p.oxy;1;80"</w:instrText>
      </w:r>
      <w:r>
        <w:rPr>
          <w:rStyle w:val="Hyperlink.0"/>
        </w:rPr>
        <w:fldChar w:fldCharType="separate" w:fldLock="0"/>
      </w:r>
      <w:r>
        <w:rPr>
          <w:rStyle w:val="Hyperlink.0"/>
          <w:rFonts w:cs="Arial Unicode MS" w:eastAsia="Arial Unicode MS"/>
          <w:rtl w:val="0"/>
        </w:rPr>
        <w:t>P.Oxy. 1 80</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"https://papyri.info/dclp/63934"</w:instrText>
      </w:r>
      <w:r>
        <w:rPr>
          <w:rStyle w:val="Hyperlink.0"/>
        </w:rPr>
        <w:fldChar w:fldCharType="separate" w:fldLock="0"/>
      </w:r>
      <w:r>
        <w:rPr>
          <w:rStyle w:val="Hyperlink.0"/>
          <w:rFonts w:cs="Arial Unicode MS" w:eastAsia="Arial Unicode MS"/>
          <w:rtl w:val="0"/>
        </w:rPr>
        <w:t>P.Oxy. 1 124</w:t>
      </w:r>
      <w:r>
        <w:rPr/>
        <w:fldChar w:fldCharType="end" w:fldLock="0"/>
      </w:r>
      <w:r>
        <w:rPr>
          <w:rFonts w:cs="Arial Unicode MS" w:eastAsia="Arial Unicode MS"/>
          <w:rtl w:val="0"/>
        </w:rPr>
        <w:t xml:space="preserve">: a third papyrus distributed to it by the EES </w:t>
      </w:r>
      <w:r>
        <w:rPr>
          <w:rFonts w:cs="Arial Unicode MS" w:eastAsia="Arial Unicode MS" w:hint="default"/>
          <w:rtl w:val="0"/>
        </w:rPr>
        <w:t xml:space="preserve">– </w:t>
      </w:r>
      <w:r>
        <w:rPr>
          <w:rStyle w:val="Hyperlink.0"/>
        </w:rPr>
        <w:fldChar w:fldCharType="begin" w:fldLock="0"/>
      </w:r>
      <w:r>
        <w:rPr>
          <w:rStyle w:val="Hyperlink.0"/>
        </w:rPr>
        <w:instrText xml:space="preserve"> HYPERLINK "https://papyri.info/ddbdp/p.oxy;12;1580"</w:instrText>
      </w:r>
      <w:r>
        <w:rPr>
          <w:rStyle w:val="Hyperlink.0"/>
        </w:rPr>
        <w:fldChar w:fldCharType="separate" w:fldLock="0"/>
      </w:r>
      <w:r>
        <w:rPr>
          <w:rStyle w:val="Hyperlink.0"/>
          <w:rFonts w:cs="Arial Unicode MS" w:eastAsia="Arial Unicode MS"/>
          <w:rtl w:val="0"/>
        </w:rPr>
        <w:t>P.Oxy. 12 1580</w:t>
      </w:r>
      <w:r>
        <w:rPr/>
        <w:fldChar w:fldCharType="end" w:fldLock="0"/>
      </w:r>
      <w:r>
        <w:rPr>
          <w:rFonts w:cs="Arial Unicode MS" w:eastAsia="Arial Unicode MS" w:hint="default"/>
          <w:rtl w:val="0"/>
        </w:rPr>
        <w:t xml:space="preserve"> – </w:t>
      </w:r>
      <w:r>
        <w:rPr>
          <w:rFonts w:cs="Arial Unicode MS" w:eastAsia="Arial Unicode MS"/>
          <w:rtl w:val="0"/>
        </w:rPr>
        <w:t>is lost.</w:t>
      </w:r>
    </w:p>
  </w:footnote>
  <w:footnote w:id="32">
    <w:p>
      <w:pPr>
        <w:pStyle w:val="footnote text"/>
      </w:pPr>
      <w:r>
        <w:rPr>
          <w:rStyle w:val="footnote reference"/>
        </w:rPr>
        <w:footnoteRef/>
      </w:r>
      <w:r>
        <w:rPr>
          <w:rFonts w:cs="Arial Unicode MS" w:eastAsia="Arial Unicode MS"/>
          <w:rtl w:val="0"/>
        </w:rPr>
        <w:t xml:space="preserve"> In publishing the latter (= </w:t>
      </w:r>
      <w:r>
        <w:rPr>
          <w:rStyle w:val="Hyperlink.0"/>
        </w:rPr>
        <w:fldChar w:fldCharType="begin" w:fldLock="0"/>
      </w:r>
      <w:r>
        <w:rPr>
          <w:rStyle w:val="Hyperlink.0"/>
        </w:rPr>
        <w:instrText xml:space="preserve"> HYPERLINK "https://papyri.info/hgv/14121"</w:instrText>
      </w:r>
      <w:r>
        <w:rPr>
          <w:rStyle w:val="Hyperlink.0"/>
        </w:rPr>
        <w:fldChar w:fldCharType="separate" w:fldLock="0"/>
      </w:r>
      <w:r>
        <w:rPr>
          <w:rStyle w:val="Hyperlink.0"/>
          <w:rFonts w:cs="Arial Unicode MS" w:eastAsia="Arial Unicode MS"/>
          <w:rtl w:val="0"/>
        </w:rPr>
        <w:t>SB VI 9192</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211, no. III)</w:t>
      </w:r>
      <w:r>
        <w:rPr/>
        <w:fldChar w:fldCharType="end" w:fldLock="0"/>
      </w:r>
      <w:r>
        <w:rPr>
          <w:rFonts w:cs="Arial Unicode MS" w:eastAsia="Arial Unicode MS"/>
          <w:rtl w:val="0"/>
        </w:rPr>
        <w:t xml:space="preserve"> did note that two of its columns had been published in </w:t>
      </w:r>
      <w:r>
        <w:rPr>
          <w:rStyle w:val="Hyperlink.0"/>
        </w:rPr>
        <w:fldChar w:fldCharType="begin" w:fldLock="0"/>
      </w:r>
      <w:r>
        <w:rPr>
          <w:rStyle w:val="Hyperlink.0"/>
        </w:rPr>
        <w:instrText xml:space="preserve"> HYPERLINK "https://papyri.info/biblio/95162"</w:instrText>
      </w:r>
      <w:r>
        <w:rPr>
          <w:rStyle w:val="Hyperlink.0"/>
        </w:rPr>
        <w:fldChar w:fldCharType="separate" w:fldLock="0"/>
      </w:r>
      <w:r>
        <w:rPr>
          <w:rStyle w:val="Hyperlink.0"/>
          <w:rFonts w:cs="Arial Unicode MS" w:eastAsia="Arial Unicode MS"/>
          <w:rtl w:val="0"/>
        </w:rPr>
        <w:t>P.Grenf. 2</w:t>
      </w:r>
      <w:r>
        <w:rPr/>
        <w:fldChar w:fldCharType="end" w:fldLock="0"/>
      </w:r>
      <w:r>
        <w:rPr>
          <w:rFonts w:cs="Arial Unicode MS" w:eastAsia="Arial Unicode MS"/>
          <w:rtl w:val="0"/>
        </w:rPr>
        <w:t>, but she did not remark upon its alleged location in Winchester College. My correspondence with Amin Benaissa on the topic of Hogarth</w:t>
      </w:r>
      <w:r>
        <w:rPr>
          <w:rFonts w:cs="Arial Unicode MS" w:eastAsia="Arial Unicode MS" w:hint="default"/>
          <w:rtl w:val="0"/>
        </w:rPr>
        <w:t>’</w:t>
      </w:r>
      <w:r>
        <w:rPr>
          <w:rFonts w:cs="Arial Unicode MS" w:eastAsia="Arial Unicode MS"/>
          <w:rtl w:val="0"/>
        </w:rPr>
        <w:t xml:space="preserve">s papyri alerted me to the presence of </w:t>
      </w:r>
      <w:r>
        <w:rPr>
          <w:rStyle w:val="Hyperlink.0"/>
        </w:rPr>
        <w:fldChar w:fldCharType="begin" w:fldLock="0"/>
      </w:r>
      <w:r>
        <w:rPr>
          <w:rStyle w:val="Hyperlink.0"/>
        </w:rPr>
        <w:instrText xml:space="preserve"> HYPERLINK "https://papyri.info/hgv/11360"</w:instrText>
      </w:r>
      <w:r>
        <w:rPr>
          <w:rStyle w:val="Hyperlink.0"/>
        </w:rPr>
        <w:fldChar w:fldCharType="separate" w:fldLock="0"/>
      </w:r>
      <w:r>
        <w:rPr>
          <w:rStyle w:val="Hyperlink.0"/>
          <w:rFonts w:cs="Arial Unicode MS" w:eastAsia="Arial Unicode MS"/>
          <w:rtl w:val="0"/>
        </w:rPr>
        <w:t>P.Grenf. 2 57</w:t>
      </w:r>
      <w:r>
        <w:rPr/>
        <w:fldChar w:fldCharType="end" w:fldLock="0"/>
      </w:r>
      <w:r>
        <w:rPr>
          <w:rFonts w:cs="Arial Unicode MS" w:eastAsia="Arial Unicode MS"/>
          <w:rtl w:val="0"/>
        </w:rPr>
        <w:t xml:space="preserve"> in the Bodleian. </w:t>
      </w:r>
    </w:p>
  </w:footnote>
  <w:footnote w:id="33">
    <w:p>
      <w:pPr>
        <w:pStyle w:val="footnote text"/>
      </w:pPr>
      <w:r>
        <w:rPr>
          <w:rStyle w:val="footnote reference"/>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42</w:t>
      </w:r>
      <w:r>
        <w:rPr>
          <w:rStyle w:val="Hyperlink.0"/>
          <w:rFonts w:cs="Arial Unicode MS" w:eastAsia="Arial Unicode MS" w:hint="default"/>
          <w:rtl w:val="0"/>
        </w:rPr>
        <w:t>–</w:t>
      </w:r>
      <w:r>
        <w:rPr>
          <w:rStyle w:val="Hyperlink.0"/>
          <w:rFonts w:cs="Arial Unicode MS" w:eastAsia="Arial Unicode MS"/>
          <w:rtl w:val="0"/>
        </w:rPr>
        <w:t>52</w:t>
      </w:r>
      <w:r>
        <w:rPr/>
        <w:fldChar w:fldCharType="end" w:fldLock="0"/>
      </w:r>
      <w:r>
        <w:rPr>
          <w:rFonts w:cs="Arial Unicode MS" w:eastAsia="Arial Unicode MS"/>
          <w:rtl w:val="0"/>
        </w:rPr>
        <w:t>.</w:t>
      </w:r>
    </w:p>
  </w:footnote>
  <w:footnote w:id="34">
    <w:p>
      <w:pPr>
        <w:pStyle w:val="footnote text"/>
      </w:pPr>
      <w:r>
        <w:rPr>
          <w:rStyle w:val="footnote reference"/>
        </w:rPr>
        <w:footnoteRef/>
      </w:r>
      <w:r>
        <w:rPr>
          <w:rFonts w:cs="Arial Unicode MS" w:eastAsia="Arial Unicode MS"/>
          <w:rtl w:val="0"/>
        </w:rPr>
        <w:t xml:space="preserve"> See the entries for 16 March and 19 March 1894: P452/ARC/3/1. On the former occasion, in Luxor, Hogarth writes </w:t>
      </w:r>
      <w:r>
        <w:rPr>
          <w:rFonts w:cs="Arial Unicode MS" w:eastAsia="Arial Unicode MS" w:hint="default"/>
          <w:rtl w:val="0"/>
        </w:rPr>
        <w:t>“</w:t>
      </w:r>
      <w:r>
        <w:rPr>
          <w:rFonts w:cs="Arial Unicode MS" w:eastAsia="Arial Unicode MS"/>
          <w:rtl w:val="0"/>
        </w:rPr>
        <w:t>Went to Idris</w:t>
      </w:r>
      <w:r>
        <w:rPr>
          <w:rFonts w:cs="Arial Unicode MS" w:eastAsia="Arial Unicode MS" w:hint="default"/>
          <w:rtl w:val="0"/>
        </w:rPr>
        <w:t xml:space="preserve">’ </w:t>
      </w:r>
      <w:r>
        <w:rPr>
          <w:rFonts w:cs="Arial Unicode MS" w:eastAsia="Arial Unicode MS"/>
          <w:rtl w:val="0"/>
        </w:rPr>
        <w:t>shop but saw nothing to buy + left. Ahmed Yusuf</w:t>
      </w:r>
      <w:r>
        <w:rPr>
          <w:rFonts w:cs="Arial Unicode MS" w:eastAsia="Arial Unicode MS" w:hint="default"/>
          <w:rtl w:val="0"/>
        </w:rPr>
        <w:t>’</w:t>
      </w:r>
      <w:r>
        <w:rPr>
          <w:rFonts w:cs="Arial Unicode MS" w:eastAsia="Arial Unicode MS"/>
          <w:rtl w:val="0"/>
        </w:rPr>
        <w:t>s papyri alone.</w:t>
      </w:r>
      <w:r>
        <w:rPr>
          <w:rFonts w:cs="Arial Unicode MS" w:eastAsia="Arial Unicode MS" w:hint="default"/>
          <w:rtl w:val="0"/>
        </w:rPr>
        <w:t xml:space="preserve">” </w:t>
      </w:r>
      <w:r>
        <w:rPr>
          <w:rFonts w:cs="Arial Unicode MS" w:eastAsia="Arial Unicode MS"/>
          <w:rtl w:val="0"/>
        </w:rPr>
        <w:t xml:space="preserve">That objects were available for sale was immediately evident to him: one of his first letters from Egypt, after reaching Deir el-Bahri, complains that there were dealers </w:t>
      </w:r>
      <w:r>
        <w:rPr>
          <w:rFonts w:cs="Arial Unicode MS" w:eastAsia="Arial Unicode MS" w:hint="default"/>
          <w:rtl w:val="0"/>
        </w:rPr>
        <w:t>“</w:t>
      </w:r>
      <w:r>
        <w:rPr>
          <w:rFonts w:cs="Arial Unicode MS" w:eastAsia="Arial Unicode MS"/>
          <w:rtl w:val="0"/>
        </w:rPr>
        <w:t>hovering round like flies.</w:t>
      </w:r>
      <w:r>
        <w:rPr>
          <w:rFonts w:cs="Arial Unicode MS" w:eastAsia="Arial Unicode MS" w:hint="default"/>
          <w:rtl w:val="0"/>
        </w:rPr>
        <w:t xml:space="preserve">” </w:t>
      </w:r>
      <w:r>
        <w:rPr>
          <w:rFonts w:cs="Arial Unicode MS" w:eastAsia="Arial Unicode MS"/>
          <w:rtl w:val="0"/>
        </w:rPr>
        <w:t>Hogarth to Charles R. Fletcher, Luxor (5 January 1894): P452/PER/2/5/1.</w:t>
      </w:r>
    </w:p>
  </w:footnote>
  <w:footnote w:id="35">
    <w:p>
      <w:pPr>
        <w:pStyle w:val="footnote text"/>
      </w:pPr>
      <w:r>
        <w:rPr>
          <w:rStyle w:val="footnote reference"/>
        </w:rPr>
        <w:footnoteRef/>
      </w:r>
      <w:r>
        <w:rPr>
          <w:rFonts w:cs="Arial Unicode MS" w:eastAsia="Arial Unicode MS"/>
          <w:rtl w:val="0"/>
        </w:rPr>
        <w:t xml:space="preserve"> Hogarth to Laura V. Uppleby, Magdalen (23 October 1894): P452/PER/2/2/1. The antiquities in question are AN1894.44, AN1894.44.c, and AN1894.45</w:t>
      </w:r>
      <w:r>
        <w:rPr>
          <w:rFonts w:cs="Arial Unicode MS" w:eastAsia="Arial Unicode MS" w:hint="default"/>
          <w:rtl w:val="0"/>
        </w:rPr>
        <w:t>–</w:t>
      </w:r>
      <w:r>
        <w:rPr>
          <w:rFonts w:cs="Arial Unicode MS" w:eastAsia="Arial Unicode MS"/>
          <w:rtl w:val="0"/>
        </w:rPr>
        <w:t>58, principally seals from Gaziantep, accession date 29 October 1894.</w:t>
      </w:r>
    </w:p>
  </w:footnote>
  <w:footnote w:id="36">
    <w:p>
      <w:pPr>
        <w:pStyle w:val="footnote text"/>
      </w:pPr>
      <w:r>
        <w:rPr>
          <w:rStyle w:val="footnote reference"/>
        </w:rPr>
        <w:footnoteRef/>
      </w:r>
      <w:r>
        <w:rPr>
          <w:rFonts w:cs="Arial Unicode MS" w:eastAsia="Arial Unicode MS"/>
          <w:rtl w:val="0"/>
        </w:rPr>
        <w:t xml:space="preserve"> On such finds, see Hogarth to Charles R. Fletcher, Luxor (5 January 1894): P452/PER/2/5/1, and cf. the daybook entry for 17 January 1894 (P452/ARC/3/1): </w:t>
      </w:r>
      <w:r>
        <w:rPr>
          <w:rFonts w:cs="Arial Unicode MS" w:eastAsia="Arial Unicode MS" w:hint="default"/>
          <w:rtl w:val="0"/>
        </w:rPr>
        <w:t>“</w:t>
      </w:r>
      <w:r>
        <w:rPr>
          <w:rFonts w:cs="Arial Unicode MS" w:eastAsia="Arial Unicode MS"/>
          <w:rtl w:val="0"/>
        </w:rPr>
        <w:t>Find little to do + must take to Coptic + Demotic.</w:t>
      </w:r>
      <w:r>
        <w:rPr>
          <w:rFonts w:cs="Arial Unicode MS" w:eastAsia="Arial Unicode MS" w:hint="default"/>
          <w:rtl w:val="0"/>
        </w:rPr>
        <w:t>”</w:t>
      </w:r>
    </w:p>
  </w:footnote>
  <w:footnote w:id="37">
    <w:p>
      <w:pPr>
        <w:pStyle w:val="footnote text"/>
      </w:pPr>
      <w:r>
        <w:rPr>
          <w:rStyle w:val="footnote reference"/>
        </w:rPr>
        <w:footnoteRef/>
      </w:r>
      <w:r>
        <w:rPr>
          <w:rFonts w:cs="Arial Unicode MS" w:eastAsia="Arial Unicode MS"/>
          <w:rtl w:val="0"/>
        </w:rPr>
        <w:t xml:space="preserve"> Daybook entry for 20 January 1894 (P452/ARC/3/1), noted also by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 139</w:t>
      </w:r>
      <w:r>
        <w:rPr>
          <w:rStyle w:val="Hyperlink.0"/>
          <w:rFonts w:cs="Arial Unicode MS" w:eastAsia="Arial Unicode MS" w:hint="default"/>
          <w:rtl w:val="0"/>
        </w:rPr>
        <w:t>–</w:t>
      </w:r>
      <w:r>
        <w:rPr>
          <w:rStyle w:val="Hyperlink.0"/>
          <w:rFonts w:cs="Arial Unicode MS" w:eastAsia="Arial Unicode MS"/>
          <w:rtl w:val="0"/>
        </w:rPr>
        <w:t>140)</w:t>
      </w:r>
      <w:r>
        <w:rPr/>
        <w:fldChar w:fldCharType="end" w:fldLock="0"/>
      </w:r>
      <w:r>
        <w:rPr>
          <w:rFonts w:cs="Arial Unicode MS" w:eastAsia="Arial Unicode MS"/>
          <w:rtl w:val="0"/>
        </w:rPr>
        <w:t>.</w:t>
      </w:r>
    </w:p>
  </w:footnote>
  <w:footnote w:id="38">
    <w:p>
      <w:pPr>
        <w:pStyle w:val="footnote text"/>
      </w:pPr>
      <w:r>
        <w:rPr>
          <w:rStyle w:val="footnote reference"/>
        </w:rPr>
        <w:footnoteRef/>
      </w:r>
      <w:r>
        <w:rPr>
          <w:rFonts w:cs="Arial Unicode MS" w:eastAsia="Arial Unicode MS"/>
          <w:rtl w:val="0"/>
        </w:rPr>
        <w:t xml:space="preserve"> Daybook entry for 28 February 1894 (P452/ARC/3/1).</w:t>
      </w:r>
    </w:p>
  </w:footnote>
  <w:footnote w:id="39">
    <w:p>
      <w:pPr>
        <w:pStyle w:val="footnote text"/>
      </w:pPr>
      <w:r>
        <w:rPr>
          <w:rStyle w:val="footnote reference"/>
        </w:rPr>
        <w:footnoteRef/>
      </w:r>
      <w:r>
        <w:rPr>
          <w:rFonts w:cs="Arial Unicode MS" w:eastAsia="Arial Unicode MS"/>
          <w:rtl w:val="0"/>
        </w:rPr>
        <w:t xml:space="preserve"> Daybook entry for 23 March 1894 (P452/ARC/3/1).</w:t>
      </w:r>
    </w:p>
  </w:footnote>
  <w:footnote w:id="40">
    <w:p>
      <w:pPr>
        <w:pStyle w:val="footnote text"/>
      </w:pPr>
      <w:r>
        <w:rPr>
          <w:rStyle w:val="footnote reference"/>
        </w:rPr>
        <w:footnoteRef/>
      </w:r>
      <w:r>
        <w:rPr>
          <w:rFonts w:cs="Arial Unicode MS" w:eastAsia="Arial Unicode MS"/>
          <w:rtl w:val="0"/>
        </w:rPr>
        <w:t xml:space="preserve"> Daybook entry for 27 March 1894 (P452/ARC/3/1). Faragh is presumably Farag Isma</w:t>
      </w:r>
      <w:r>
        <w:rPr>
          <w:rFonts w:cs="Arial Unicode MS" w:eastAsia="Arial Unicode MS" w:hint="default"/>
          <w:rtl w:val="0"/>
        </w:rPr>
        <w:t>ï</w:t>
      </w:r>
      <w:r>
        <w:rPr>
          <w:rFonts w:cs="Arial Unicode MS" w:eastAsia="Arial Unicode MS"/>
          <w:rtl w:val="0"/>
        </w:rPr>
        <w:t xml:space="preserve">n, on whom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214</w:t>
      </w:r>
      <w:r>
        <w:rPr>
          <w:rStyle w:val="Hyperlink.0"/>
          <w:rFonts w:cs="Arial Unicode MS" w:eastAsia="Arial Unicode MS" w:hint="default"/>
          <w:rtl w:val="0"/>
        </w:rPr>
        <w:t>–</w:t>
      </w:r>
      <w:r>
        <w:rPr>
          <w:rStyle w:val="Hyperlink.0"/>
          <w:rFonts w:cs="Arial Unicode MS" w:eastAsia="Arial Unicode MS"/>
          <w:rtl w:val="0"/>
        </w:rPr>
        <w:t>215)</w:t>
      </w:r>
      <w:r>
        <w:rPr/>
        <w:fldChar w:fldCharType="end" w:fldLock="0"/>
      </w:r>
      <w:r>
        <w:rPr>
          <w:rFonts w:cs="Arial Unicode MS" w:eastAsia="Arial Unicode MS"/>
          <w:rtl w:val="0"/>
        </w:rPr>
        <w:t xml:space="preserve">, presumably one of the dealers lauded for their ability and enterprise by </w:t>
      </w:r>
      <w:r>
        <w:rPr>
          <w:rStyle w:val="Hyperlink.0"/>
        </w:rPr>
        <w:fldChar w:fldCharType="begin" w:fldLock="0"/>
      </w:r>
      <w:r>
        <w:rPr>
          <w:rStyle w:val="Hyperlink.0"/>
        </w:rPr>
        <w:instrText xml:space="preserve"> HYPERLINK "https://papyri.info/biblio/95143"</w:instrText>
      </w:r>
      <w:r>
        <w:rPr>
          <w:rStyle w:val="Hyperlink.0"/>
        </w:rPr>
        <w:fldChar w:fldCharType="separate" w:fldLock="0"/>
      </w:r>
      <w:r>
        <w:rPr>
          <w:rStyle w:val="Hyperlink.0"/>
          <w:rFonts w:cs="Arial Unicode MS" w:eastAsia="Arial Unicode MS"/>
          <w:rtl w:val="0"/>
        </w:rPr>
        <w:t>Grenfell, Hunt, and Hogarth (1900: 18)</w:t>
      </w:r>
      <w:r>
        <w:rPr/>
        <w:fldChar w:fldCharType="end" w:fldLock="0"/>
      </w:r>
      <w:r>
        <w:rPr>
          <w:rFonts w:cs="Arial Unicode MS" w:eastAsia="Arial Unicode MS"/>
          <w:rtl w:val="0"/>
        </w:rPr>
        <w:t xml:space="preserve">: see </w:t>
      </w:r>
      <w:r>
        <w:rPr>
          <w:rStyle w:val="Hyperlink.0"/>
        </w:rPr>
        <w:fldChar w:fldCharType="begin" w:fldLock="0"/>
      </w:r>
      <w:r>
        <w:rPr>
          <w:rStyle w:val="Hyperlink.0"/>
        </w:rPr>
        <w:instrText xml:space="preserve"> HYPERLINK "https://papyri.info/biblio/84769"</w:instrText>
      </w:r>
      <w:r>
        <w:rPr>
          <w:rStyle w:val="Hyperlink.0"/>
        </w:rPr>
        <w:fldChar w:fldCharType="separate" w:fldLock="0"/>
      </w:r>
      <w:r>
        <w:rPr>
          <w:rStyle w:val="Hyperlink.0"/>
          <w:rFonts w:cs="Arial Unicode MS" w:eastAsia="Arial Unicode MS"/>
          <w:rtl w:val="0"/>
        </w:rPr>
        <w:t>Hagen and Ryholt (2016: 192</w:t>
      </w:r>
      <w:r>
        <w:rPr>
          <w:rStyle w:val="Hyperlink.0"/>
          <w:rFonts w:cs="Arial Unicode MS" w:eastAsia="Arial Unicode MS" w:hint="default"/>
          <w:rtl w:val="0"/>
        </w:rPr>
        <w:t>–</w:t>
      </w:r>
      <w:r>
        <w:rPr>
          <w:rStyle w:val="Hyperlink.0"/>
          <w:rFonts w:cs="Arial Unicode MS" w:eastAsia="Arial Unicode MS"/>
          <w:rtl w:val="0"/>
        </w:rPr>
        <w:t>193)</w:t>
      </w:r>
      <w:r>
        <w:rPr/>
        <w:fldChar w:fldCharType="end" w:fldLock="0"/>
      </w:r>
      <w:r>
        <w:rPr>
          <w:rFonts w:cs="Arial Unicode MS" w:eastAsia="Arial Unicode MS"/>
          <w:rtl w:val="0"/>
        </w:rPr>
        <w:t>. An anecdote recorded in Hogarth</w:t>
      </w:r>
      <w:r>
        <w:rPr>
          <w:rFonts w:cs="Arial Unicode MS" w:eastAsia="Arial Unicode MS" w:hint="default"/>
          <w:rtl w:val="0"/>
        </w:rPr>
        <w:t>’</w:t>
      </w:r>
      <w:r>
        <w:rPr>
          <w:rFonts w:cs="Arial Unicode MS" w:eastAsia="Arial Unicode MS"/>
          <w:rtl w:val="0"/>
        </w:rPr>
        <w:t>s daybook indicates that K</w:t>
      </w:r>
      <w:r>
        <w:rPr>
          <w:rFonts w:cs="Arial Unicode MS" w:eastAsia="Arial Unicode MS" w:hint="default"/>
          <w:rtl w:val="0"/>
        </w:rPr>
        <w:t>û</w:t>
      </w:r>
      <w:r>
        <w:rPr>
          <w:rFonts w:cs="Arial Unicode MS" w:eastAsia="Arial Unicode MS"/>
          <w:rtl w:val="0"/>
        </w:rPr>
        <w:t>m Wash</w:t>
      </w:r>
      <w:r>
        <w:rPr>
          <w:rFonts w:cs="Arial Unicode MS" w:eastAsia="Arial Unicode MS" w:hint="default"/>
          <w:rtl w:val="0"/>
        </w:rPr>
        <w:t>î</w:t>
      </w:r>
      <w:r>
        <w:rPr>
          <w:rFonts w:cs="Arial Unicode MS" w:eastAsia="Arial Unicode MS"/>
          <w:rtl w:val="0"/>
        </w:rPr>
        <w:t xml:space="preserve">m was </w:t>
      </w:r>
      <w:r>
        <w:rPr>
          <w:rStyle w:val="page number"/>
          <w:rFonts w:cs="Arial Unicode MS" w:eastAsia="Arial Unicode MS"/>
          <w:i w:val="1"/>
          <w:iCs w:val="1"/>
          <w:rtl w:val="0"/>
          <w:lang w:val="en-US"/>
        </w:rPr>
        <w:t>not</w:t>
      </w:r>
      <w:r>
        <w:rPr>
          <w:rFonts w:cs="Arial Unicode MS" w:eastAsia="Arial Unicode MS"/>
          <w:rtl w:val="0"/>
        </w:rPr>
        <w:t xml:space="preserve"> one of the mounds that Farag had explored: </w:t>
      </w:r>
      <w:r>
        <w:rPr>
          <w:rFonts w:cs="Arial Unicode MS" w:eastAsia="Arial Unicode MS" w:hint="default"/>
          <w:rtl w:val="0"/>
        </w:rPr>
        <w:t>“‘</w:t>
      </w:r>
      <w:r>
        <w:rPr>
          <w:rFonts w:cs="Arial Unicode MS" w:eastAsia="Arial Unicode MS"/>
          <w:rtl w:val="0"/>
        </w:rPr>
        <w:t>Ali Habibi? worked 6 days. Dimitri also. but not Farag</w:t>
      </w:r>
      <w:r>
        <w:rPr>
          <w:rFonts w:cs="Arial Unicode MS" w:eastAsia="Arial Unicode MS" w:hint="default"/>
          <w:rtl w:val="0"/>
        </w:rPr>
        <w:t xml:space="preserve">’ </w:t>
      </w:r>
      <w:r>
        <w:rPr>
          <w:rFonts w:cs="Arial Unicode MS" w:eastAsia="Arial Unicode MS"/>
          <w:rtl w:val="0"/>
        </w:rPr>
        <w:t>(old ghaffir)</w:t>
      </w:r>
      <w:r>
        <w:rPr>
          <w:rFonts w:cs="Arial Unicode MS" w:eastAsia="Arial Unicode MS" w:hint="default"/>
          <w:rtl w:val="0"/>
        </w:rPr>
        <w:t>”</w:t>
      </w:r>
      <w:r>
        <w:rPr>
          <w:rFonts w:cs="Arial Unicode MS" w:eastAsia="Arial Unicode MS"/>
          <w:rtl w:val="0"/>
        </w:rPr>
        <w:t>: daybook entry for 20 December 1895 (P452/ARC/3/3). The texts Hogarth viewed at Grenfell</w:t>
      </w:r>
      <w:r>
        <w:rPr>
          <w:rFonts w:cs="Arial Unicode MS" w:eastAsia="Arial Unicode MS" w:hint="default"/>
          <w:rtl w:val="0"/>
        </w:rPr>
        <w:t>’</w:t>
      </w:r>
      <w:r>
        <w:rPr>
          <w:rFonts w:cs="Arial Unicode MS" w:eastAsia="Arial Unicode MS"/>
          <w:rtl w:val="0"/>
        </w:rPr>
        <w:t xml:space="preserve">s are presumably </w:t>
      </w:r>
      <w:r>
        <w:rPr>
          <w:rStyle w:val="Hyperlink.0"/>
        </w:rPr>
        <w:fldChar w:fldCharType="begin" w:fldLock="0"/>
      </w:r>
      <w:r>
        <w:rPr>
          <w:rStyle w:val="Hyperlink.0"/>
        </w:rPr>
        <w:instrText xml:space="preserve"> HYPERLINK "https://papyri.info/dclp/60326"</w:instrText>
      </w:r>
      <w:r>
        <w:rPr>
          <w:rStyle w:val="Hyperlink.0"/>
        </w:rPr>
        <w:fldChar w:fldCharType="separate" w:fldLock="0"/>
      </w:r>
      <w:r>
        <w:rPr>
          <w:rStyle w:val="Hyperlink.0"/>
          <w:rFonts w:cs="Arial Unicode MS" w:eastAsia="Arial Unicode MS"/>
          <w:rtl w:val="0"/>
        </w:rPr>
        <w:t>P.Grenf. 1 2</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"https://papyri.info/dclp/60898"</w:instrText>
      </w:r>
      <w:r>
        <w:rPr>
          <w:rStyle w:val="Hyperlink.0"/>
        </w:rPr>
        <w:fldChar w:fldCharType="separate" w:fldLock="0"/>
      </w:r>
      <w:r>
        <w:rPr>
          <w:rStyle w:val="Hyperlink.0"/>
          <w:rFonts w:cs="Arial Unicode MS" w:eastAsia="Arial Unicode MS"/>
          <w:rtl w:val="0"/>
        </w:rPr>
        <w:t>P.Grenf. 1 3</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"https://papyri.info/dclp/60996"</w:instrText>
      </w:r>
      <w:r>
        <w:rPr>
          <w:rStyle w:val="Hyperlink.0"/>
        </w:rPr>
        <w:fldChar w:fldCharType="separate" w:fldLock="0"/>
      </w:r>
      <w:r>
        <w:rPr>
          <w:rStyle w:val="Hyperlink.0"/>
          <w:rFonts w:cs="Arial Unicode MS" w:eastAsia="Arial Unicode MS"/>
          <w:rtl w:val="0"/>
        </w:rPr>
        <w:t>P.Grenf. 1 4</w:t>
      </w:r>
      <w:r>
        <w:rPr/>
        <w:fldChar w:fldCharType="end" w:fldLock="0"/>
      </w:r>
      <w:r>
        <w:rPr>
          <w:rFonts w:cs="Arial Unicode MS" w:eastAsia="Arial Unicode MS"/>
          <w:rtl w:val="0"/>
        </w:rPr>
        <w:t xml:space="preserve">, and </w:t>
      </w:r>
      <w:r>
        <w:rPr>
          <w:rStyle w:val="Hyperlink.0"/>
        </w:rPr>
        <w:fldChar w:fldCharType="begin" w:fldLock="0"/>
      </w:r>
      <w:r>
        <w:rPr>
          <w:rStyle w:val="Hyperlink.0"/>
        </w:rPr>
        <w:instrText xml:space="preserve"> HYPERLINK "https://papyri.info/dclp/61417"</w:instrText>
      </w:r>
      <w:r>
        <w:rPr>
          <w:rStyle w:val="Hyperlink.0"/>
        </w:rPr>
        <w:fldChar w:fldCharType="separate" w:fldLock="0"/>
      </w:r>
      <w:r>
        <w:rPr>
          <w:rStyle w:val="Hyperlink.0"/>
          <w:rFonts w:cs="Arial Unicode MS" w:eastAsia="Arial Unicode MS"/>
          <w:rtl w:val="0"/>
        </w:rPr>
        <w:t>P.Grenf. 1 8</w:t>
      </w:r>
      <w:r>
        <w:rPr/>
        <w:fldChar w:fldCharType="end" w:fldLock="0"/>
      </w:r>
      <w:r>
        <w:rPr>
          <w:rFonts w:cs="Arial Unicode MS" w:eastAsia="Arial Unicode MS"/>
          <w:rtl w:val="0"/>
        </w:rPr>
        <w:t xml:space="preserve">. I have since determined that </w:t>
      </w:r>
      <w:r>
        <w:rPr>
          <w:rStyle w:val="Hyperlink.0"/>
        </w:rPr>
        <w:fldChar w:fldCharType="begin" w:fldLock="0"/>
      </w:r>
      <w:r>
        <w:rPr>
          <w:rStyle w:val="Hyperlink.0"/>
        </w:rPr>
        <w:instrText xml:space="preserve"> HYPERLINK "https://papyri.info/dclp/60326"</w:instrText>
      </w:r>
      <w:r>
        <w:rPr>
          <w:rStyle w:val="Hyperlink.0"/>
        </w:rPr>
        <w:fldChar w:fldCharType="separate" w:fldLock="0"/>
      </w:r>
      <w:r>
        <w:rPr>
          <w:rStyle w:val="Hyperlink.0"/>
          <w:rFonts w:cs="Arial Unicode MS" w:eastAsia="Arial Unicode MS"/>
          <w:rtl w:val="0"/>
        </w:rPr>
        <w:t>P.Grenf. 1 2</w:t>
      </w:r>
      <w:r>
        <w:rPr/>
        <w:fldChar w:fldCharType="end" w:fldLock="0"/>
      </w:r>
      <w:r>
        <w:rPr>
          <w:rFonts w:cs="Arial Unicode MS" w:eastAsia="Arial Unicode MS"/>
          <w:rtl w:val="0"/>
        </w:rPr>
        <w:t xml:space="preserve"> belongs to the same roll of </w:t>
      </w:r>
      <w:r>
        <w:rPr>
          <w:rStyle w:val="page number"/>
          <w:rFonts w:cs="Arial Unicode MS" w:eastAsia="Arial Unicode MS"/>
          <w:i w:val="1"/>
          <w:iCs w:val="1"/>
          <w:rtl w:val="0"/>
          <w:lang w:val="en-US"/>
        </w:rPr>
        <w:t xml:space="preserve">Iliad </w:t>
      </w:r>
      <w:r>
        <w:rPr>
          <w:rFonts w:cs="Arial Unicode MS" w:eastAsia="Arial Unicode MS"/>
          <w:rtl w:val="0"/>
        </w:rPr>
        <w:t>8 as another papyrus that passed through Grenfell</w:t>
      </w:r>
      <w:r>
        <w:rPr>
          <w:rFonts w:cs="Arial Unicode MS" w:eastAsia="Arial Unicode MS" w:hint="default"/>
          <w:rtl w:val="0"/>
        </w:rPr>
        <w:t>’</w:t>
      </w:r>
      <w:r>
        <w:rPr>
          <w:rFonts w:cs="Arial Unicode MS" w:eastAsia="Arial Unicode MS"/>
          <w:rtl w:val="0"/>
        </w:rPr>
        <w:t xml:space="preserve">s hands: </w:t>
      </w:r>
      <w:r>
        <w:rPr>
          <w:rStyle w:val="Hyperlink.0"/>
        </w:rPr>
        <w:fldChar w:fldCharType="begin" w:fldLock="0"/>
      </w:r>
      <w:r>
        <w:rPr>
          <w:rStyle w:val="Hyperlink.0"/>
        </w:rPr>
        <w:instrText xml:space="preserve"> HYPERLINK "https://papyri.info/dclp/60291"</w:instrText>
      </w:r>
      <w:r>
        <w:rPr>
          <w:rStyle w:val="Hyperlink.0"/>
        </w:rPr>
        <w:fldChar w:fldCharType="separate" w:fldLock="0"/>
      </w:r>
      <w:r>
        <w:rPr>
          <w:rStyle w:val="Hyperlink.0"/>
          <w:rFonts w:cs="Arial Unicode MS" w:eastAsia="Arial Unicode MS"/>
          <w:rtl w:val="0"/>
        </w:rPr>
        <w:t>P.Vindob. G 19768</w:t>
      </w:r>
      <w:r>
        <w:rPr/>
        <w:fldChar w:fldCharType="end" w:fldLock="0"/>
      </w:r>
      <w:r>
        <w:rPr>
          <w:rFonts w:cs="Arial Unicode MS" w:eastAsia="Arial Unicode MS"/>
          <w:rtl w:val="0"/>
        </w:rPr>
        <w:t xml:space="preserve">, which the Vienna catalogue describes as follows: </w:t>
      </w:r>
      <w:r>
        <w:rPr>
          <w:rFonts w:cs="Arial Unicode MS" w:eastAsia="Arial Unicode MS" w:hint="default"/>
          <w:rtl w:val="0"/>
        </w:rPr>
        <w:t>“</w:t>
      </w:r>
      <w:r>
        <w:rPr>
          <w:rFonts w:cs="Arial Unicode MS" w:eastAsia="Arial Unicode MS"/>
          <w:rtl w:val="0"/>
        </w:rPr>
        <w:t xml:space="preserve">Stammt </w:t>
      </w:r>
      <w:r>
        <w:rPr>
          <w:rStyle w:val="page number"/>
          <w:rFonts w:cs="Arial Unicode MS" w:eastAsia="Arial Unicode MS"/>
          <w:color w:val="000000"/>
          <w:u w:color="000000"/>
          <w:rtl w:val="0"/>
          <w:lang w:val="en-US"/>
        </w:rPr>
        <w:t xml:space="preserve">aus den Funden Grenfells in Karanis, wurde 1896 von Wessely um je 1 </w:t>
      </w:r>
      <w:r>
        <w:rPr>
          <w:rStyle w:val="page number"/>
          <w:rFonts w:cs="Arial Unicode MS" w:eastAsia="Arial Unicode MS" w:hint="default"/>
          <w:color w:val="000000"/>
          <w:u w:color="000000"/>
          <w:rtl w:val="0"/>
          <w:lang w:val="en-US"/>
        </w:rPr>
        <w:t xml:space="preserve">£ </w:t>
      </w:r>
      <w:r>
        <w:rPr>
          <w:rStyle w:val="page number"/>
          <w:rFonts w:cs="Arial Unicode MS" w:eastAsia="Arial Unicode MS"/>
          <w:color w:val="000000"/>
          <w:u w:color="000000"/>
          <w:rtl w:val="0"/>
          <w:lang w:val="en-US"/>
        </w:rPr>
        <w:t>Sterling (und einer Band Corpus Papyrorum Raineri I) f</w:t>
      </w:r>
      <w:r>
        <w:rPr>
          <w:rStyle w:val="page number"/>
          <w:rFonts w:cs="Arial Unicode MS" w:eastAsia="Arial Unicode MS" w:hint="default"/>
          <w:color w:val="000000"/>
          <w:u w:color="000000"/>
          <w:rtl w:val="0"/>
          <w:lang w:val="en-US"/>
        </w:rPr>
        <w:t>ü</w:t>
      </w:r>
      <w:r>
        <w:rPr>
          <w:rStyle w:val="page number"/>
          <w:rFonts w:cs="Arial Unicode MS" w:eastAsia="Arial Unicode MS"/>
          <w:color w:val="000000"/>
          <w:u w:color="000000"/>
          <w:rtl w:val="0"/>
          <w:lang w:val="en-US"/>
        </w:rPr>
        <w:t>r jedes Fragment gekauft</w:t>
      </w:r>
      <w:r>
        <w:rPr>
          <w:rFonts w:cs="Arial Unicode MS" w:eastAsia="Arial Unicode MS" w:hint="default"/>
          <w:rtl w:val="0"/>
        </w:rPr>
        <w:t xml:space="preserve">” </w:t>
      </w:r>
      <w:r>
        <w:rPr>
          <w:rFonts w:cs="Arial Unicode MS" w:eastAsia="Arial Unicode MS"/>
          <w:rtl w:val="0"/>
        </w:rPr>
        <w:t xml:space="preserve">(cf. </w:t>
      </w:r>
      <w:r>
        <w:rPr>
          <w:rStyle w:val="Hyperlink.0"/>
        </w:rPr>
        <w:fldChar w:fldCharType="begin" w:fldLock="0"/>
      </w:r>
      <w:r>
        <w:rPr>
          <w:rStyle w:val="Hyperlink.0"/>
        </w:rPr>
        <w:instrText xml:space="preserve"> HYPERLINK "https://papyri.info/biblio/95865"</w:instrText>
      </w:r>
      <w:r>
        <w:rPr>
          <w:rStyle w:val="Hyperlink.0"/>
        </w:rPr>
        <w:fldChar w:fldCharType="separate" w:fldLock="0"/>
      </w:r>
      <w:r>
        <w:rPr>
          <w:rStyle w:val="Hyperlink.0"/>
          <w:rFonts w:cs="Arial Unicode MS" w:eastAsia="Arial Unicode MS"/>
          <w:rtl w:val="0"/>
        </w:rPr>
        <w:t>Gerstinger 1923: 90, no. 11</w:t>
      </w:r>
      <w:r>
        <w:rPr/>
        <w:fldChar w:fldCharType="end" w:fldLock="0"/>
      </w:r>
      <w:r>
        <w:rPr>
          <w:rFonts w:cs="Arial Unicode MS" w:eastAsia="Arial Unicode MS"/>
          <w:rtl w:val="0"/>
        </w:rPr>
        <w:t>). An edition of the Vienna fragment by Colin Shields is in preparation.</w:t>
      </w:r>
    </w:p>
  </w:footnote>
  <w:footnote w:id="41">
    <w:p>
      <w:pPr>
        <w:pStyle w:val="footnote text"/>
      </w:pPr>
      <w:r>
        <w:rPr>
          <w:rStyle w:val="footnote reference"/>
        </w:rPr>
        <w:footnoteRef/>
      </w:r>
      <w:r>
        <w:rPr>
          <w:rFonts w:cs="Arial Unicode MS" w:eastAsia="Arial Unicode MS"/>
          <w:rtl w:val="0"/>
        </w:rPr>
        <w:t xml:space="preserve"> Other letters make clear that an outbreak of cholera is to blame: see, e.g., Hogarth to Charles R. Fletcher, Der el Bahari, Luxor (27 January 1897): P452/PER/2/5/1.</w:t>
      </w:r>
    </w:p>
  </w:footnote>
  <w:footnote w:id="42">
    <w:p>
      <w:pPr>
        <w:pStyle w:val="footnote text"/>
      </w:pPr>
      <w:r>
        <w:rPr>
          <w:rStyle w:val="footnote reference"/>
        </w:rPr>
        <w:footnoteRef/>
      </w:r>
      <w:r>
        <w:rPr>
          <w:rFonts w:cs="Arial Unicode MS" w:eastAsia="Arial Unicode MS"/>
          <w:rtl w:val="0"/>
        </w:rPr>
        <w:t xml:space="preserve"> Hogarth to Laura V. Hogarth, Hotel d</w:t>
      </w:r>
      <w:r>
        <w:rPr>
          <w:rFonts w:cs="Arial Unicode MS" w:eastAsia="Arial Unicode MS" w:hint="default"/>
          <w:rtl w:val="0"/>
        </w:rPr>
        <w:t>’</w:t>
      </w:r>
      <w:r>
        <w:rPr>
          <w:rFonts w:cs="Arial Unicode MS" w:eastAsia="Arial Unicode MS"/>
          <w:rtl w:val="0"/>
        </w:rPr>
        <w:t xml:space="preserve">Angleterre, Cairo (1 January 1897): P452/PER/2/2/3. </w:t>
      </w:r>
    </w:p>
  </w:footnote>
  <w:footnote w:id="43">
    <w:p>
      <w:pPr>
        <w:pStyle w:val="footnote text"/>
      </w:pPr>
      <w:r>
        <w:rPr>
          <w:rStyle w:val="footnote reference"/>
        </w:rPr>
        <w:footnoteRef/>
      </w:r>
      <w:r>
        <w:rPr>
          <w:rFonts w:cs="Arial Unicode MS" w:eastAsia="Arial Unicode MS"/>
          <w:rtl w:val="0"/>
        </w:rPr>
        <w:t xml:space="preserve"> Hogarth to Laura V. Hogarth, Hotel d</w:t>
      </w:r>
      <w:r>
        <w:rPr>
          <w:rFonts w:cs="Arial Unicode MS" w:eastAsia="Arial Unicode MS" w:hint="default"/>
          <w:rtl w:val="0"/>
        </w:rPr>
        <w:t>’</w:t>
      </w:r>
      <w:r>
        <w:rPr>
          <w:rFonts w:cs="Arial Unicode MS" w:eastAsia="Arial Unicode MS"/>
          <w:rtl w:val="0"/>
        </w:rPr>
        <w:t xml:space="preserve">Angleterre, Cairo (10 January 1897): P452/PER/2/2/3. The Bacchylides in question is </w:t>
      </w:r>
      <w:r>
        <w:rPr>
          <w:rStyle w:val="Hyperlink.0"/>
        </w:rPr>
        <w:fldChar w:fldCharType="begin" w:fldLock="0"/>
      </w:r>
      <w:r>
        <w:rPr>
          <w:rStyle w:val="Hyperlink.0"/>
        </w:rPr>
        <w:instrText xml:space="preserve"> HYPERLINK "https://papyri.info/dclp/59339"</w:instrText>
      </w:r>
      <w:r>
        <w:rPr>
          <w:rStyle w:val="Hyperlink.0"/>
        </w:rPr>
        <w:fldChar w:fldCharType="separate" w:fldLock="0"/>
      </w:r>
      <w:r>
        <w:rPr>
          <w:rStyle w:val="Hyperlink.0"/>
          <w:rFonts w:cs="Arial Unicode MS" w:eastAsia="Arial Unicode MS"/>
          <w:rtl w:val="0"/>
        </w:rPr>
        <w:t>BL Papyrus 733</w:t>
      </w:r>
      <w:r>
        <w:rPr/>
        <w:fldChar w:fldCharType="end" w:fldLock="0"/>
      </w:r>
      <w:r>
        <w:rPr>
          <w:rFonts w:cs="Arial Unicode MS" w:eastAsia="Arial Unicode MS"/>
          <w:rtl w:val="0"/>
        </w:rPr>
        <w:t xml:space="preserve">, purchased and smuggled out of the country the previous November by E. A. Wallis Budge, and published in short order in </w:t>
      </w:r>
      <w:r>
        <w:rPr>
          <w:rStyle w:val="Hyperlink.0"/>
        </w:rPr>
        <w:fldChar w:fldCharType="begin" w:fldLock="0"/>
      </w:r>
      <w:r>
        <w:rPr>
          <w:rStyle w:val="Hyperlink.0"/>
        </w:rPr>
        <w:instrText xml:space="preserve"> HYPERLINK "https://papyri.info/biblio/96080"</w:instrText>
      </w:r>
      <w:r>
        <w:rPr>
          <w:rStyle w:val="Hyperlink.0"/>
        </w:rPr>
        <w:fldChar w:fldCharType="separate" w:fldLock="0"/>
      </w:r>
      <w:r>
        <w:rPr>
          <w:rStyle w:val="Hyperlink.0"/>
          <w:rFonts w:cs="Arial Unicode MS" w:eastAsia="Arial Unicode MS"/>
          <w:rtl w:val="0"/>
        </w:rPr>
        <w:t>Kenyon 1897</w:t>
      </w:r>
      <w:r>
        <w:rPr/>
        <w:fldChar w:fldCharType="end" w:fldLock="0"/>
      </w:r>
      <w:r>
        <w:rPr>
          <w:rFonts w:cs="Arial Unicode MS" w:eastAsia="Arial Unicode MS"/>
          <w:rtl w:val="0"/>
        </w:rPr>
        <w:t xml:space="preserve">. On its acquisition, see the autobiographical account of </w:t>
      </w:r>
      <w:r>
        <w:rPr>
          <w:rStyle w:val="Hyperlink.0"/>
        </w:rPr>
        <w:fldChar w:fldCharType="begin" w:fldLock="0"/>
      </w:r>
      <w:r>
        <w:rPr>
          <w:rStyle w:val="Hyperlink.0"/>
        </w:rPr>
        <w:instrText xml:space="preserve"> HYPERLINK "https://papyri.info/biblio/96082"</w:instrText>
      </w:r>
      <w:r>
        <w:rPr>
          <w:rStyle w:val="Hyperlink.0"/>
        </w:rPr>
        <w:fldChar w:fldCharType="separate" w:fldLock="0"/>
      </w:r>
      <w:r>
        <w:rPr>
          <w:rStyle w:val="Hyperlink.0"/>
          <w:rFonts w:cs="Arial Unicode MS" w:eastAsia="Arial Unicode MS"/>
          <w:rtl w:val="0"/>
        </w:rPr>
        <w:t>Budge (1920: 345</w:t>
      </w:r>
      <w:r>
        <w:rPr>
          <w:rStyle w:val="Hyperlink.0"/>
          <w:rFonts w:cs="Arial Unicode MS" w:eastAsia="Arial Unicode MS" w:hint="default"/>
          <w:rtl w:val="0"/>
        </w:rPr>
        <w:t>–</w:t>
      </w:r>
      <w:r>
        <w:rPr>
          <w:rStyle w:val="Hyperlink.0"/>
          <w:rFonts w:cs="Arial Unicode MS" w:eastAsia="Arial Unicode MS"/>
          <w:rtl w:val="0"/>
        </w:rPr>
        <w:t>355)</w:t>
      </w:r>
      <w:r>
        <w:rPr/>
        <w:fldChar w:fldCharType="end" w:fldLock="0"/>
      </w:r>
      <w:r>
        <w:rPr>
          <w:rFonts w:cs="Arial Unicode MS" w:eastAsia="Arial Unicode MS"/>
          <w:rtl w:val="0"/>
        </w:rPr>
        <w:t>.</w:t>
      </w:r>
    </w:p>
  </w:footnote>
  <w:footnote w:id="44">
    <w:p>
      <w:pPr>
        <w:pStyle w:val="footnote text"/>
      </w:pPr>
      <w:r>
        <w:rPr>
          <w:rStyle w:val="footnote reference"/>
        </w:rPr>
        <w:footnoteRef/>
      </w:r>
      <w:r>
        <w:rPr>
          <w:rFonts w:cs="Arial Unicode MS" w:eastAsia="Arial Unicode MS" w:hint="default"/>
          <w:rtl w:val="0"/>
        </w:rPr>
        <w:t xml:space="preserve"> “</w:t>
      </w:r>
      <w:r>
        <w:rPr>
          <w:rFonts w:cs="Arial Unicode MS" w:eastAsia="Arial Unicode MS"/>
          <w:rtl w:val="0"/>
        </w:rPr>
        <w:t>I went on Thursday to see Grenfell. He is at a place called Behnesa</w:t>
      </w:r>
      <w:r>
        <w:rPr>
          <w:rFonts w:cs="Arial Unicode MS" w:eastAsia="Arial Unicode MS" w:hint="default"/>
          <w:rtl w:val="0"/>
        </w:rPr>
        <w:t xml:space="preserve">… </w:t>
      </w:r>
      <w:r>
        <w:rPr>
          <w:rFonts w:cs="Arial Unicode MS" w:eastAsia="Arial Unicode MS"/>
          <w:rtl w:val="0"/>
        </w:rPr>
        <w:t>We found G. and Hunt grubbing in the vast rubbish heaps of Behnesa for papyrus, whereof they were finding much, though all in scraps.</w:t>
      </w:r>
      <w:r>
        <w:rPr>
          <w:rFonts w:cs="Arial Unicode MS" w:eastAsia="Arial Unicode MS" w:hint="default"/>
          <w:rtl w:val="0"/>
        </w:rPr>
        <w:t xml:space="preserve">” </w:t>
      </w:r>
      <w:r>
        <w:rPr>
          <w:rFonts w:cs="Arial Unicode MS" w:eastAsia="Arial Unicode MS"/>
          <w:rtl w:val="0"/>
        </w:rPr>
        <w:t xml:space="preserve">Hogarth to Laura V. Hogarth, S.S. </w:t>
      </w:r>
      <w:r>
        <w:rPr>
          <w:rFonts w:cs="Arial Unicode MS" w:eastAsia="Arial Unicode MS" w:hint="default"/>
          <w:rtl w:val="0"/>
        </w:rPr>
        <w:t>“</w:t>
      </w:r>
      <w:r>
        <w:rPr>
          <w:rFonts w:cs="Arial Unicode MS" w:eastAsia="Arial Unicode MS"/>
          <w:rtl w:val="0"/>
        </w:rPr>
        <w:t>Ibis</w:t>
      </w:r>
      <w:r>
        <w:rPr>
          <w:rFonts w:cs="Arial Unicode MS" w:eastAsia="Arial Unicode MS" w:hint="default"/>
          <w:rtl w:val="0"/>
        </w:rPr>
        <w:t xml:space="preserve">” </w:t>
      </w:r>
      <w:r>
        <w:rPr>
          <w:rFonts w:cs="Arial Unicode MS" w:eastAsia="Arial Unicode MS"/>
          <w:rtl w:val="0"/>
        </w:rPr>
        <w:t>(19 January 1897): P452/PER/2/2/3.</w:t>
      </w:r>
    </w:p>
  </w:footnote>
  <w:footnote w:id="45">
    <w:p>
      <w:pPr>
        <w:pStyle w:val="footnote text"/>
      </w:pPr>
      <w:r>
        <w:rPr>
          <w:rStyle w:val="footnote reference"/>
        </w:rPr>
        <w:footnoteRef/>
      </w:r>
      <w:r>
        <w:rPr>
          <w:rFonts w:cs="Arial Unicode MS" w:eastAsia="Arial Unicode MS"/>
          <w:rtl w:val="0"/>
        </w:rPr>
        <w:t xml:space="preserve"> Hogarth to Laura V. Hogarth, S.S. </w:t>
      </w:r>
      <w:r>
        <w:rPr>
          <w:rFonts w:cs="Arial Unicode MS" w:eastAsia="Arial Unicode MS" w:hint="default"/>
          <w:rtl w:val="0"/>
        </w:rPr>
        <w:t>“</w:t>
      </w:r>
      <w:r>
        <w:rPr>
          <w:rFonts w:cs="Arial Unicode MS" w:eastAsia="Arial Unicode MS"/>
          <w:rtl w:val="0"/>
        </w:rPr>
        <w:t>Ibis</w:t>
      </w:r>
      <w:r>
        <w:rPr>
          <w:rFonts w:cs="Arial Unicode MS" w:eastAsia="Arial Unicode MS" w:hint="default"/>
          <w:rtl w:val="0"/>
        </w:rPr>
        <w:t xml:space="preserve">” </w:t>
      </w:r>
      <w:r>
        <w:rPr>
          <w:rFonts w:cs="Arial Unicode MS" w:eastAsia="Arial Unicode MS"/>
          <w:rtl w:val="0"/>
        </w:rPr>
        <w:t>(19 January 1897): P452/PER/2/2/3.</w:t>
      </w:r>
    </w:p>
  </w:footnote>
  <w:footnote w:id="46">
    <w:p>
      <w:pPr>
        <w:pStyle w:val="footnote text"/>
      </w:pPr>
      <w:r>
        <w:rPr>
          <w:rStyle w:val="footnote reference"/>
        </w:rPr>
        <w:footnoteRef/>
      </w:r>
      <w:r>
        <w:rPr>
          <w:rFonts w:cs="Arial Unicode MS" w:eastAsia="Arial Unicode MS"/>
          <w:rtl w:val="0"/>
        </w:rPr>
        <w:t xml:space="preserve"> Hogarth to Laura V. Hogarth, Der el Bahari, Luxor (26 January 1897): P452/PER/2/2/3.</w:t>
      </w:r>
    </w:p>
  </w:footnote>
  <w:footnote w:id="47">
    <w:p>
      <w:pPr>
        <w:pStyle w:val="footnote text"/>
      </w:pPr>
      <w:r>
        <w:rPr>
          <w:rStyle w:val="footnote reference"/>
        </w:rPr>
        <w:footnoteRef/>
      </w:r>
      <w:r>
        <w:rPr>
          <w:rFonts w:cs="Arial Unicode MS" w:eastAsia="Arial Unicode MS"/>
          <w:rtl w:val="0"/>
        </w:rPr>
        <w:t xml:space="preserve"> Hogarth to Charles R. Fletcher, Der el Bahari, Luxor (27 January 1897): P452/PER/2/5/1. The article in question is presumably </w:t>
      </w:r>
      <w:r>
        <w:rPr>
          <w:rFonts w:cs="Arial Unicode MS" w:eastAsia="Arial Unicode MS" w:hint="default"/>
          <w:rtl w:val="0"/>
        </w:rPr>
        <w:t>“</w:t>
      </w:r>
      <w:r>
        <w:rPr>
          <w:rFonts w:cs="Arial Unicode MS" w:eastAsia="Arial Unicode MS"/>
          <w:rtl w:val="0"/>
        </w:rPr>
        <w:t>Great Find of Greek Papyri,</w:t>
      </w:r>
      <w:r>
        <w:rPr>
          <w:rFonts w:cs="Arial Unicode MS" w:eastAsia="Arial Unicode MS" w:hint="default"/>
          <w:rtl w:val="0"/>
        </w:rPr>
        <w:t xml:space="preserve">” </w:t>
      </w:r>
      <w:r>
        <w:rPr>
          <w:rFonts w:cs="Arial Unicode MS" w:eastAsia="Arial Unicode MS"/>
          <w:rtl w:val="0"/>
        </w:rPr>
        <w:t>The Times (29 May 1897).</w:t>
      </w:r>
    </w:p>
  </w:footnote>
  <w:footnote w:id="48">
    <w:p>
      <w:pPr>
        <w:pStyle w:val="footnote text"/>
      </w:pPr>
      <w:r>
        <w:rPr>
          <w:rStyle w:val="footnote reference"/>
        </w:rPr>
        <w:footnoteRef/>
      </w:r>
      <w:r>
        <w:rPr>
          <w:rFonts w:cs="Arial Unicode MS" w:eastAsia="Arial Unicode MS"/>
          <w:rtl w:val="0"/>
        </w:rPr>
        <w:t xml:space="preserve"> Hogarth to Laura V. Hogarth, S.S. </w:t>
      </w:r>
      <w:r>
        <w:rPr>
          <w:rFonts w:cs="Arial Unicode MS" w:eastAsia="Arial Unicode MS" w:hint="default"/>
          <w:rtl w:val="0"/>
        </w:rPr>
        <w:t>“</w:t>
      </w:r>
      <w:r>
        <w:rPr>
          <w:rFonts w:cs="Arial Unicode MS" w:eastAsia="Arial Unicode MS"/>
          <w:rtl w:val="0"/>
        </w:rPr>
        <w:t>Semneh</w:t>
      </w:r>
      <w:r>
        <w:rPr>
          <w:rFonts w:cs="Arial Unicode MS" w:eastAsia="Arial Unicode MS" w:hint="default"/>
          <w:rtl w:val="0"/>
        </w:rPr>
        <w:t xml:space="preserve">” </w:t>
      </w:r>
      <w:r>
        <w:rPr>
          <w:rFonts w:cs="Arial Unicode MS" w:eastAsia="Arial Unicode MS"/>
          <w:rtl w:val="0"/>
        </w:rPr>
        <w:t>above Philae (31 January 1897): P452/PER/2/2/3.</w:t>
      </w:r>
    </w:p>
  </w:footnote>
  <w:footnote w:id="49">
    <w:p>
      <w:pPr>
        <w:pStyle w:val="footnote text"/>
      </w:pPr>
      <w:r>
        <w:rPr>
          <w:rStyle w:val="footnote reference"/>
        </w:rPr>
        <w:footnoteRef/>
      </w:r>
      <w:r>
        <w:rPr>
          <w:rFonts w:cs="Arial Unicode MS" w:eastAsia="Arial Unicode MS" w:hint="default"/>
          <w:rtl w:val="0"/>
        </w:rPr>
        <w:t xml:space="preserve"> “</w:t>
      </w:r>
      <w:r>
        <w:rPr>
          <w:rFonts w:cs="Arial Unicode MS" w:eastAsia="Arial Unicode MS"/>
          <w:rtl w:val="0"/>
        </w:rPr>
        <w:t>Grenfell doing well but going in fear of his life from Bedow</w:t>
      </w:r>
      <w:r>
        <w:rPr>
          <w:rFonts w:cs="Arial Unicode MS" w:eastAsia="Arial Unicode MS" w:hint="default"/>
          <w:rtl w:val="0"/>
        </w:rPr>
        <w:t>î</w:t>
      </w:r>
      <w:r>
        <w:rPr>
          <w:rFonts w:cs="Arial Unicode MS" w:eastAsia="Arial Unicode MS"/>
          <w:rtl w:val="0"/>
        </w:rPr>
        <w:t>n.</w:t>
      </w:r>
      <w:r>
        <w:rPr>
          <w:rFonts w:cs="Arial Unicode MS" w:eastAsia="Arial Unicode MS" w:hint="default"/>
          <w:rtl w:val="0"/>
        </w:rPr>
        <w:t xml:space="preserve">” </w:t>
      </w:r>
      <w:r>
        <w:rPr>
          <w:rFonts w:cs="Arial Unicode MS" w:eastAsia="Arial Unicode MS"/>
          <w:rtl w:val="0"/>
        </w:rPr>
        <w:t xml:space="preserve">Hogarth to Laura V. Hogarth, Luxor (7 February 1897): P452/PER/2/2/3. The incident in question is presumably the raid Grenfell mentions in his letter to Edward Maunde Thompson, Beni-Mazar, Upper Egypt (30 January 1897): EES, DIST.15.04, transcribed by </w:t>
      </w:r>
      <w:r>
        <w:rPr>
          <w:rStyle w:val="Hyperlink.0"/>
        </w:rPr>
        <w:fldChar w:fldCharType="begin" w:fldLock="0"/>
      </w:r>
      <w:r>
        <w:rPr>
          <w:rStyle w:val="Hyperlink.0"/>
        </w:rPr>
        <w:instrText xml:space="preserve"> HYPERLINK "https://papyri.info/biblio/96090"</w:instrText>
      </w:r>
      <w:r>
        <w:rPr>
          <w:rStyle w:val="Hyperlink.0"/>
        </w:rPr>
        <w:fldChar w:fldCharType="separate" w:fldLock="0"/>
      </w:r>
      <w:r>
        <w:rPr>
          <w:rStyle w:val="Hyperlink.0"/>
          <w:rFonts w:cs="Arial Unicode MS" w:eastAsia="Arial Unicode MS"/>
          <w:rtl w:val="0"/>
        </w:rPr>
        <w:t>Hickey and Keenan (2016: 359</w:t>
      </w:r>
      <w:r>
        <w:rPr>
          <w:rStyle w:val="Hyperlink.0"/>
          <w:rFonts w:cs="Arial Unicode MS" w:eastAsia="Arial Unicode MS" w:hint="default"/>
          <w:rtl w:val="0"/>
        </w:rPr>
        <w:t>–</w:t>
      </w:r>
      <w:r>
        <w:rPr>
          <w:rStyle w:val="Hyperlink.0"/>
          <w:rFonts w:cs="Arial Unicode MS" w:eastAsia="Arial Unicode MS"/>
          <w:rtl w:val="0"/>
        </w:rPr>
        <w:t>363, on 361</w:t>
      </w:r>
      <w:r>
        <w:rPr>
          <w:rStyle w:val="Hyperlink.0"/>
          <w:rFonts w:cs="Arial Unicode MS" w:eastAsia="Arial Unicode MS" w:hint="default"/>
          <w:rtl w:val="0"/>
        </w:rPr>
        <w:t>–</w:t>
      </w:r>
      <w:r>
        <w:rPr>
          <w:rStyle w:val="Hyperlink.0"/>
          <w:rFonts w:cs="Arial Unicode MS" w:eastAsia="Arial Unicode MS"/>
          <w:rtl w:val="0"/>
        </w:rPr>
        <w:t>362)</w:t>
      </w:r>
      <w:r>
        <w:rPr/>
        <w:fldChar w:fldCharType="end" w:fldLock="0"/>
      </w:r>
      <w:r>
        <w:rPr>
          <w:rFonts w:cs="Arial Unicode MS" w:eastAsia="Arial Unicode MS"/>
          <w:rtl w:val="0"/>
        </w:rPr>
        <w:t>. That the raid took place following the conclusion of Hogarth</w:t>
      </w:r>
      <w:r>
        <w:rPr>
          <w:rFonts w:cs="Arial Unicode MS" w:eastAsia="Arial Unicode MS" w:hint="default"/>
          <w:rtl w:val="0"/>
        </w:rPr>
        <w:t>’</w:t>
      </w:r>
      <w:r>
        <w:rPr>
          <w:rFonts w:cs="Arial Unicode MS" w:eastAsia="Arial Unicode MS"/>
          <w:rtl w:val="0"/>
        </w:rPr>
        <w:t>s visit to Behnesa implies that the two men remained in correspondence afterward.</w:t>
      </w:r>
    </w:p>
  </w:footnote>
  <w:footnote w:id="50">
    <w:p>
      <w:pPr>
        <w:pStyle w:val="footnote text"/>
      </w:pPr>
      <w:r>
        <w:rPr>
          <w:rStyle w:val="footnote reference"/>
        </w:rPr>
        <w:footnoteRef/>
      </w:r>
      <w:r>
        <w:rPr>
          <w:rFonts w:cs="Arial Unicode MS" w:eastAsia="Arial Unicode MS"/>
          <w:rtl w:val="0"/>
        </w:rPr>
        <w:t xml:space="preserve"> Cf. Hogarth</w:t>
      </w:r>
      <w:r>
        <w:rPr>
          <w:rFonts w:cs="Arial Unicode MS" w:eastAsia="Arial Unicode MS" w:hint="default"/>
          <w:rtl w:val="0"/>
        </w:rPr>
        <w:t>’</w:t>
      </w:r>
      <w:r>
        <w:rPr>
          <w:rFonts w:cs="Arial Unicode MS" w:eastAsia="Arial Unicode MS"/>
          <w:rtl w:val="0"/>
        </w:rPr>
        <w:t xml:space="preserve">s remarks of a week later: </w:t>
      </w:r>
      <w:r>
        <w:rPr>
          <w:rFonts w:cs="Arial Unicode MS" w:eastAsia="Arial Unicode MS" w:hint="default"/>
          <w:rtl w:val="0"/>
        </w:rPr>
        <w:t>“</w:t>
      </w:r>
      <w:r>
        <w:rPr>
          <w:rFonts w:cs="Arial Unicode MS" w:eastAsia="Arial Unicode MS"/>
          <w:rtl w:val="0"/>
        </w:rPr>
        <w:t>So I consider myself absolved of all promises to him [sc. Blundell]: + I have written to Grenfell urging him to take my place. For B., in spite of delays, moans about having no companion. I regret a little but not very deeply. To have seen the Great Oasis would have about completed my knowledge of Egypt: but nothing that I found there would have been really in my line. Even possible papyri are far more in Grenfell</w:t>
      </w:r>
      <w:r>
        <w:rPr>
          <w:rFonts w:cs="Arial Unicode MS" w:eastAsia="Arial Unicode MS" w:hint="default"/>
          <w:rtl w:val="0"/>
        </w:rPr>
        <w:t>’</w:t>
      </w:r>
      <w:r>
        <w:rPr>
          <w:rFonts w:cs="Arial Unicode MS" w:eastAsia="Arial Unicode MS"/>
          <w:rtl w:val="0"/>
        </w:rPr>
        <w:t>s.</w:t>
      </w:r>
      <w:r>
        <w:rPr>
          <w:rFonts w:cs="Arial Unicode MS" w:eastAsia="Arial Unicode MS" w:hint="default"/>
          <w:rtl w:val="0"/>
        </w:rPr>
        <w:t xml:space="preserve">” </w:t>
      </w:r>
      <w:r>
        <w:rPr>
          <w:rFonts w:cs="Arial Unicode MS" w:eastAsia="Arial Unicode MS"/>
          <w:rtl w:val="0"/>
        </w:rPr>
        <w:t>Hogarth to Laura V. Hogarth, Hotel d</w:t>
      </w:r>
      <w:r>
        <w:rPr>
          <w:rFonts w:cs="Arial Unicode MS" w:eastAsia="Arial Unicode MS" w:hint="default"/>
          <w:rtl w:val="0"/>
        </w:rPr>
        <w:t>’</w:t>
      </w:r>
      <w:r>
        <w:rPr>
          <w:rFonts w:cs="Arial Unicode MS" w:eastAsia="Arial Unicode MS"/>
          <w:rtl w:val="0"/>
        </w:rPr>
        <w:t>Angleterre, Cairo (14 February 1897): P452/PER/2/2/3.</w:t>
      </w:r>
    </w:p>
  </w:footnote>
  <w:footnote w:id="51">
    <w:p>
      <w:pPr>
        <w:pStyle w:val="footnote text"/>
      </w:pPr>
      <w:r>
        <w:rPr>
          <w:rStyle w:val="footnote reference"/>
        </w:rPr>
        <w:footnoteRef/>
      </w:r>
      <w:r>
        <w:rPr>
          <w:rFonts w:cs="Arial Unicode MS" w:eastAsia="Arial Unicode MS"/>
          <w:rtl w:val="0"/>
        </w:rPr>
        <w:t xml:space="preserve"> See fn. 43. Hunt is equally a minor figure in Hogarth</w:t>
      </w:r>
      <w:r>
        <w:rPr>
          <w:rFonts w:cs="Arial Unicode MS" w:eastAsia="Arial Unicode MS" w:hint="default"/>
          <w:rtl w:val="0"/>
        </w:rPr>
        <w:t>’</w:t>
      </w:r>
      <w:r>
        <w:rPr>
          <w:rFonts w:cs="Arial Unicode MS" w:eastAsia="Arial Unicode MS"/>
          <w:rtl w:val="0"/>
        </w:rPr>
        <w:t xml:space="preserve">s correspondence from the Fayum in 1895/6: </w:t>
      </w:r>
      <w:r>
        <w:rPr>
          <w:rFonts w:cs="Arial Unicode MS" w:eastAsia="Arial Unicode MS" w:hint="default"/>
          <w:rtl w:val="0"/>
        </w:rPr>
        <w:t>“</w:t>
      </w:r>
      <w:r>
        <w:rPr>
          <w:rFonts w:cs="Arial Unicode MS" w:eastAsia="Arial Unicode MS"/>
          <w:rtl w:val="0"/>
        </w:rPr>
        <w:t>He is very quiet, + doesn</w:t>
      </w:r>
      <w:r>
        <w:rPr>
          <w:rFonts w:cs="Arial Unicode MS" w:eastAsia="Arial Unicode MS" w:hint="default"/>
          <w:rtl w:val="0"/>
        </w:rPr>
        <w:t>’</w:t>
      </w:r>
      <w:r>
        <w:rPr>
          <w:rFonts w:cs="Arial Unicode MS" w:eastAsia="Arial Unicode MS"/>
          <w:rtl w:val="0"/>
        </w:rPr>
        <w:t>t help on things much but is distinctly a nice man.</w:t>
      </w:r>
      <w:r>
        <w:rPr>
          <w:rFonts w:cs="Arial Unicode MS" w:eastAsia="Arial Unicode MS" w:hint="default"/>
          <w:rtl w:val="0"/>
        </w:rPr>
        <w:t xml:space="preserve">” </w:t>
      </w:r>
      <w:r>
        <w:rPr>
          <w:rFonts w:cs="Arial Unicode MS" w:eastAsia="Arial Unicode MS"/>
          <w:rtl w:val="0"/>
        </w:rPr>
        <w:t>Hogarth to Laura V. Hogarth, Sennures (1 March 1896): P452/PER/2/2/2.</w:t>
      </w:r>
    </w:p>
  </w:footnote>
  <w:footnote w:id="52">
    <w:p>
      <w:pPr>
        <w:pStyle w:val="footnote text"/>
      </w:pPr>
      <w:r>
        <w:rPr>
          <w:rStyle w:val="footnote reference"/>
        </w:rPr>
        <w:footnoteRef/>
      </w:r>
      <w:r>
        <w:rPr>
          <w:rFonts w:cs="Arial Unicode MS" w:eastAsia="Arial Unicode MS"/>
          <w:rtl w:val="0"/>
        </w:rPr>
        <w:t xml:space="preserve"> Most notable are his excavations at Naukratis in February 1899 and 1903 (on which see </w:t>
      </w:r>
      <w:r>
        <w:rPr>
          <w:rStyle w:val="Hyperlink.0"/>
        </w:rPr>
        <w:fldChar w:fldCharType="begin" w:fldLock="0"/>
      </w:r>
      <w:r>
        <w:rPr>
          <w:rStyle w:val="Hyperlink.0"/>
        </w:rPr>
        <w:instrText xml:space="preserve"> HYPERLINK "https://papyri.info/biblio/14863"</w:instrText>
      </w:r>
      <w:r>
        <w:rPr>
          <w:rStyle w:val="Hyperlink.0"/>
        </w:rPr>
        <w:fldChar w:fldCharType="separate" w:fldLock="0"/>
      </w:r>
      <w:r>
        <w:rPr>
          <w:rStyle w:val="Hyperlink.0"/>
          <w:rFonts w:cs="Arial Unicode MS" w:eastAsia="Arial Unicode MS"/>
          <w:rtl w:val="0"/>
        </w:rPr>
        <w:t>Leonard 1997: 10</w:t>
      </w:r>
      <w:r>
        <w:rPr>
          <w:rStyle w:val="Hyperlink.0"/>
          <w:rFonts w:cs="Arial Unicode MS" w:eastAsia="Arial Unicode MS" w:hint="default"/>
          <w:rtl w:val="0"/>
        </w:rPr>
        <w:t>–</w:t>
      </w:r>
      <w:r>
        <w:rPr>
          <w:rStyle w:val="Hyperlink.0"/>
          <w:rFonts w:cs="Arial Unicode MS" w:eastAsia="Arial Unicode MS"/>
          <w:rtl w:val="0"/>
        </w:rPr>
        <w:t>17</w:t>
      </w:r>
      <w:r>
        <w:rPr/>
        <w:fldChar w:fldCharType="end" w:fldLock="0"/>
      </w:r>
      <w:r>
        <w:rPr>
          <w:rFonts w:cs="Arial Unicode MS" w:eastAsia="Arial Unicode MS"/>
          <w:rtl w:val="0"/>
        </w:rPr>
        <w:t>), but also his wartime activities on the Arab Bureau. The latter are unlikely to have yielded much: in 1920, when Francis W. Kelsey and Grenfell were shopping for papyri in Cairo, they believed they were among the first to see the monumental collection of Maurice Nahman, who claimed to have been assembling it for the past six years. This collection would become the core of the founding purchase of Michigan papyri. On Kelsey and Grenfell</w:t>
      </w:r>
      <w:r>
        <w:rPr>
          <w:rFonts w:cs="Arial Unicode MS" w:eastAsia="Arial Unicode MS" w:hint="default"/>
          <w:rtl w:val="0"/>
        </w:rPr>
        <w:t>’</w:t>
      </w:r>
      <w:r>
        <w:rPr>
          <w:rFonts w:cs="Arial Unicode MS" w:eastAsia="Arial Unicode MS"/>
          <w:rtl w:val="0"/>
        </w:rPr>
        <w:t>s collaboration, see Todd Hickey</w:t>
      </w:r>
      <w:r>
        <w:rPr>
          <w:rFonts w:cs="Arial Unicode MS" w:eastAsia="Arial Unicode MS" w:hint="default"/>
          <w:rtl w:val="0"/>
        </w:rPr>
        <w:t>’</w:t>
      </w:r>
      <w:r>
        <w:rPr>
          <w:rFonts w:cs="Arial Unicode MS" w:eastAsia="Arial Unicode MS"/>
          <w:rtl w:val="0"/>
        </w:rPr>
        <w:t>s introductions to the forthcoming P.Lond. 8 and P.Mich.Cent.</w:t>
      </w:r>
    </w:p>
  </w:footnote>
  <w:footnote w:id="53">
    <w:p>
      <w:pPr>
        <w:pStyle w:val="footnote text"/>
      </w:pPr>
      <w:r>
        <w:rPr>
          <w:rStyle w:val="footnote reference"/>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w:t>
      </w:r>
      <w:r>
        <w:rPr/>
        <w:fldChar w:fldCharType="end" w:fldLock="0"/>
      </w:r>
      <w:r>
        <w:rPr>
          <w:rFonts w:cs="Arial Unicode MS" w:eastAsia="Arial Unicode MS"/>
          <w:rtl w:val="0"/>
        </w:rPr>
        <w:t xml:space="preserve"> reports tentatively on these items: </w:t>
      </w:r>
      <w:r>
        <w:rPr>
          <w:rFonts w:cs="Arial Unicode MS" w:eastAsia="Arial Unicode MS" w:hint="default"/>
          <w:rtl w:val="0"/>
        </w:rPr>
        <w:t>“</w:t>
      </w:r>
      <w:r>
        <w:rPr>
          <w:rFonts w:cs="Arial Unicode MS" w:eastAsia="Arial Unicode MS"/>
          <w:rtl w:val="0"/>
        </w:rPr>
        <w:t>Given by Mrs. A. S. Hunt, 1934(?)</w:t>
      </w:r>
      <w:r>
        <w:rPr>
          <w:rFonts w:cs="Arial Unicode MS" w:eastAsia="Arial Unicode MS" w:hint="default"/>
          <w:rtl w:val="0"/>
        </w:rPr>
        <w:t>”</w:t>
      </w:r>
      <w:r>
        <w:rPr>
          <w:rFonts w:cs="Arial Unicode MS" w:eastAsia="Arial Unicode MS"/>
          <w:rtl w:val="0"/>
        </w:rPr>
        <w:t>. But I have confirmed the 13 March 1935 date in the Bodleian</w:t>
      </w:r>
      <w:r>
        <w:rPr>
          <w:rFonts w:cs="Arial Unicode MS" w:eastAsia="Arial Unicode MS" w:hint="default"/>
          <w:rtl w:val="0"/>
        </w:rPr>
        <w:t>’</w:t>
      </w:r>
      <w:r>
        <w:rPr>
          <w:rFonts w:cs="Arial Unicode MS" w:eastAsia="Arial Unicode MS"/>
          <w:rtl w:val="0"/>
        </w:rPr>
        <w:t>s Register of donations, 1932</w:t>
      </w:r>
      <w:r>
        <w:rPr>
          <w:rFonts w:cs="Arial Unicode MS" w:eastAsia="Arial Unicode MS" w:hint="default"/>
          <w:rtl w:val="0"/>
        </w:rPr>
        <w:t>–</w:t>
      </w:r>
      <w:r>
        <w:rPr>
          <w:rFonts w:cs="Arial Unicode MS" w:eastAsia="Arial Unicode MS"/>
          <w:rtl w:val="0"/>
        </w:rPr>
        <w:t>1936 (Oxford, Bodleian Libraries, Library Records b. 220). Further notable late acquisitions in the register include 61 Coptic and 3 Greek ostraca from W. E. Crum (22 May 1939) and 2 Coptic ostraca and 2 boxes of Coptic papyri from W. E. Crum (12 September 1939).</w:t>
      </w:r>
    </w:p>
  </w:footnote>
  <w:footnote w:id="54">
    <w:p>
      <w:pPr>
        <w:pStyle w:val="footnote text"/>
      </w:pPr>
      <w:r>
        <w:rPr>
          <w:rStyle w:val="footnote reference"/>
        </w:rPr>
        <w:footnoteRef/>
      </w:r>
      <w:r>
        <w:rPr>
          <w:rFonts w:cs="Arial Unicode MS" w:eastAsia="Arial Unicode MS"/>
          <w:rtl w:val="0"/>
        </w:rPr>
        <w:t xml:space="preserve"> Some of Grenfell and Hunt</w:t>
      </w:r>
      <w:r>
        <w:rPr>
          <w:rFonts w:cs="Arial Unicode MS" w:eastAsia="Arial Unicode MS" w:hint="default"/>
          <w:rtl w:val="0"/>
        </w:rPr>
        <w:t>’</w:t>
      </w:r>
      <w:r>
        <w:rPr>
          <w:rFonts w:cs="Arial Unicode MS" w:eastAsia="Arial Unicode MS"/>
          <w:rtl w:val="0"/>
        </w:rPr>
        <w:t xml:space="preserve">s acquisitions ended up with the collection of the Egypt Exploration Society and are now kept in the Sackler Library, most notably in box 89: see </w:t>
      </w:r>
      <w:r>
        <w:rPr>
          <w:rStyle w:val="Hyperlink.0"/>
        </w:rPr>
        <w:fldChar w:fldCharType="begin" w:fldLock="0"/>
      </w:r>
      <w:r>
        <w:rPr>
          <w:rStyle w:val="Hyperlink.0"/>
        </w:rPr>
        <w:instrText xml:space="preserve"> HYPERLINK "https://papyri.info/biblio/96094"</w:instrText>
      </w:r>
      <w:r>
        <w:rPr>
          <w:rStyle w:val="Hyperlink.0"/>
        </w:rPr>
        <w:fldChar w:fldCharType="separate" w:fldLock="0"/>
      </w:r>
      <w:r>
        <w:rPr>
          <w:rStyle w:val="Hyperlink.0"/>
          <w:rFonts w:cs="Arial Unicode MS" w:eastAsia="Arial Unicode MS"/>
          <w:rtl w:val="0"/>
        </w:rPr>
        <w:t>Bagnall 2017: 2</w:t>
      </w:r>
      <w:r>
        <w:rPr/>
        <w:fldChar w:fldCharType="end" w:fldLock="0"/>
      </w:r>
      <w:r>
        <w:rPr>
          <w:rFonts w:cs="Arial Unicode MS" w:eastAsia="Arial Unicode MS"/>
          <w:rtl w:val="0"/>
        </w:rPr>
        <w:t>.</w:t>
      </w:r>
    </w:p>
  </w:footnote>
  <w:footnote w:id="55">
    <w:p>
      <w:pPr>
        <w:pStyle w:val="footnote text"/>
      </w:pPr>
      <w:r>
        <w:rPr>
          <w:rStyle w:val="footnote reference"/>
        </w:rPr>
        <w:footnoteRef/>
      </w:r>
      <w:r>
        <w:rPr>
          <w:rFonts w:cs="Arial Unicode MS" w:eastAsia="Arial Unicode MS"/>
          <w:rtl w:val="0"/>
        </w:rPr>
        <w:t xml:space="preserve"> A Bodleian shelfmark such as </w:t>
      </w:r>
      <w:r>
        <w:rPr>
          <w:rStyle w:val="page number"/>
          <w:rFonts w:cs="Arial Unicode MS" w:eastAsia="Arial Unicode MS"/>
          <w:b w:val="1"/>
          <w:bCs w:val="1"/>
          <w:rtl w:val="0"/>
          <w:lang w:val="en-US"/>
        </w:rPr>
        <w:t>MS. Gr. class. g 75 (P)</w:t>
      </w:r>
      <w:r>
        <w:rPr>
          <w:rFonts w:cs="Arial Unicode MS" w:eastAsia="Arial Unicode MS"/>
          <w:rtl w:val="0"/>
        </w:rPr>
        <w:t xml:space="preserve"> can be parsed as follows: the first designation indicates a manuscript (</w:t>
      </w:r>
      <w:r>
        <w:rPr>
          <w:rStyle w:val="page number"/>
          <w:rFonts w:cs="Arial Unicode MS" w:eastAsia="Arial Unicode MS"/>
          <w:b w:val="1"/>
          <w:bCs w:val="1"/>
          <w:rtl w:val="0"/>
          <w:lang w:val="en-US"/>
        </w:rPr>
        <w:t>MS</w:t>
      </w:r>
      <w:r>
        <w:rPr>
          <w:rFonts w:cs="Arial Unicode MS" w:eastAsia="Arial Unicode MS"/>
          <w:rtl w:val="0"/>
        </w:rPr>
        <w:t>) and the second its language (</w:t>
      </w:r>
      <w:r>
        <w:rPr>
          <w:rStyle w:val="page number"/>
          <w:rFonts w:cs="Arial Unicode MS" w:eastAsia="Arial Unicode MS"/>
          <w:b w:val="1"/>
          <w:bCs w:val="1"/>
          <w:rtl w:val="0"/>
          <w:lang w:val="en-US"/>
        </w:rPr>
        <w:t>Gr.</w:t>
      </w:r>
      <w:r>
        <w:rPr>
          <w:rFonts w:cs="Arial Unicode MS" w:eastAsia="Arial Unicode MS"/>
          <w:rtl w:val="0"/>
        </w:rPr>
        <w:t xml:space="preserve">) before additional subdivisions by content (e.g., </w:t>
      </w:r>
      <w:r>
        <w:rPr>
          <w:rStyle w:val="page number"/>
          <w:rFonts w:cs="Arial Unicode MS" w:eastAsia="Arial Unicode MS"/>
          <w:b w:val="1"/>
          <w:bCs w:val="1"/>
          <w:rtl w:val="0"/>
          <w:lang w:val="en-US"/>
        </w:rPr>
        <w:t>bib.</w:t>
      </w:r>
      <w:r>
        <w:rPr>
          <w:rFonts w:cs="Arial Unicode MS" w:eastAsia="Arial Unicode MS"/>
          <w:rtl w:val="0"/>
        </w:rPr>
        <w:t xml:space="preserve">, </w:t>
      </w:r>
      <w:r>
        <w:rPr>
          <w:rStyle w:val="page number"/>
          <w:rFonts w:cs="Arial Unicode MS" w:eastAsia="Arial Unicode MS"/>
          <w:b w:val="1"/>
          <w:bCs w:val="1"/>
          <w:rtl w:val="0"/>
          <w:lang w:val="en-US"/>
        </w:rPr>
        <w:t>liturg.</w:t>
      </w:r>
      <w:r>
        <w:rPr>
          <w:rFonts w:cs="Arial Unicode MS" w:eastAsia="Arial Unicode MS"/>
          <w:rtl w:val="0"/>
        </w:rPr>
        <w:t xml:space="preserve">, </w:t>
      </w:r>
      <w:r>
        <w:rPr>
          <w:rStyle w:val="page number"/>
          <w:rFonts w:cs="Arial Unicode MS" w:eastAsia="Arial Unicode MS"/>
          <w:b w:val="1"/>
          <w:bCs w:val="1"/>
          <w:rtl w:val="0"/>
          <w:lang w:val="en-US"/>
        </w:rPr>
        <w:t>th.</w:t>
      </w:r>
      <w:r>
        <w:rPr>
          <w:rFonts w:cs="Arial Unicode MS" w:eastAsia="Arial Unicode MS"/>
          <w:rtl w:val="0"/>
        </w:rPr>
        <w:t xml:space="preserve">, </w:t>
      </w:r>
      <w:r>
        <w:rPr>
          <w:rStyle w:val="page number"/>
          <w:rFonts w:cs="Arial Unicode MS" w:eastAsia="Arial Unicode MS"/>
          <w:b w:val="1"/>
          <w:bCs w:val="1"/>
          <w:rtl w:val="0"/>
          <w:lang w:val="en-US"/>
        </w:rPr>
        <w:t>class.</w:t>
      </w:r>
      <w:r>
        <w:rPr>
          <w:rFonts w:cs="Arial Unicode MS" w:eastAsia="Arial Unicode MS"/>
          <w:rtl w:val="0"/>
        </w:rPr>
        <w:t xml:space="preserve">, </w:t>
      </w:r>
      <w:r>
        <w:rPr>
          <w:rStyle w:val="page number"/>
          <w:rFonts w:cs="Arial Unicode MS" w:eastAsia="Arial Unicode MS"/>
          <w:b w:val="1"/>
          <w:bCs w:val="1"/>
          <w:rtl w:val="0"/>
          <w:lang w:val="en-US"/>
        </w:rPr>
        <w:t>misc.</w:t>
      </w:r>
      <w:r>
        <w:rPr>
          <w:rFonts w:cs="Arial Unicode MS" w:eastAsia="Arial Unicode MS"/>
          <w:rtl w:val="0"/>
        </w:rPr>
        <w:t>), size (</w:t>
      </w:r>
      <w:r>
        <w:rPr>
          <w:rStyle w:val="page number"/>
          <w:rFonts w:cs="Arial Unicode MS" w:eastAsia="Arial Unicode MS"/>
          <w:b w:val="1"/>
          <w:bCs w:val="1"/>
          <w:rtl w:val="0"/>
          <w:lang w:val="en-US"/>
        </w:rPr>
        <w:t>a</w:t>
      </w:r>
      <w:r>
        <w:rPr>
          <w:rFonts w:cs="Arial Unicode MS" w:eastAsia="Arial Unicode MS" w:hint="default"/>
          <w:rtl w:val="0"/>
        </w:rPr>
        <w:t>–</w:t>
      </w:r>
      <w:r>
        <w:rPr>
          <w:rStyle w:val="page number"/>
          <w:rFonts w:cs="Arial Unicode MS" w:eastAsia="Arial Unicode MS"/>
          <w:b w:val="1"/>
          <w:bCs w:val="1"/>
          <w:rtl w:val="0"/>
          <w:lang w:val="en-US"/>
        </w:rPr>
        <w:t>g</w:t>
      </w:r>
      <w:r>
        <w:rPr>
          <w:rFonts w:cs="Arial Unicode MS" w:eastAsia="Arial Unicode MS"/>
          <w:rtl w:val="0"/>
        </w:rPr>
        <w:t xml:space="preserve">, where </w:t>
      </w:r>
      <w:r>
        <w:rPr>
          <w:rStyle w:val="page number"/>
          <w:rFonts w:cs="Arial Unicode MS" w:eastAsia="Arial Unicode MS"/>
          <w:b w:val="1"/>
          <w:bCs w:val="1"/>
          <w:rtl w:val="0"/>
          <w:lang w:val="en-US"/>
        </w:rPr>
        <w:t xml:space="preserve">a </w:t>
      </w:r>
      <w:r>
        <w:rPr>
          <w:rFonts w:cs="Arial Unicode MS" w:eastAsia="Arial Unicode MS"/>
          <w:rtl w:val="0"/>
        </w:rPr>
        <w:t>is the largest), serial number (</w:t>
      </w:r>
      <w:r>
        <w:rPr>
          <w:rStyle w:val="page number"/>
          <w:rFonts w:cs="Arial Unicode MS" w:eastAsia="Arial Unicode MS"/>
          <w:b w:val="1"/>
          <w:bCs w:val="1"/>
          <w:rtl w:val="0"/>
          <w:lang w:val="en-US"/>
        </w:rPr>
        <w:t>75</w:t>
      </w:r>
      <w:r>
        <w:rPr>
          <w:rFonts w:cs="Arial Unicode MS" w:eastAsia="Arial Unicode MS"/>
          <w:rtl w:val="0"/>
        </w:rPr>
        <w:t xml:space="preserve">), and material / conservation </w:t>
      </w:r>
      <w:r>
        <w:rPr>
          <w:rStyle w:val="page number"/>
          <w:rFonts w:cs="Arial Unicode MS" w:eastAsia="Arial Unicode MS"/>
          <w:b w:val="1"/>
          <w:bCs w:val="1"/>
          <w:rtl w:val="0"/>
          <w:lang w:val="en-US"/>
        </w:rPr>
        <w:t xml:space="preserve">(P). </w:t>
      </w:r>
      <w:r>
        <w:rPr>
          <w:rFonts w:cs="Arial Unicode MS" w:eastAsia="Arial Unicode MS"/>
          <w:rtl w:val="0"/>
        </w:rPr>
        <w:t xml:space="preserve">The last, in this case, denotes a papyrus or glazed manuscript: see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vii)</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w:t>
      </w:r>
      <w:r>
        <w:rPr/>
        <w:fldChar w:fldCharType="end" w:fldLock="0"/>
      </w:r>
      <w:r>
        <w:rPr>
          <w:rFonts w:cs="Arial Unicode MS" w:eastAsia="Arial Unicode MS"/>
          <w:rtl w:val="0"/>
        </w:rPr>
        <w:t xml:space="preserve"> published seven Hogarth papyri, whose shelfmarks belong to the </w:t>
      </w:r>
      <w:r>
        <w:rPr>
          <w:rStyle w:val="page number"/>
          <w:rFonts w:cs="Arial Unicode MS" w:eastAsia="Arial Unicode MS"/>
          <w:b w:val="1"/>
          <w:bCs w:val="1"/>
          <w:rtl w:val="0"/>
          <w:lang w:val="en-US"/>
        </w:rPr>
        <w:t>d</w:t>
      </w:r>
      <w:r>
        <w:rPr>
          <w:rFonts w:cs="Arial Unicode MS" w:eastAsia="Arial Unicode MS"/>
          <w:rtl w:val="0"/>
        </w:rPr>
        <w:t xml:space="preserve">, </w:t>
      </w:r>
      <w:r>
        <w:rPr>
          <w:rStyle w:val="page number"/>
          <w:rFonts w:cs="Arial Unicode MS" w:eastAsia="Arial Unicode MS"/>
          <w:b w:val="1"/>
          <w:bCs w:val="1"/>
          <w:rtl w:val="0"/>
          <w:lang w:val="en-US"/>
        </w:rPr>
        <w:t>e</w:t>
      </w:r>
      <w:r>
        <w:rPr>
          <w:rFonts w:cs="Arial Unicode MS" w:eastAsia="Arial Unicode MS"/>
          <w:rtl w:val="0"/>
        </w:rPr>
        <w:t xml:space="preserve">, </w:t>
      </w:r>
      <w:r>
        <w:rPr>
          <w:rStyle w:val="page number"/>
          <w:rFonts w:cs="Arial Unicode MS" w:eastAsia="Arial Unicode MS"/>
          <w:b w:val="1"/>
          <w:bCs w:val="1"/>
          <w:rtl w:val="0"/>
          <w:lang w:val="en-US"/>
        </w:rPr>
        <w:t>f</w:t>
      </w:r>
      <w:r>
        <w:rPr>
          <w:rFonts w:cs="Arial Unicode MS" w:eastAsia="Arial Unicode MS"/>
          <w:rtl w:val="0"/>
        </w:rPr>
        <w:t xml:space="preserve">, and </w:t>
      </w:r>
      <w:r>
        <w:rPr>
          <w:rStyle w:val="page number"/>
          <w:rFonts w:cs="Arial Unicode MS" w:eastAsia="Arial Unicode MS"/>
          <w:b w:val="1"/>
          <w:bCs w:val="1"/>
          <w:rtl w:val="0"/>
          <w:lang w:val="en-US"/>
        </w:rPr>
        <w:t>g</w:t>
      </w:r>
      <w:r>
        <w:rPr>
          <w:rFonts w:cs="Arial Unicode MS" w:eastAsia="Arial Unicode MS"/>
          <w:rtl w:val="0"/>
        </w:rPr>
        <w:t xml:space="preserve"> series. </w:t>
      </w:r>
    </w:p>
  </w:footnote>
  <w:footnote w:id="56">
    <w:p>
      <w:pPr>
        <w:pStyle w:val="footnote text"/>
      </w:pPr>
      <w:r>
        <w:rPr>
          <w:rStyle w:val="footnote reference"/>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"https://papyri.info/biblio/36243"</w:instrText>
      </w:r>
      <w:r>
        <w:rPr>
          <w:rStyle w:val="Hyperlink.0"/>
        </w:rPr>
        <w:fldChar w:fldCharType="separate" w:fldLock="0"/>
      </w:r>
      <w:r>
        <w:rPr>
          <w:rStyle w:val="Hyperlink.0"/>
          <w:rFonts w:cs="Arial Unicode MS" w:eastAsia="Arial Unicode MS"/>
          <w:rtl w:val="0"/>
        </w:rPr>
        <w:t>Wegener 1937: 217, no. IV</w:t>
      </w:r>
      <w:r>
        <w:rPr/>
        <w:fldChar w:fldCharType="end" w:fldLock="0"/>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315)</w:t>
      </w:r>
      <w:r>
        <w:rPr/>
        <w:fldChar w:fldCharType="end" w:fldLock="0"/>
      </w:r>
      <w:r>
        <w:rPr>
          <w:rFonts w:cs="Arial Unicode MS" w:eastAsia="Arial Unicode MS"/>
          <w:rtl w:val="0"/>
        </w:rPr>
        <w:t xml:space="preserve"> records that this papyrus now bears the shelfmark MS. Gr. class. a 18 (P).</w:t>
      </w:r>
    </w:p>
  </w:footnote>
  <w:footnote w:id="57">
    <w:p>
      <w:pPr>
        <w:pStyle w:val="footnote text"/>
      </w:pPr>
      <w:r>
        <w:rPr>
          <w:rStyle w:val="footnote reference"/>
        </w:rPr>
        <w:footnoteRef/>
      </w:r>
      <w:r>
        <w:rPr>
          <w:rFonts w:cs="Arial Unicode MS" w:eastAsia="Arial Unicode MS"/>
          <w:rtl w:val="0"/>
        </w:rPr>
        <w:t xml:space="preserve"> The final items for each series in Lobel</w:t>
      </w:r>
      <w:r>
        <w:rPr>
          <w:rFonts w:cs="Arial Unicode MS" w:eastAsia="Arial Unicode MS" w:hint="default"/>
          <w:rtl w:val="0"/>
        </w:rPr>
        <w:t>’</w:t>
      </w:r>
      <w:r>
        <w:rPr>
          <w:rFonts w:cs="Arial Unicode MS" w:eastAsia="Arial Unicode MS"/>
          <w:rtl w:val="0"/>
        </w:rPr>
        <w:t>s inventory are #16 (</w:t>
      </w:r>
      <w:r>
        <w:rPr>
          <w:rStyle w:val="page number"/>
          <w:rFonts w:cs="Arial Unicode MS" w:eastAsia="Arial Unicode MS"/>
          <w:b w:val="1"/>
          <w:bCs w:val="1"/>
          <w:rtl w:val="0"/>
          <w:lang w:val="en-US"/>
        </w:rPr>
        <w:t>a</w:t>
      </w:r>
      <w:r>
        <w:rPr>
          <w:rFonts w:cs="Arial Unicode MS" w:eastAsia="Arial Unicode MS"/>
          <w:rtl w:val="0"/>
        </w:rPr>
        <w:t>), #19 (</w:t>
      </w:r>
      <w:r>
        <w:rPr>
          <w:rStyle w:val="page number"/>
          <w:rFonts w:cs="Arial Unicode MS" w:eastAsia="Arial Unicode MS"/>
          <w:b w:val="1"/>
          <w:bCs w:val="1"/>
          <w:rtl w:val="0"/>
          <w:lang w:val="en-US"/>
        </w:rPr>
        <w:t>b</w:t>
      </w:r>
      <w:r>
        <w:rPr>
          <w:rFonts w:cs="Arial Unicode MS" w:eastAsia="Arial Unicode MS"/>
          <w:rtl w:val="0"/>
        </w:rPr>
        <w:t>), #91 (</w:t>
      </w:r>
      <w:r>
        <w:rPr>
          <w:rStyle w:val="page number"/>
          <w:rFonts w:cs="Arial Unicode MS" w:eastAsia="Arial Unicode MS"/>
          <w:b w:val="1"/>
          <w:bCs w:val="1"/>
          <w:rtl w:val="0"/>
          <w:lang w:val="en-US"/>
        </w:rPr>
        <w:t>c</w:t>
      </w:r>
      <w:r>
        <w:rPr>
          <w:rFonts w:cs="Arial Unicode MS" w:eastAsia="Arial Unicode MS"/>
          <w:rtl w:val="0"/>
        </w:rPr>
        <w:t>), #133 (</w:t>
      </w:r>
      <w:r>
        <w:rPr>
          <w:rStyle w:val="page number"/>
          <w:rFonts w:cs="Arial Unicode MS" w:eastAsia="Arial Unicode MS"/>
          <w:b w:val="1"/>
          <w:bCs w:val="1"/>
          <w:rtl w:val="0"/>
          <w:lang w:val="en-US"/>
        </w:rPr>
        <w:t>d</w:t>
      </w:r>
      <w:r>
        <w:rPr>
          <w:rFonts w:cs="Arial Unicode MS" w:eastAsia="Arial Unicode MS"/>
          <w:rtl w:val="0"/>
        </w:rPr>
        <w:t>), #126 (</w:t>
      </w:r>
      <w:r>
        <w:rPr>
          <w:rStyle w:val="page number"/>
          <w:rFonts w:cs="Arial Unicode MS" w:eastAsia="Arial Unicode MS"/>
          <w:b w:val="1"/>
          <w:bCs w:val="1"/>
          <w:rtl w:val="0"/>
          <w:lang w:val="en-US"/>
        </w:rPr>
        <w:t>e</w:t>
      </w:r>
      <w:r>
        <w:rPr>
          <w:rFonts w:cs="Arial Unicode MS" w:eastAsia="Arial Unicode MS"/>
          <w:rtl w:val="0"/>
        </w:rPr>
        <w:t>), #112 (</w:t>
      </w:r>
      <w:r>
        <w:rPr>
          <w:rStyle w:val="page number"/>
          <w:rFonts w:cs="Arial Unicode MS" w:eastAsia="Arial Unicode MS"/>
          <w:b w:val="1"/>
          <w:bCs w:val="1"/>
          <w:rtl w:val="0"/>
          <w:lang w:val="en-US"/>
        </w:rPr>
        <w:t>f</w:t>
      </w:r>
      <w:r>
        <w:rPr>
          <w:rFonts w:cs="Arial Unicode MS" w:eastAsia="Arial Unicode MS"/>
          <w:rtl w:val="0"/>
        </w:rPr>
        <w:t>), and #78 (</w:t>
      </w:r>
      <w:r>
        <w:rPr>
          <w:rStyle w:val="page number"/>
          <w:rFonts w:cs="Arial Unicode MS" w:eastAsia="Arial Unicode MS"/>
          <w:b w:val="1"/>
          <w:bCs w:val="1"/>
          <w:rtl w:val="0"/>
          <w:lang w:val="en-US"/>
        </w:rPr>
        <w:t>g</w:t>
      </w:r>
      <w:r>
        <w:rPr>
          <w:rFonts w:cs="Arial Unicode MS" w:eastAsia="Arial Unicode MS"/>
          <w:rtl w:val="0"/>
        </w:rPr>
        <w:t>). The Hogarth items that it includes are MS. Gr. class. e 126, MS. Gr. class. f 103</w:t>
      </w:r>
      <w:r>
        <w:rPr>
          <w:rFonts w:cs="Arial Unicode MS" w:eastAsia="Arial Unicode MS" w:hint="default"/>
          <w:rtl w:val="0"/>
        </w:rPr>
        <w:t>–</w:t>
      </w:r>
      <w:r>
        <w:rPr>
          <w:rFonts w:cs="Arial Unicode MS" w:eastAsia="Arial Unicode MS"/>
          <w:rtl w:val="0"/>
        </w:rPr>
        <w:t>107, and MS. Gr. class. g. 73</w:t>
      </w:r>
      <w:r>
        <w:rPr>
          <w:rFonts w:cs="Arial Unicode MS" w:eastAsia="Arial Unicode MS" w:hint="default"/>
          <w:rtl w:val="0"/>
        </w:rPr>
        <w:t>–</w:t>
      </w:r>
      <w:r>
        <w:rPr>
          <w:rFonts w:cs="Arial Unicode MS" w:eastAsia="Arial Unicode MS"/>
          <w:rtl w:val="0"/>
        </w:rPr>
        <w:t xml:space="preserve">76, all from the series for smallest items. </w:t>
      </w:r>
    </w:p>
  </w:footnote>
  <w:footnote w:id="58">
    <w:p>
      <w:pPr>
        <w:pStyle w:val="footnote text"/>
      </w:pPr>
      <w:r>
        <w:rPr>
          <w:rStyle w:val="footnote reference"/>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"https://papyri.info/biblio/56129"</w:instrText>
      </w:r>
      <w:r>
        <w:rPr>
          <w:rStyle w:val="Hyperlink.0"/>
        </w:rPr>
        <w:fldChar w:fldCharType="separate" w:fldLock="0"/>
      </w:r>
      <w:r>
        <w:rPr>
          <w:rStyle w:val="Hyperlink.0"/>
          <w:rFonts w:cs="Arial Unicode MS" w:eastAsia="Arial Unicode MS"/>
          <w:rtl w:val="0"/>
        </w:rPr>
        <w:t>Turner 1983: 277</w:t>
      </w:r>
      <w:r>
        <w:rPr/>
        <w:fldChar w:fldCharType="end" w:fldLock="0"/>
      </w:r>
      <w:r>
        <w:rPr>
          <w:rFonts w:cs="Arial Unicode MS" w:eastAsia="Arial Unicode MS"/>
          <w:rtl w:val="0"/>
        </w:rPr>
        <w:t>.</w:t>
      </w:r>
    </w:p>
  </w:footnote>
  <w:footnote w:id="59">
    <w:p>
      <w:pPr>
        <w:pStyle w:val="footnote text"/>
      </w:pPr>
      <w:r>
        <w:rPr>
          <w:rStyle w:val="footnote reference"/>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"https://papyri.info/biblio/35712"</w:instrText>
      </w:r>
      <w:r>
        <w:rPr>
          <w:rStyle w:val="Hyperlink.0"/>
        </w:rPr>
        <w:fldChar w:fldCharType="separate" w:fldLock="0"/>
      </w:r>
      <w:r>
        <w:rPr>
          <w:rStyle w:val="Hyperlink.0"/>
          <w:rFonts w:cs="Arial Unicode MS" w:eastAsia="Arial Unicode MS"/>
          <w:rtl w:val="0"/>
        </w:rPr>
        <w:t>Lobel 1936</w:t>
      </w:r>
      <w:r>
        <w:rPr/>
        <w:fldChar w:fldCharType="end" w:fldLock="0"/>
      </w:r>
      <w:r>
        <w:rPr>
          <w:rFonts w:cs="Arial Unicode MS" w:eastAsia="Arial Unicode MS"/>
          <w:rtl w:val="0"/>
        </w:rPr>
        <w:t xml:space="preserve"> is the edition of MS Gr. class. f 113 (P), from the Hunt donation (though it is not therein identified by its shelfmark).</w:t>
      </w:r>
    </w:p>
  </w:footnote>
  <w:footnote w:id="60">
    <w:p>
      <w:pPr>
        <w:pStyle w:val="footnote text"/>
      </w:pPr>
      <w:r>
        <w:rPr>
          <w:rStyle w:val="footnote reference"/>
        </w:rPr>
        <w:footnoteRef/>
      </w:r>
      <w:r>
        <w:rPr>
          <w:rFonts w:cs="Arial Unicode MS" w:eastAsia="Arial Unicode MS"/>
          <w:rtl w:val="0"/>
        </w:rPr>
        <w:t xml:space="preserve"> For a richer discussion of Lobel and the Oxyrhynchus papyri, see </w:t>
      </w:r>
      <w:r>
        <w:rPr>
          <w:rStyle w:val="Hyperlink.0"/>
        </w:rPr>
        <w:fldChar w:fldCharType="begin" w:fldLock="0"/>
      </w:r>
      <w:r>
        <w:rPr>
          <w:rStyle w:val="Hyperlink.0"/>
        </w:rPr>
        <w:instrText xml:space="preserve"> HYPERLINK "https://papyri.info/biblio/56129"</w:instrText>
      </w:r>
      <w:r>
        <w:rPr>
          <w:rStyle w:val="Hyperlink.0"/>
        </w:rPr>
        <w:fldChar w:fldCharType="separate" w:fldLock="0"/>
      </w:r>
      <w:r>
        <w:rPr>
          <w:rStyle w:val="Hyperlink.0"/>
          <w:rFonts w:cs="Arial Unicode MS" w:eastAsia="Arial Unicode MS"/>
          <w:rtl w:val="0"/>
        </w:rPr>
        <w:t>Turner 1983: 277</w:t>
      </w:r>
      <w:r>
        <w:rPr>
          <w:rStyle w:val="Hyperlink.0"/>
          <w:rFonts w:cs="Arial Unicode MS" w:eastAsia="Arial Unicode MS" w:hint="default"/>
          <w:rtl w:val="0"/>
        </w:rPr>
        <w:t>–</w:t>
      </w:r>
      <w:r>
        <w:rPr>
          <w:rStyle w:val="Hyperlink.0"/>
          <w:rFonts w:cs="Arial Unicode MS" w:eastAsia="Arial Unicode MS"/>
          <w:rtl w:val="0"/>
        </w:rPr>
        <w:t>278</w:t>
      </w:r>
      <w:r>
        <w:rPr/>
        <w:fldChar w:fldCharType="end" w:fldLock="0"/>
      </w:r>
      <w:r>
        <w:rPr>
          <w:rFonts w:cs="Arial Unicode MS" w:eastAsia="Arial Unicode MS"/>
          <w:rtl w:val="0"/>
        </w:rPr>
        <w:t>.</w:t>
      </w:r>
    </w:p>
  </w:footnote>
  <w:footnote w:id="61">
    <w:p>
      <w:pPr>
        <w:pStyle w:val="footnote text"/>
      </w:pPr>
      <w:r>
        <w:rPr>
          <w:rStyle w:val="footnote reference"/>
        </w:rPr>
        <w:footnoteRef/>
      </w:r>
      <w:r>
        <w:rPr>
          <w:rFonts w:cs="Arial Unicode MS" w:eastAsia="Arial Unicode MS"/>
          <w:rtl w:val="0"/>
        </w:rPr>
        <w:t xml:space="preserve"> See </w:t>
      </w:r>
      <w:r>
        <w:rPr>
          <w:rStyle w:val="Hyperlink.0"/>
        </w:rPr>
        <w:fldChar w:fldCharType="begin" w:fldLock="0"/>
      </w:r>
      <w:r>
        <w:rPr>
          <w:rStyle w:val="Hyperlink.0"/>
        </w:rPr>
        <w:instrText xml:space="preserve"> HYPERLINK "https://medieval.bodleian.ox.ac.uk/"</w:instrText>
      </w:r>
      <w:r>
        <w:rPr>
          <w:rStyle w:val="Hyperlink.0"/>
        </w:rPr>
        <w:fldChar w:fldCharType="separate" w:fldLock="0"/>
      </w:r>
      <w:r>
        <w:rPr>
          <w:rStyle w:val="Hyperlink.0"/>
          <w:rFonts w:cs="Arial Unicode MS" w:eastAsia="Arial Unicode MS"/>
          <w:rtl w:val="0"/>
        </w:rPr>
        <w:t>https://medieval.bodleian.ox.ac.uk/</w:t>
      </w:r>
      <w:r>
        <w:rPr/>
        <w:fldChar w:fldCharType="end" w:fldLock="0"/>
      </w:r>
      <w:r>
        <w:rPr>
          <w:rFonts w:cs="Arial Unicode MS" w:eastAsia="Arial Unicode MS"/>
          <w:rtl w:val="0"/>
        </w:rPr>
        <w:t>. Filtering by type (</w:t>
      </w:r>
      <w:r>
        <w:rPr>
          <w:rFonts w:cs="Arial Unicode MS" w:eastAsia="Arial Unicode MS" w:hint="default"/>
          <w:rtl w:val="0"/>
        </w:rPr>
        <w:t>‘</w:t>
      </w:r>
      <w:r>
        <w:rPr>
          <w:rFonts w:cs="Arial Unicode MS" w:eastAsia="Arial Unicode MS"/>
          <w:rtl w:val="0"/>
        </w:rPr>
        <w:t>manuscript</w:t>
      </w:r>
      <w:r>
        <w:rPr>
          <w:rFonts w:cs="Arial Unicode MS" w:eastAsia="Arial Unicode MS" w:hint="default"/>
          <w:rtl w:val="0"/>
        </w:rPr>
        <w:t>’</w:t>
      </w:r>
      <w:r>
        <w:rPr>
          <w:rFonts w:cs="Arial Unicode MS" w:eastAsia="Arial Unicode MS"/>
          <w:rtl w:val="0"/>
        </w:rPr>
        <w:t>), language (</w:t>
      </w:r>
      <w:r>
        <w:rPr>
          <w:rFonts w:cs="Arial Unicode MS" w:eastAsia="Arial Unicode MS" w:hint="default"/>
          <w:rtl w:val="0"/>
        </w:rPr>
        <w:t>‘</w:t>
      </w:r>
      <w:r>
        <w:rPr>
          <w:rFonts w:cs="Arial Unicode MS" w:eastAsia="Arial Unicode MS"/>
          <w:rtl w:val="0"/>
        </w:rPr>
        <w:t>Greek</w:t>
      </w:r>
      <w:r>
        <w:rPr>
          <w:rFonts w:cs="Arial Unicode MS" w:eastAsia="Arial Unicode MS" w:hint="default"/>
          <w:rtl w:val="0"/>
        </w:rPr>
        <w:t>’</w:t>
      </w:r>
      <w:r>
        <w:rPr>
          <w:rFonts w:cs="Arial Unicode MS" w:eastAsia="Arial Unicode MS"/>
          <w:rtl w:val="0"/>
        </w:rPr>
        <w:t>), and material (</w:t>
      </w:r>
      <w:r>
        <w:rPr>
          <w:rFonts w:cs="Arial Unicode MS" w:eastAsia="Arial Unicode MS" w:hint="default"/>
          <w:rtl w:val="0"/>
        </w:rPr>
        <w:t>‘</w:t>
      </w:r>
      <w:r>
        <w:rPr>
          <w:rFonts w:cs="Arial Unicode MS" w:eastAsia="Arial Unicode MS"/>
          <w:rtl w:val="0"/>
        </w:rPr>
        <w:t>papyrus</w:t>
      </w:r>
      <w:r>
        <w:rPr>
          <w:rFonts w:cs="Arial Unicode MS" w:eastAsia="Arial Unicode MS" w:hint="default"/>
          <w:rtl w:val="0"/>
        </w:rPr>
        <w:t>’</w:t>
      </w:r>
      <w:r>
        <w:rPr>
          <w:rFonts w:cs="Arial Unicode MS" w:eastAsia="Arial Unicode MS"/>
          <w:rtl w:val="0"/>
        </w:rPr>
        <w:t>) results in 1,160 records. Last accessed 15 August 2022.</w:t>
      </w:r>
    </w:p>
  </w:footnote>
  <w:footnote w:id="62">
    <w:p>
      <w:pPr>
        <w:pStyle w:val="footnote text"/>
      </w:pPr>
      <w:r>
        <w:rPr>
          <w:rStyle w:val="footnote reference"/>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"https://papyri.info/biblio/14543"</w:instrText>
      </w:r>
      <w:r>
        <w:rPr>
          <w:rStyle w:val="Hyperlink.0"/>
        </w:rPr>
        <w:fldChar w:fldCharType="separate" w:fldLock="0"/>
      </w:r>
      <w:r>
        <w:rPr>
          <w:rStyle w:val="Hyperlink.0"/>
          <w:rFonts w:cs="Arial Unicode MS" w:eastAsia="Arial Unicode MS"/>
          <w:rtl w:val="0"/>
        </w:rPr>
        <w:t>Salomons (1996: 332)</w:t>
      </w:r>
      <w:r>
        <w:rPr/>
        <w:fldChar w:fldCharType="end" w:fldLock="0"/>
      </w:r>
      <w:r>
        <w:rPr>
          <w:rFonts w:cs="Arial Unicode MS" w:eastAsia="Arial Unicode MS"/>
          <w:rtl w:val="0"/>
        </w:rPr>
        <w:t xml:space="preserve"> reports that, according to a note in Lobel</w:t>
      </w:r>
      <w:r>
        <w:rPr>
          <w:rFonts w:cs="Arial Unicode MS" w:eastAsia="Arial Unicode MS" w:hint="default"/>
          <w:rtl w:val="0"/>
        </w:rPr>
        <w:t>’</w:t>
      </w:r>
      <w:r>
        <w:rPr>
          <w:rFonts w:cs="Arial Unicode MS" w:eastAsia="Arial Unicode MS"/>
          <w:rtl w:val="0"/>
        </w:rPr>
        <w:t>s hand, MS. Gr. class. c 103</w:t>
      </w:r>
      <w:r>
        <w:rPr>
          <w:rFonts w:cs="Arial Unicode MS" w:eastAsia="Arial Unicode MS" w:hint="default"/>
          <w:rtl w:val="0"/>
        </w:rPr>
        <w:t>–</w:t>
      </w:r>
      <w:r>
        <w:rPr>
          <w:rFonts w:cs="Arial Unicode MS" w:eastAsia="Arial Unicode MS"/>
          <w:rtl w:val="0"/>
        </w:rPr>
        <w:t xml:space="preserve">228 were purchased in Cairo by Grenfell. Notes regarding other segments of the </w:t>
      </w:r>
      <w:r>
        <w:rPr>
          <w:rStyle w:val="page number"/>
          <w:rFonts w:cs="Arial Unicode MS" w:eastAsia="Arial Unicode MS"/>
          <w:b w:val="1"/>
          <w:bCs w:val="1"/>
          <w:rtl w:val="0"/>
          <w:lang w:val="en-US"/>
        </w:rPr>
        <w:t>c</w:t>
      </w:r>
      <w:r>
        <w:rPr>
          <w:rFonts w:cs="Arial Unicode MS" w:eastAsia="Arial Unicode MS"/>
          <w:rtl w:val="0"/>
        </w:rPr>
        <w:t xml:space="preserve"> series pepper his catalogue: e.g., that 234</w:t>
      </w:r>
      <w:r>
        <w:rPr>
          <w:rFonts w:cs="Arial Unicode MS" w:eastAsia="Arial Unicode MS" w:hint="default"/>
          <w:rtl w:val="0"/>
        </w:rPr>
        <w:t>–</w:t>
      </w:r>
      <w:r>
        <w:rPr>
          <w:rFonts w:cs="Arial Unicode MS" w:eastAsia="Arial Unicode MS"/>
          <w:rtl w:val="0"/>
        </w:rPr>
        <w:t xml:space="preserve">288 come </w:t>
      </w:r>
      <w:r>
        <w:rPr>
          <w:rFonts w:cs="Arial Unicode MS" w:eastAsia="Arial Unicode MS" w:hint="default"/>
          <w:rtl w:val="0"/>
        </w:rPr>
        <w:t>“</w:t>
      </w:r>
      <w:r>
        <w:rPr>
          <w:rFonts w:cs="Arial Unicode MS" w:eastAsia="Arial Unicode MS"/>
          <w:rtl w:val="0"/>
        </w:rPr>
        <w:t>from Mrs. Hunt and other sources</w:t>
      </w:r>
      <w:r>
        <w:rPr>
          <w:rFonts w:cs="Arial Unicode MS" w:eastAsia="Arial Unicode MS" w:hint="default"/>
          <w:rtl w:val="0"/>
        </w:rPr>
        <w:t>”</w:t>
      </w:r>
      <w:r>
        <w:rPr>
          <w:rFonts w:cs="Arial Unicode MS" w:eastAsia="Arial Unicode MS"/>
          <w:rtl w:val="0"/>
        </w:rPr>
        <w:t>, including Sayce; and that 294</w:t>
      </w:r>
      <w:r>
        <w:rPr>
          <w:rFonts w:cs="Arial Unicode MS" w:eastAsia="Arial Unicode MS" w:hint="default"/>
          <w:rtl w:val="0"/>
        </w:rPr>
        <w:t>–</w:t>
      </w:r>
      <w:r>
        <w:rPr>
          <w:rFonts w:cs="Arial Unicode MS" w:eastAsia="Arial Unicode MS"/>
          <w:rtl w:val="0"/>
        </w:rPr>
        <w:t xml:space="preserve">300 were </w:t>
      </w:r>
      <w:r>
        <w:rPr>
          <w:rFonts w:cs="Arial Unicode MS" w:eastAsia="Arial Unicode MS" w:hint="default"/>
          <w:rtl w:val="0"/>
        </w:rPr>
        <w:t>“</w:t>
      </w:r>
      <w:r>
        <w:rPr>
          <w:rFonts w:cs="Arial Unicode MS" w:eastAsia="Arial Unicode MS"/>
          <w:rtl w:val="0"/>
        </w:rPr>
        <w:t>perhaps acquired from G. J. Chester.</w:t>
      </w:r>
      <w:r>
        <w:rPr>
          <w:rFonts w:cs="Arial Unicode MS" w:eastAsia="Arial Unicode MS" w:hint="default"/>
          <w:rtl w:val="0"/>
        </w:rPr>
        <w:t xml:space="preserve">” </w:t>
      </w:r>
      <w:r>
        <w:rPr>
          <w:rFonts w:cs="Arial Unicode MS" w:eastAsia="Arial Unicode MS"/>
          <w:rtl w:val="0"/>
        </w:rPr>
        <w:t>There were evidently other smaller, unimportant scraps from early acquisitions that were not immediately assigned shelfmarks.</w:t>
      </w:r>
    </w:p>
  </w:footnote>
  <w:footnote w:id="63">
    <w:p>
      <w:pPr>
        <w:pStyle w:val="footnote text"/>
      </w:pPr>
      <w:r>
        <w:rPr>
          <w:rStyle w:val="footnote reference"/>
        </w:rPr>
        <w:footnoteRef/>
      </w:r>
      <w:r>
        <w:rPr>
          <w:rFonts w:cs="Arial Unicode MS" w:eastAsia="Arial Unicode MS"/>
          <w:rtl w:val="0"/>
        </w:rPr>
        <w:t xml:space="preserve"> Data on published texts with a provenance mentioning Karanis was generously provided by Trismegistos: </w:t>
      </w:r>
      <w:r>
        <w:rPr>
          <w:rStyle w:val="Hyperlink.3"/>
        </w:rPr>
        <w:fldChar w:fldCharType="begin" w:fldLock="0"/>
      </w:r>
      <w:r>
        <w:rPr>
          <w:rStyle w:val="Hyperlink.3"/>
        </w:rPr>
        <w:instrText xml:space="preserve"> HYPERLINK "https://papyri.info/biblio/96068"</w:instrText>
      </w:r>
      <w:r>
        <w:rPr>
          <w:rStyle w:val="Hyperlink.3"/>
        </w:rPr>
        <w:fldChar w:fldCharType="separate" w:fldLock="0"/>
      </w:r>
      <w:r>
        <w:rPr>
          <w:rStyle w:val="Hyperlink.3"/>
          <w:rFonts w:cs="Arial Unicode MS" w:eastAsia="Arial Unicode MS"/>
          <w:rtl w:val="0"/>
        </w:rPr>
        <w:t>Depauw and Gheldof 2014</w:t>
      </w:r>
      <w:r>
        <w:rPr/>
        <w:fldChar w:fldCharType="end" w:fldLock="0"/>
      </w:r>
      <w:r>
        <w:rPr>
          <w:rStyle w:val="page number"/>
          <w:rFonts w:ascii="IFAO-Grec Unicode" w:hAnsi="IFAO-Grec Unicode"/>
          <w:rtl w:val="0"/>
          <w:lang w:val="en-US"/>
        </w:rPr>
        <w:t>.</w:t>
      </w:r>
    </w:p>
  </w:footnote>
  <w:footnote w:id="64">
    <w:p>
      <w:pPr>
        <w:pStyle w:val="footnote text"/>
      </w:pPr>
      <w:r>
        <w:rPr>
          <w:rStyle w:val="footnote reference"/>
        </w:rPr>
        <w:footnoteRef/>
      </w:r>
      <w:r>
        <w:rPr>
          <w:rFonts w:cs="Arial Unicode MS" w:eastAsia="Arial Unicode MS"/>
          <w:rtl w:val="0"/>
        </w:rPr>
        <w:t xml:space="preserve"> The sixth volume of the </w:t>
      </w:r>
      <w:r>
        <w:rPr>
          <w:rStyle w:val="page number"/>
          <w:rFonts w:cs="Arial Unicode MS" w:eastAsia="Arial Unicode MS"/>
          <w:i w:val="1"/>
          <w:iCs w:val="1"/>
          <w:rtl w:val="0"/>
          <w:lang w:val="en-US"/>
        </w:rPr>
        <w:t>Summary Catalogue</w:t>
      </w:r>
      <w:r>
        <w:rPr>
          <w:rFonts w:cs="Arial Unicode MS" w:eastAsia="Arial Unicode MS"/>
          <w:rtl w:val="0"/>
        </w:rPr>
        <w:t xml:space="preserve"> (= </w:t>
      </w:r>
      <w:r>
        <w:rPr>
          <w:rStyle w:val="Hyperlink.0"/>
        </w:rPr>
        <w:fldChar w:fldCharType="begin" w:fldLock="0"/>
      </w:r>
      <w:r>
        <w:rPr>
          <w:rStyle w:val="Hyperlink.0"/>
        </w:rPr>
        <w:instrText xml:space="preserve"> HYPERLINK "https://papyri.info/biblio/96069"</w:instrText>
      </w:r>
      <w:r>
        <w:rPr>
          <w:rStyle w:val="Hyperlink.0"/>
        </w:rPr>
        <w:fldChar w:fldCharType="separate" w:fldLock="0"/>
      </w:r>
      <w:r>
        <w:rPr>
          <w:rStyle w:val="Hyperlink.0"/>
          <w:rFonts w:cs="Arial Unicode MS" w:eastAsia="Arial Unicode MS"/>
          <w:rtl w:val="0"/>
        </w:rPr>
        <w:t>Madan and Craster 1924</w:t>
      </w:r>
      <w:r>
        <w:rPr/>
        <w:fldChar w:fldCharType="end" w:fldLock="0"/>
      </w:r>
      <w:r>
        <w:rPr>
          <w:rFonts w:cs="Arial Unicode MS" w:eastAsia="Arial Unicode MS"/>
          <w:rtl w:val="0"/>
        </w:rPr>
        <w:t xml:space="preserve">) only covered acquisitions up to 1915. The continuation of the series (= </w:t>
      </w:r>
      <w:r>
        <w:rPr>
          <w:rStyle w:val="Hyperlink.0"/>
        </w:rPr>
        <w:fldChar w:fldCharType="begin" w:fldLock="0"/>
      </w:r>
      <w:r>
        <w:rPr>
          <w:rStyle w:val="Hyperlink.0"/>
        </w:rPr>
        <w:instrText xml:space="preserve"> HYPERLINK "https://papyri.info/biblio/96070"</w:instrText>
      </w:r>
      <w:r>
        <w:rPr>
          <w:rStyle w:val="Hyperlink.0"/>
        </w:rPr>
        <w:fldChar w:fldCharType="separate" w:fldLock="0"/>
      </w:r>
      <w:r>
        <w:rPr>
          <w:rStyle w:val="Hyperlink.0"/>
          <w:rFonts w:cs="Arial Unicode MS" w:eastAsia="Arial Unicode MS"/>
          <w:rtl w:val="0"/>
        </w:rPr>
        <w:t>Clapinson and Rogers 1991</w:t>
      </w:r>
      <w:r>
        <w:rPr/>
        <w:fldChar w:fldCharType="end" w:fldLock="0"/>
      </w:r>
      <w:r>
        <w:rPr>
          <w:rFonts w:cs="Arial Unicode MS" w:eastAsia="Arial Unicode MS"/>
          <w:rtl w:val="0"/>
        </w:rPr>
        <w:t>), meanwhile, largely ignores papyri.</w:t>
      </w:r>
    </w:p>
  </w:footnote>
  <w:footnote w:id="65">
    <w:p>
      <w:pPr>
        <w:pStyle w:val="footnote text"/>
      </w:pPr>
      <w:r>
        <w:rPr>
          <w:rStyle w:val="footnote reference"/>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"https://papyri.info/biblio/65966"</w:instrText>
      </w:r>
      <w:r>
        <w:rPr>
          <w:rStyle w:val="Hyperlink.0"/>
        </w:rPr>
        <w:fldChar w:fldCharType="separate" w:fldLock="0"/>
      </w:r>
      <w:r>
        <w:rPr>
          <w:rStyle w:val="Hyperlink.0"/>
          <w:rFonts w:cs="Arial Unicode MS" w:eastAsia="Arial Unicode MS"/>
          <w:rtl w:val="0"/>
        </w:rPr>
        <w:t>Montserrat (1996)</w:t>
      </w:r>
      <w:r>
        <w:rPr/>
        <w:fldChar w:fldCharType="end" w:fldLock="0"/>
      </w:r>
      <w:r>
        <w:rPr>
          <w:rFonts w:cs="Arial Unicode MS" w:eastAsia="Arial Unicode MS"/>
          <w:rtl w:val="0"/>
        </w:rPr>
        <w:t xml:space="preserve"> drew on Hogarth</w:t>
      </w:r>
      <w:r>
        <w:rPr>
          <w:rFonts w:cs="Arial Unicode MS" w:eastAsia="Arial Unicode MS" w:hint="default"/>
          <w:rtl w:val="0"/>
        </w:rPr>
        <w:t>’</w:t>
      </w:r>
      <w:r>
        <w:rPr>
          <w:rFonts w:cs="Arial Unicode MS" w:eastAsia="Arial Unicode MS"/>
          <w:rtl w:val="0"/>
        </w:rPr>
        <w:t>s daybooks and on archival material belonging to the EES; he did not have occasion to study Hogarth</w:t>
      </w:r>
      <w:r>
        <w:rPr>
          <w:rFonts w:cs="Arial Unicode MS" w:eastAsia="Arial Unicode MS" w:hint="default"/>
          <w:rtl w:val="0"/>
        </w:rPr>
        <w:t>’</w:t>
      </w:r>
      <w:r>
        <w:rPr>
          <w:rFonts w:cs="Arial Unicode MS" w:eastAsia="Arial Unicode MS"/>
          <w:rtl w:val="0"/>
        </w:rPr>
        <w:t>s correspondence in any detail.</w:t>
      </w:r>
    </w:p>
  </w:footnote>
  <w:footnote w:id="66">
    <w:p>
      <w:pPr>
        <w:pStyle w:val="footnote text"/>
      </w:pPr>
      <w:r>
        <w:rPr>
          <w:rStyle w:val="footnote reference"/>
        </w:rPr>
        <w:footnoteRef/>
      </w:r>
      <w:r>
        <w:rPr>
          <w:rFonts w:cs="Arial Unicode MS" w:eastAsia="Arial Unicode MS"/>
          <w:rtl w:val="0"/>
        </w:rPr>
        <w:t xml:space="preserve"> The first publications of this project (</w:t>
      </w:r>
      <w:r>
        <w:rPr>
          <w:rFonts w:cs="Arial Unicode MS" w:eastAsia="Arial Unicode MS" w:hint="default"/>
          <w:rtl w:val="0"/>
        </w:rPr>
        <w:t>‘</w:t>
      </w:r>
      <w:r>
        <w:rPr>
          <w:rStyle w:val="Hyperlink.0"/>
        </w:rPr>
        <w:fldChar w:fldCharType="begin" w:fldLock="0"/>
      </w:r>
      <w:r>
        <w:rPr>
          <w:rStyle w:val="Hyperlink.0"/>
        </w:rPr>
        <w:instrText xml:space="preserve"> HYPERLINK "https://twitter.com/karanisbooks"</w:instrText>
      </w:r>
      <w:r>
        <w:rPr>
          <w:rStyle w:val="Hyperlink.0"/>
        </w:rPr>
        <w:fldChar w:fldCharType="separate" w:fldLock="0"/>
      </w:r>
      <w:r>
        <w:rPr>
          <w:rStyle w:val="Hyperlink.0"/>
          <w:rFonts w:cs="Arial Unicode MS" w:eastAsia="Arial Unicode MS"/>
          <w:rtl w:val="0"/>
        </w:rPr>
        <w:t>the Books of Karanis</w:t>
      </w:r>
      <w:r>
        <w:rPr/>
        <w:fldChar w:fldCharType="end" w:fldLock="0"/>
      </w:r>
      <w:r>
        <w:rPr>
          <w:rFonts w:cs="Arial Unicode MS" w:eastAsia="Arial Unicode MS" w:hint="default"/>
          <w:rtl w:val="0"/>
        </w:rPr>
        <w:t>’</w:t>
      </w:r>
      <w:r>
        <w:rPr>
          <w:rFonts w:cs="Arial Unicode MS" w:eastAsia="Arial Unicode MS"/>
          <w:rtl w:val="0"/>
        </w:rPr>
        <w:t xml:space="preserve">) are </w:t>
      </w:r>
      <w:r>
        <w:rPr>
          <w:rStyle w:val="Hyperlink.0"/>
        </w:rPr>
        <w:fldChar w:fldCharType="begin" w:fldLock="0"/>
      </w:r>
      <w:r>
        <w:rPr>
          <w:rStyle w:val="Hyperlink.0"/>
        </w:rPr>
        <w:instrText xml:space="preserve"> HYPERLINK "https://papyri.info/biblio/96099"</w:instrText>
      </w:r>
      <w:r>
        <w:rPr>
          <w:rStyle w:val="Hyperlink.0"/>
        </w:rPr>
        <w:fldChar w:fldCharType="separate" w:fldLock="0"/>
      </w:r>
      <w:r>
        <w:rPr>
          <w:rStyle w:val="Hyperlink.0"/>
          <w:rFonts w:cs="Arial Unicode MS" w:eastAsia="Arial Unicode MS"/>
          <w:rtl w:val="0"/>
        </w:rPr>
        <w:t>Sampson (2022a)</w:t>
      </w:r>
      <w:r>
        <w:rPr/>
        <w:fldChar w:fldCharType="end" w:fldLock="0"/>
      </w:r>
      <w:r>
        <w:rPr>
          <w:rFonts w:cs="Arial Unicode MS" w:eastAsia="Arial Unicode MS"/>
          <w:rtl w:val="0"/>
        </w:rPr>
        <w:t xml:space="preserve"> and Sampson (forthcoming 2022b), in this volume.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style>
  <w:style w:type="paragraph" w:styleId="Text">
    <w:name w:val="Text"/>
    <w:next w:val="Text"/>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basedOn w:val="page number"/>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Hyperlink"/>
    <w:next w:val="Hyperlink.0"/>
    <w:rPr>
      <w:color w:val="0563c1"/>
      <w:u w:val="single" w:color="0563c1"/>
    </w:rPr>
  </w:style>
  <w:style w:type="character" w:styleId="Hyperlink.1">
    <w:name w:val="Hyperlink.1"/>
    <w:basedOn w:val="Hyperlink.0"/>
    <w:next w:val="Hyperlink.1"/>
    <w:rPr>
      <w:sz w:val="20"/>
      <w:szCs w:val="20"/>
    </w:rPr>
  </w:style>
  <w:style w:type="character" w:styleId="Hyperlink.2">
    <w:name w:val="Hyperlink.2"/>
    <w:basedOn w:val="Hyperlink.0"/>
    <w:next w:val="Hyperlink.2"/>
    <w:rPr>
      <w:lang w:val="en-US"/>
    </w:rPr>
  </w:style>
  <w:style w:type="character" w:styleId="Hyperlink.3">
    <w:name w:val="Hyperlink.3"/>
    <w:basedOn w:val="Hyperlink.0"/>
    <w:next w:val="Hyperlink.3"/>
    <w:rPr>
      <w:rFonts w:ascii="IFAO-Grec Unicode" w:cs="IFAO-Grec Unicode" w:hAnsi="IFAO-Grec Unicode" w:eastAsia="IFAO-Grec Unicode"/>
    </w:rPr>
  </w:style>
  <w:style w:type="character" w:styleId="Hyperlink.4">
    <w:name w:val="Hyperlink.4"/>
    <w:basedOn w:val="Hyperlink.0"/>
    <w:next w:val="Hyperlink.4"/>
    <w:rPr>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