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hAnsi="IFAO-Grec Unicode"/>
          <w:sz w:val="24"/>
          <w:szCs w:val="24"/>
          <w:u w:color="000000"/>
          <w:rtl w:val="0"/>
          <w:lang w:val="de-DE"/>
        </w:rPr>
        <w:t>#articleTitle</w:t>
      </w:r>
    </w:p>
    <w:p>
      <w:pPr>
        <w:pStyle w:val="Normal.0"/>
      </w:pPr>
      <w:r>
        <w:rPr>
          <w:rtl w:val="0"/>
        </w:rPr>
        <w:t xml:space="preserve">Στοιχεῖα </w:t>
      </w:r>
      <w:r>
        <w:rPr>
          <w:rtl w:val="0"/>
        </w:rPr>
        <w:t xml:space="preserve">e dio in </w:t>
      </w:r>
      <w:r>
        <w:rPr>
          <w:rStyle w:val="page number"/>
          <w:rtl w:val="0"/>
          <w:lang w:val="it-IT"/>
        </w:rPr>
        <w:t>P.Herc</w:t>
      </w:r>
      <w:r>
        <w:rPr>
          <w:rtl w:val="0"/>
        </w:rPr>
        <w:t xml:space="preserve">. 1670, fr. 27.2 (Filodemo, </w:t>
      </w:r>
      <w:r>
        <w:rPr>
          <w:rStyle w:val="page number"/>
          <w:rtl w:val="0"/>
          <w:lang w:val="it-IT"/>
        </w:rPr>
        <w:t>De providentia</w:t>
      </w:r>
      <w:r>
        <w:rPr>
          <w:rtl w:val="0"/>
        </w:rPr>
        <w:t>)</w:t>
      </w:r>
    </w:p>
    <w:p>
      <w:pPr>
        <w:pStyle w:val="Normal.0"/>
      </w:pPr>
    </w:p>
    <w:p>
      <w:pPr>
        <w:pStyle w:val="Text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#author</w:t>
      </w:r>
    </w:p>
    <w:p>
      <w:pPr>
        <w:pStyle w:val="Normal.0"/>
      </w:pPr>
      <w:r>
        <w:rPr>
          <w:rtl w:val="0"/>
        </w:rPr>
        <w:t>Vergara</w:t>
      </w:r>
      <w:r>
        <w:rPr>
          <w:rtl w:val="0"/>
          <w:lang w:val="de-DE"/>
        </w:rPr>
        <w:t xml:space="preserve">, </w:t>
      </w:r>
      <w:r>
        <w:rPr>
          <w:rtl w:val="0"/>
        </w:rPr>
        <w:t>Claudio</w:t>
      </w:r>
    </w:p>
    <w:p>
      <w:pPr>
        <w:pStyle w:val="Normal.0"/>
      </w:pPr>
    </w:p>
    <w:p>
      <w:pPr>
        <w:pStyle w:val="Text"/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#affiliation</w:t>
      </w:r>
    </w:p>
    <w:p>
      <w:pPr>
        <w:pStyle w:val="Text"/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Universit</w:t>
      </w:r>
      <w:r>
        <w:rPr>
          <w:rStyle w:val="page number"/>
          <w:rFonts w:ascii="IFAO-Grec Unicode" w:cs="Calibri" w:hAnsi="IFAO-Grec Unicode" w:eastAsia="Calibri" w:hint="default"/>
          <w:sz w:val="24"/>
          <w:szCs w:val="24"/>
          <w:u w:color="000000"/>
          <w:rtl w:val="0"/>
          <w:lang w:val="de-DE"/>
        </w:rPr>
        <w:t xml:space="preserve">à 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Ca'Foscari</w:t>
      </w: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#email</w:t>
      </w:r>
    </w:p>
    <w:p>
      <w:pPr>
        <w:pStyle w:val="Text"/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holger.essler@uni-wuerzburg.de</w:t>
      </w:r>
    </w:p>
    <w:p>
      <w:pPr>
        <w:pStyle w:val="Text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acknowledgement</w:t>
      </w:r>
    </w:p>
    <w:p>
      <w:pPr>
        <w:pStyle w:val="footnote text"/>
        <w:jc w:val="both"/>
      </w:pPr>
      <w:r>
        <w:rPr>
          <w:rtl w:val="0"/>
          <w:lang w:val="it-IT"/>
        </w:rPr>
        <w:t>Ringrazio per i preziosi suggerimenti Holger Essler, Giuliana Leone, Francesca Longo Auricchio, Federica Nicolardi. Naturalmente rimango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unico responsabile di eventuali errori.</w:t>
      </w:r>
    </w:p>
    <w:p>
      <w:pPr>
        <w:pStyle w:val="Normal.0"/>
      </w:pP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La maggior parte dei resti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opera di Filodemo nota come </w:t>
      </w:r>
      <w:r>
        <w:rPr>
          <w:rStyle w:val="page number"/>
          <w:rtl w:val="0"/>
          <w:lang w:val="it-IT"/>
        </w:rPr>
        <w:t xml:space="preserve">De providentia </w:t>
      </w:r>
      <w:r>
        <w:rPr>
          <w:rtl w:val="0"/>
          <w:lang w:val="it-IT"/>
        </w:rPr>
        <w:t>ha restituito tracce di una polemica epicurea su vari aspetti di cosmologia e di teologia. Nondimeno in alcuni punti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atteggiamento polemico sembra lasciare spazio a esposizioni di dottrina epicurea, con cui probabilmente Filodemo motivava le proprie risposte alle posizioni degli avversari.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Il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>1670</w:t>
      </w:r>
      <w:r>
        <w:rPr>
          <w:rStyle w:val="footnote reference"/>
        </w:rPr>
        <w:footnoteReference w:id="1"/>
      </w:r>
      <w:r>
        <w:rPr>
          <w:rtl w:val="0"/>
          <w:lang w:val="it-IT"/>
        </w:rPr>
        <w:t>, che conserva le parti finali del trattato</w:t>
      </w:r>
      <w:r>
        <w:rPr>
          <w:rStyle w:val="footnote reference"/>
        </w:rPr>
        <w:footnoteReference w:id="2"/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noto soprattutto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ci ha restituito una critica di Filodemo agli Stoici sulla teoria della provvidenza, in particolare sulla sua inconciliabilit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esistenza del male. Questa sezione polemica occupa le ultime e meglio conservate colonne del papiro (frr. 1-18*; la numerazione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 Bassi). Le colonne precedenti (frr. 19-30*)</w:t>
      </w:r>
      <w:r>
        <w:rPr>
          <w:rStyle w:val="footnote reference"/>
        </w:rPr>
        <w:footnoteReference w:id="3"/>
      </w:r>
      <w:r>
        <w:rPr>
          <w:rtl w:val="0"/>
          <w:lang w:val="it-IT"/>
        </w:rPr>
        <w:t xml:space="preserve"> sono invece molto lacunose, ma il testo superstite lascia pensare che trattassero della costituzione fisica del cosmo: si possono leggere interessanti accenni a questioni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specifiche, quali il movimento degli elementi e la formazione dei corpi celesti, ma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sempre possibile comprenderne il contesto n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stabilire se il punto di vista esposto sia quello epicureo oppure quello degli avversari oggetto della polemica</w:t>
      </w:r>
      <w:r>
        <w:rPr>
          <w:rStyle w:val="footnote reference"/>
        </w:rPr>
        <w:footnoteReference w:id="4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In alcuni casi il riesame del papiro permette di fare significativi passi in avanti nella comprensione di queste difficili colonne. Un esempio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rappresentato dalla ricognizione che ho condotto sul fr. 27.2</w:t>
      </w:r>
      <w:r>
        <w:rPr>
          <w:rStyle w:val="footnote reference"/>
        </w:rPr>
        <w:footnoteReference w:id="5"/>
      </w:r>
      <w:r>
        <w:rPr>
          <w:rtl w:val="0"/>
          <w:lang w:val="it-IT"/>
        </w:rPr>
        <w:t>, di cui presento qui una nuova edizione.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Della colonna sono superstiti soltanto le prime dodici linee a partire dal margine superiore e in ciascuna di esse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inchiostro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quasi del tutto evanido.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inaffidabilit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disegno realizzato da Mario Arman nel 1911 rappresenta bene il precario stato del papiro in questo punto e Ferrario, che ha curato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ultima edizione del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 xml:space="preserve">1670 nel 1972, poteva pubblicare soltanto quattro linee con i mezzi allora a disposizione (l. 3 </w:t>
      </w:r>
      <w:r>
        <w:rPr>
          <w:rtl w:val="0"/>
          <w:lang w:val="it-IT"/>
        </w:rPr>
        <w:t>κινε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ῖν ἅπαντος̣ ἁπλῶς</w:t>
      </w:r>
      <w:r>
        <w:rPr>
          <w:rtl w:val="0"/>
          <w:lang w:val="it-IT"/>
        </w:rPr>
        <w:t>; l. 4 ]</w:t>
      </w:r>
      <w:r>
        <w:rPr>
          <w:rtl w:val="0"/>
          <w:lang w:val="it-IT"/>
        </w:rPr>
        <w:t xml:space="preserve">ων καὶ τῶν </w:t>
      </w:r>
      <w:r>
        <w:rPr>
          <w:rtl w:val="0"/>
          <w:lang w:val="it-IT"/>
        </w:rPr>
        <w:t xml:space="preserve">[; l. 5 ] </w:t>
      </w:r>
      <w:r>
        <w:rPr>
          <w:rtl w:val="0"/>
          <w:lang w:val="it-IT"/>
        </w:rPr>
        <w:t>ἐπιτηδε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ων εἰς </w:t>
      </w:r>
      <w:r>
        <w:rPr>
          <w:rtl w:val="0"/>
          <w:lang w:val="it-IT"/>
        </w:rPr>
        <w:t xml:space="preserve">[; l. 6 ] </w:t>
      </w:r>
      <w:r>
        <w:rPr>
          <w:rtl w:val="0"/>
          <w:lang w:val="it-IT"/>
        </w:rPr>
        <w:t>ἄλλ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σ̣υντ̣ε̣λεῖ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6"/>
      </w:r>
      <w:r>
        <w:rPr>
          <w:rtl w:val="0"/>
          <w:lang w:val="it-IT"/>
        </w:rPr>
        <w:t>. Sul contenuto la studiosa si limitava 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 constatare che probabilmente la discussione vertesse sulla formazione dei corpi, osservando che mancavano elementi sufficienti per ricavare ulteriori dati e per chiarire se le posizioni riportate fossero epicuree oppure stoiche</w:t>
      </w:r>
      <w:r>
        <w:rPr>
          <w:rStyle w:val="footnote reference"/>
        </w:rPr>
        <w:footnoteReference w:id="7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La rinnovata analisi della colonna sul fondamento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autopsia del papiro, ma soprattutto delle immagini multispettrali, che consentono di leggere molto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quanto non si riesca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col microscopio, mi ha permesso di recuperare per buona parte il testo superstite, la parte finale di un periodo (ll. 3-9) 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inizio di quello successivo (ll. 9 ss.)</w:t>
      </w:r>
      <w:r>
        <w:rPr>
          <w:rStyle w:val="footnote reference"/>
        </w:rPr>
        <w:footnoteReference w:id="8"/>
      </w:r>
      <w:r>
        <w:rPr>
          <w:rtl w:val="0"/>
          <w:lang w:val="it-IT"/>
        </w:rPr>
        <w:t xml:space="preserve">. Le nuove letture apportano un buon avanzamento nella comprensione del contenuto: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non solo confermare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ipotesi di Ferrario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ambito generale,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costituzione dei corpi, ma anche andare un po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 xml:space="preserve">oltre e collegare il passo alla dottrina atomistica epicurea, individuando in particolare una discussione a proposito di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eterni.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Riporto di seguito il testo da me riletto, seguito dal commento, che metter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 luce la somiglianza del vocabolario qui adoperato con quello di altri testi epicurei di ambito fisico-cosmologico e richiamer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alcuni passi dalle opere teologiche di Filodemo che, a mio avviso, possono essere utili per contestualizzare il lessico, soprattutto nelle ll. 8 s., in cui leggiamo un riferimento agli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 xml:space="preserve">di cui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costituito il dio.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#editionDCLP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#metadata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Located: Place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Hermopolis (?)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Material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filename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left"/>
            </w:pPr>
            <w:r>
              <w:rPr>
                <w:rFonts w:ascii="Helvetica" w:hAnsi="Helvetica"/>
                <w:rtl w:val="0"/>
              </w:rPr>
              <w:t>62498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dclp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left"/>
            </w:pPr>
            <w:r>
              <w:rPr>
                <w:rFonts w:ascii="Helvetica" w:hAnsi="Helvetica"/>
                <w:rtl w:val="0"/>
              </w:rPr>
              <w:t>62498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dclp-hybrid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pylon;1;7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Descriptive title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</w:rPr>
              <w:t xml:space="preserve">Filodemo, </w:t>
            </w:r>
            <w:r>
              <w:rPr>
                <w:rStyle w:val="page number"/>
                <w:rtl w:val="0"/>
                <w:lang w:val="it-IT"/>
              </w:rPr>
              <w:t>De providentia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 of text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v. Chr.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Inventory no.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P.Herc. 1670 fr. 27</w:t>
            </w:r>
          </w:p>
        </w:tc>
      </w:tr>
    </w:tbl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</w:p>
    <w:p>
      <w:pPr>
        <w:pStyle w:val="Normal.0"/>
        <w:spacing w:line="276" w:lineRule="auto"/>
        <w:jc w:val="both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Calibri" w:cs="Calibri" w:hAnsi="Calibri" w:eastAsia="Calibri"/>
          <w:sz w:val="22"/>
          <w:szCs w:val="22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text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>&lt;S=.grc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&lt;= 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1. [ca.5].1 </w:t>
      </w:r>
      <w:r>
        <w:rPr>
          <w:rStyle w:val="page number"/>
          <w:sz w:val="22"/>
          <w:szCs w:val="22"/>
          <w:rtl w:val="0"/>
          <w:lang w:val="it-IT"/>
        </w:rPr>
        <w:t>κα</w:t>
      </w:r>
      <w:r>
        <w:rPr>
          <w:rStyle w:val="page number"/>
          <w:sz w:val="22"/>
          <w:szCs w:val="22"/>
          <w:rtl w:val="0"/>
          <w:lang w:val="it-IT"/>
        </w:rPr>
        <w:t>[.1]</w:t>
      </w:r>
      <w:r>
        <w:rPr>
          <w:rStyle w:val="page number"/>
          <w:sz w:val="22"/>
          <w:szCs w:val="22"/>
          <w:rtl w:val="0"/>
          <w:lang w:val="it-IT"/>
        </w:rPr>
        <w:t>ταβ</w:t>
      </w:r>
      <w:r>
        <w:rPr>
          <w:rStyle w:val="page number"/>
          <w:sz w:val="22"/>
          <w:szCs w:val="22"/>
          <w:rtl w:val="0"/>
          <w:lang w:val="it-IT"/>
        </w:rPr>
        <w:t>.3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2. [ca.5].5</w:t>
      </w:r>
      <w:r>
        <w:rPr>
          <w:rStyle w:val="page number"/>
          <w:sz w:val="22"/>
          <w:szCs w:val="22"/>
          <w:rtl w:val="0"/>
          <w:lang w:val="it-IT"/>
        </w:rPr>
        <w:t>μ̣ε̣θα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3. [</w:t>
      </w:r>
      <w:r>
        <w:rPr>
          <w:rStyle w:val="page number"/>
          <w:sz w:val="22"/>
          <w:szCs w:val="22"/>
          <w:rtl w:val="0"/>
          <w:lang w:val="it-IT"/>
        </w:rPr>
        <w:t>τ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>ῶ̣ν ἅ̣παντος ἁπλῶς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4. [</w:t>
      </w:r>
      <w:r>
        <w:rPr>
          <w:rStyle w:val="page number"/>
          <w:sz w:val="22"/>
          <w:szCs w:val="22"/>
          <w:rtl w:val="0"/>
          <w:lang w:val="it-IT"/>
        </w:rPr>
        <w:t>σ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>τ̣ο̣ι̣χε̣ίων καὶ τῶν ἄλ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5.- </w:t>
      </w:r>
      <w:r>
        <w:rPr>
          <w:rStyle w:val="page number"/>
          <w:sz w:val="22"/>
          <w:szCs w:val="22"/>
          <w:rtl w:val="0"/>
          <w:lang w:val="it-IT"/>
        </w:rPr>
        <w:t>λ̣ω̣</w:t>
      </w:r>
      <w:r>
        <w:rPr>
          <w:rStyle w:val="page number"/>
          <w:sz w:val="22"/>
          <w:szCs w:val="22"/>
          <w:rtl w:val="0"/>
          <w:lang w:val="it-IT"/>
        </w:rPr>
        <w:t>[</w:t>
      </w:r>
      <w:r>
        <w:rPr>
          <w:rStyle w:val="page number"/>
          <w:sz w:val="22"/>
          <w:szCs w:val="22"/>
          <w:rtl w:val="0"/>
          <w:lang w:val="it-IT"/>
        </w:rPr>
        <w:t>ν</w:t>
      </w:r>
      <w:r>
        <w:rPr>
          <w:rStyle w:val="page number"/>
          <w:sz w:val="22"/>
          <w:szCs w:val="22"/>
          <w:rtl w:val="0"/>
          <w:lang w:val="it-IT"/>
        </w:rPr>
        <w:t xml:space="preserve">] </w:t>
      </w:r>
      <w:r>
        <w:rPr>
          <w:rStyle w:val="page number"/>
          <w:sz w:val="22"/>
          <w:szCs w:val="22"/>
          <w:rtl w:val="0"/>
          <w:lang w:val="it-IT"/>
        </w:rPr>
        <w:t>ἐπιτηδεί̣ων εἰς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6. [</w:t>
      </w:r>
      <w:r>
        <w:rPr>
          <w:rStyle w:val="page number"/>
          <w:sz w:val="22"/>
          <w:szCs w:val="22"/>
          <w:rtl w:val="0"/>
          <w:lang w:val="it-IT"/>
        </w:rPr>
        <w:t>τὸ</w:t>
      </w:r>
      <w:r>
        <w:rPr>
          <w:rStyle w:val="page number"/>
          <w:sz w:val="22"/>
          <w:szCs w:val="22"/>
          <w:rtl w:val="0"/>
          <w:lang w:val="it-IT"/>
        </w:rPr>
        <w:t>].3</w:t>
      </w:r>
      <w:r>
        <w:rPr>
          <w:rStyle w:val="page number"/>
          <w:sz w:val="22"/>
          <w:szCs w:val="22"/>
          <w:rtl w:val="0"/>
          <w:lang w:val="it-IT"/>
        </w:rPr>
        <w:t>λ̣</w:t>
      </w:r>
      <w:r>
        <w:rPr>
          <w:rStyle w:val="page number"/>
          <w:sz w:val="22"/>
          <w:szCs w:val="22"/>
          <w:rtl w:val="0"/>
          <w:lang w:val="it-IT"/>
        </w:rPr>
        <w:t xml:space="preserve">[.1].1[.1] </w:t>
      </w:r>
      <w:r>
        <w:rPr>
          <w:rStyle w:val="page number"/>
          <w:sz w:val="22"/>
          <w:szCs w:val="22"/>
          <w:rtl w:val="0"/>
          <w:lang w:val="it-IT"/>
        </w:rPr>
        <w:t>συντελεῖ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7.- [</w:t>
      </w:r>
      <w:r>
        <w:rPr>
          <w:rStyle w:val="page number"/>
          <w:sz w:val="22"/>
          <w:szCs w:val="22"/>
          <w:rtl w:val="0"/>
          <w:lang w:val="it-IT"/>
        </w:rPr>
        <w:t>σθαι</w:t>
      </w:r>
      <w:r>
        <w:rPr>
          <w:rStyle w:val="page number"/>
          <w:sz w:val="22"/>
          <w:szCs w:val="22"/>
          <w:rtl w:val="0"/>
          <w:lang w:val="it-IT"/>
        </w:rPr>
        <w:t xml:space="preserve">] </w:t>
      </w:r>
      <w:r>
        <w:rPr>
          <w:rStyle w:val="page number"/>
          <w:sz w:val="22"/>
          <w:szCs w:val="22"/>
          <w:rtl w:val="0"/>
          <w:lang w:val="it-IT"/>
        </w:rPr>
        <w:t>δ̣ι̣αιων</w:t>
      </w:r>
      <w:r>
        <w:rPr>
          <w:rStyle w:val="page number"/>
          <w:sz w:val="22"/>
          <w:szCs w:val="22"/>
          <w:rtl w:val="0"/>
          <w:lang w:val="it-IT"/>
        </w:rPr>
        <w:t>[</w:t>
      </w:r>
      <w:r>
        <w:rPr>
          <w:rStyle w:val="page number"/>
          <w:sz w:val="22"/>
          <w:szCs w:val="22"/>
          <w:rtl w:val="0"/>
          <w:lang w:val="it-IT"/>
        </w:rPr>
        <w:t>ίω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>ς ὄντων</w:t>
      </w:r>
      <w:r>
        <w:rPr>
          <w:rStyle w:val="page number"/>
          <w:sz w:val="22"/>
          <w:szCs w:val="22"/>
          <w:rtl w:val="0"/>
          <w:lang w:val="it-IT"/>
        </w:rPr>
        <w:t>,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8. [</w:t>
      </w:r>
      <w:r>
        <w:rPr>
          <w:rStyle w:val="page number"/>
          <w:sz w:val="22"/>
          <w:szCs w:val="22"/>
          <w:rtl w:val="0"/>
          <w:lang w:val="it-IT"/>
        </w:rPr>
        <w:t>ὥσ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 xml:space="preserve">π̣ερ καὶ </w:t>
      </w:r>
      <w:r>
        <w:rPr>
          <w:rStyle w:val="page number"/>
          <w:sz w:val="22"/>
          <w:szCs w:val="22"/>
          <w:rtl w:val="0"/>
          <w:lang w:val="it-IT"/>
        </w:rPr>
        <w:t>[</w:t>
      </w:r>
      <w:r>
        <w:rPr>
          <w:rStyle w:val="page number"/>
          <w:sz w:val="22"/>
          <w:szCs w:val="22"/>
          <w:rtl w:val="0"/>
          <w:lang w:val="it-IT"/>
        </w:rPr>
        <w:t>τῶ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>ν̣ τοῦ θε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9.- [</w:t>
      </w:r>
      <w:r>
        <w:rPr>
          <w:rStyle w:val="page number"/>
          <w:sz w:val="22"/>
          <w:szCs w:val="22"/>
          <w:rtl w:val="0"/>
          <w:lang w:val="it-IT"/>
        </w:rPr>
        <w:t>οῦ</w:t>
      </w:r>
      <w:r>
        <w:rPr>
          <w:rStyle w:val="page number"/>
          <w:sz w:val="22"/>
          <w:szCs w:val="22"/>
          <w:rtl w:val="0"/>
          <w:lang w:val="it-IT"/>
        </w:rPr>
        <w:t xml:space="preserve">. ] </w:t>
      </w:r>
      <w:r>
        <w:rPr>
          <w:rStyle w:val="page number"/>
          <w:sz w:val="22"/>
          <w:szCs w:val="22"/>
          <w:rtl w:val="0"/>
          <w:lang w:val="it-IT"/>
        </w:rPr>
        <w:t>προσέτ̣</w:t>
      </w:r>
      <w:r>
        <w:rPr>
          <w:rStyle w:val="page number"/>
          <w:sz w:val="22"/>
          <w:szCs w:val="22"/>
          <w:rtl w:val="0"/>
          <w:lang w:val="it-IT"/>
        </w:rPr>
        <w:t>[</w:t>
      </w:r>
      <w:r>
        <w:rPr>
          <w:rStyle w:val="page number"/>
          <w:sz w:val="22"/>
          <w:szCs w:val="22"/>
          <w:rtl w:val="0"/>
          <w:lang w:val="it-IT"/>
        </w:rPr>
        <w:t>ι</w:t>
      </w:r>
      <w:r>
        <w:rPr>
          <w:rStyle w:val="page number"/>
          <w:sz w:val="22"/>
          <w:szCs w:val="22"/>
          <w:rtl w:val="0"/>
          <w:lang w:val="it-IT"/>
        </w:rPr>
        <w:t xml:space="preserve">] </w:t>
      </w:r>
      <w:r>
        <w:rPr>
          <w:rStyle w:val="page number"/>
          <w:sz w:val="22"/>
          <w:szCs w:val="22"/>
          <w:rtl w:val="0"/>
          <w:lang w:val="it-IT"/>
        </w:rPr>
        <w:t>δ̣ὲ̣ τὸ νο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10.- [</w:t>
      </w:r>
      <w:r>
        <w:rPr>
          <w:rStyle w:val="page number"/>
          <w:sz w:val="22"/>
          <w:szCs w:val="22"/>
          <w:rtl w:val="0"/>
          <w:lang w:val="it-IT"/>
        </w:rPr>
        <w:t>εῖν</w:t>
      </w:r>
      <w:r>
        <w:rPr>
          <w:rStyle w:val="page number"/>
          <w:sz w:val="22"/>
          <w:szCs w:val="22"/>
          <w:rtl w:val="0"/>
          <w:lang w:val="it-IT"/>
        </w:rPr>
        <w:t xml:space="preserve">] </w:t>
      </w:r>
      <w:r>
        <w:rPr>
          <w:rStyle w:val="page number"/>
          <w:sz w:val="22"/>
          <w:szCs w:val="22"/>
          <w:rtl w:val="0"/>
          <w:lang w:val="it-IT"/>
        </w:rPr>
        <w:t>κ̣ινητὰ̣ σ̣τ̣ο̣ιχ̣εῖ̣α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11. &lt;:[.2].1</w:t>
      </w:r>
      <w:r>
        <w:rPr>
          <w:rStyle w:val="page number"/>
          <w:sz w:val="22"/>
          <w:szCs w:val="22"/>
          <w:rtl w:val="0"/>
          <w:lang w:val="it-IT"/>
        </w:rPr>
        <w:t>νῆσαι</w:t>
      </w:r>
      <w:r>
        <w:rPr>
          <w:rStyle w:val="page number"/>
          <w:sz w:val="22"/>
          <w:szCs w:val="22"/>
          <w:rtl w:val="0"/>
          <w:lang w:val="it-IT"/>
        </w:rPr>
        <w:t>|alt|[</w:t>
      </w:r>
      <w:r>
        <w:rPr>
          <w:rStyle w:val="page number"/>
          <w:sz w:val="22"/>
          <w:szCs w:val="22"/>
          <w:rtl w:val="0"/>
          <w:lang w:val="it-IT"/>
        </w:rPr>
        <w:t>γε</w:t>
      </w:r>
      <w:r>
        <w:rPr>
          <w:rStyle w:val="page number"/>
          <w:sz w:val="22"/>
          <w:szCs w:val="22"/>
          <w:rtl w:val="0"/>
          <w:lang w:val="it-IT"/>
        </w:rPr>
        <w:t>]</w:t>
      </w:r>
      <w:r>
        <w:rPr>
          <w:rStyle w:val="page number"/>
          <w:sz w:val="22"/>
          <w:szCs w:val="22"/>
          <w:rtl w:val="0"/>
          <w:lang w:val="it-IT"/>
        </w:rPr>
        <w:t>ν̣νῆσαι</w:t>
      </w:r>
      <w:r>
        <w:rPr>
          <w:rStyle w:val="page number"/>
          <w:sz w:val="22"/>
          <w:szCs w:val="22"/>
          <w:rtl w:val="0"/>
          <w:lang w:val="it-IT"/>
        </w:rPr>
        <w:t xml:space="preserve">:&gt; </w:t>
      </w:r>
      <w:r>
        <w:rPr>
          <w:rStyle w:val="page number"/>
          <w:sz w:val="22"/>
          <w:szCs w:val="22"/>
          <w:rtl w:val="0"/>
          <w:lang w:val="it-IT"/>
        </w:rPr>
        <w:t>ποτ̣</w:t>
      </w:r>
      <w:r>
        <w:rPr>
          <w:rStyle w:val="page number"/>
          <w:sz w:val="22"/>
          <w:szCs w:val="22"/>
          <w:rtl w:val="0"/>
          <w:lang w:val="it-IT"/>
        </w:rPr>
        <w:t>*apostrophe*</w:t>
      </w:r>
      <w:r>
        <w:rPr>
          <w:rStyle w:val="page number"/>
          <w:sz w:val="22"/>
          <w:szCs w:val="22"/>
          <w:rtl w:val="0"/>
          <w:lang w:val="it-IT"/>
        </w:rPr>
        <w:t>α</w:t>
      </w:r>
      <w:r>
        <w:rPr>
          <w:rStyle w:val="page number"/>
          <w:sz w:val="22"/>
          <w:szCs w:val="22"/>
          <w:rtl w:val="0"/>
          <w:lang w:val="it-IT"/>
        </w:rPr>
        <w:t>.3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12. [ca.5].1</w:t>
      </w:r>
      <w:r>
        <w:rPr>
          <w:rStyle w:val="page number"/>
          <w:sz w:val="22"/>
          <w:szCs w:val="22"/>
          <w:rtl w:val="0"/>
          <w:lang w:val="it-IT"/>
        </w:rPr>
        <w:t>ενος η</w:t>
      </w:r>
      <w:r>
        <w:rPr>
          <w:rStyle w:val="page number"/>
          <w:sz w:val="22"/>
          <w:szCs w:val="22"/>
          <w:rtl w:val="0"/>
          <w:lang w:val="it-IT"/>
        </w:rPr>
        <w:t>.1[.2]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 xml:space="preserve">    12. lost.?lin 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it-IT"/>
        </w:rPr>
        <w:t>=&gt;</w:t>
      </w:r>
    </w:p>
    <w:p>
      <w:pPr>
        <w:pStyle w:val="Normal.0"/>
        <w:spacing w:line="276" w:lineRule="auto"/>
        <w:rPr>
          <w:rStyle w:val="page number"/>
          <w:sz w:val="22"/>
          <w:szCs w:val="22"/>
        </w:rPr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translation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&lt;T=.it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&lt;=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   ((1)) </w:t>
      </w:r>
      <w:r>
        <w:rPr>
          <w:rtl w:val="0"/>
          <w:lang w:val="it-IT"/>
        </w:rPr>
        <w:t xml:space="preserve">… </w:t>
      </w:r>
      <w:r>
        <w:rPr>
          <w:rtl w:val="0"/>
          <w:lang w:val="it-IT"/>
        </w:rPr>
        <w:t xml:space="preserve">degli elementi di ogni cosa in generale e degli altri (elementi) adatti a che si realizzi </w:t>
      </w:r>
      <w:r>
        <w:rPr>
          <w:rtl w:val="0"/>
          <w:lang w:val="it-IT"/>
        </w:rPr>
        <w:t xml:space="preserve">… </w:t>
      </w:r>
      <w:r>
        <w:rPr>
          <w:rtl w:val="0"/>
          <w:lang w:val="it-IT"/>
        </w:rPr>
        <w:t xml:space="preserve">, dal momento che sono in eterno, come anche quelli del dio. Inoltre il concepire che elementi mobili in qualche tempo </w:t>
      </w:r>
      <w:r>
        <w:rPr>
          <w:rtl w:val="0"/>
          <w:lang w:val="it-IT"/>
        </w:rPr>
        <w:t>…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   =&gt;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=T&gt;</w:t>
      </w:r>
    </w:p>
    <w:p>
      <w:pPr>
        <w:pStyle w:val="Normal.0"/>
        <w:tabs>
          <w:tab w:val="left" w:pos="426"/>
        </w:tabs>
        <w:spacing w:line="276" w:lineRule="auto"/>
        <w:jc w:val="both"/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commentary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1.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chiaro se dopo la sequenza </w:t>
      </w:r>
      <w:r>
        <w:rPr>
          <w:rtl w:val="0"/>
          <w:lang w:val="it-IT"/>
        </w:rPr>
        <w:t xml:space="preserve">κα </w:t>
      </w:r>
      <w:r>
        <w:rPr>
          <w:rtl w:val="0"/>
          <w:lang w:val="it-IT"/>
        </w:rPr>
        <w:t>ci sia lacuna o se i due lembi di papiro debbano essere accostati in prossimit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della frattura. Nel primo caso,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ampiezza della lacuna permetterebbe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integrazione solo di </w:t>
      </w:r>
      <w:r>
        <w:rPr>
          <w:rtl w:val="0"/>
          <w:lang w:val="it-IT"/>
        </w:rPr>
        <w:t>κα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</w:t>
      </w:r>
      <w:r>
        <w:rPr>
          <w:rtl w:val="0"/>
          <w:lang w:val="it-IT"/>
        </w:rPr>
        <w:t xml:space="preserve">, mentre, nel secondo, dovremmo leggere </w:t>
      </w:r>
      <w:r>
        <w:rPr>
          <w:rtl w:val="0"/>
          <w:lang w:val="it-IT"/>
        </w:rPr>
        <w:t>κατα</w:t>
      </w:r>
      <w:r>
        <w:rPr>
          <w:rtl w:val="0"/>
          <w:lang w:val="it-IT"/>
        </w:rPr>
        <w:t>.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>2.</w:t>
      </w:r>
      <w:r>
        <w:rPr>
          <w:rtl w:val="0"/>
          <w:lang w:val="it-IT"/>
        </w:rPr>
        <w:t xml:space="preserve"> È </w:t>
      </w:r>
      <w:r>
        <w:rPr>
          <w:rtl w:val="0"/>
          <w:lang w:val="it-IT"/>
        </w:rPr>
        <w:t>possibile che alla fine della linea vi fosse un verbo alla prima persona plurale, che probabilmente introduceva il punto di vista epicureo esposto subito dopo.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3. </w:t>
      </w:r>
      <w:r>
        <w:rPr>
          <w:rtl w:val="0"/>
          <w:lang w:val="it-IT"/>
        </w:rPr>
        <w:t xml:space="preserve">Il nesso costituito da </w:t>
      </w:r>
      <w:r>
        <w:rPr>
          <w:rtl w:val="0"/>
          <w:lang w:val="it-IT"/>
        </w:rPr>
        <w:t xml:space="preserve">πᾶς 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ἅπας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 xml:space="preserve">ἁπλῶς è </w:t>
      </w:r>
      <w:r>
        <w:rPr>
          <w:rtl w:val="0"/>
          <w:lang w:val="it-IT"/>
        </w:rPr>
        <w:t>ben attestato in Filodemo</w:t>
      </w:r>
      <w:r>
        <w:rPr>
          <w:rStyle w:val="footnote reference"/>
        </w:rPr>
        <w:footnoteReference w:id="9"/>
      </w:r>
      <w:r>
        <w:rPr>
          <w:rtl w:val="0"/>
          <w:lang w:val="it-IT"/>
        </w:rPr>
        <w:t xml:space="preserve">, di solito finalizzato a generalizzare un concetto, con </w:t>
      </w:r>
      <w:r>
        <w:rPr>
          <w:rtl w:val="0"/>
          <w:lang w:val="it-IT"/>
        </w:rPr>
        <w:t xml:space="preserve">ἁπλῶς </w:t>
      </w:r>
      <w:r>
        <w:rPr>
          <w:rtl w:val="0"/>
          <w:lang w:val="it-IT"/>
        </w:rPr>
        <w:t xml:space="preserve">nel senso di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>in generale</w:t>
      </w:r>
      <w:r>
        <w:rPr>
          <w:rtl w:val="0"/>
          <w:lang w:val="it-IT"/>
        </w:rPr>
        <w:t>»</w:t>
      </w:r>
      <w:r>
        <w:rPr>
          <w:rStyle w:val="footnote reference"/>
        </w:rPr>
        <w:footnoteReference w:id="10"/>
      </w:r>
      <w:r>
        <w:rPr>
          <w:rtl w:val="0"/>
          <w:lang w:val="it-IT"/>
        </w:rPr>
        <w:t xml:space="preserve">. 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4. </w:t>
      </w:r>
      <w:r>
        <w:rPr>
          <w:rtl w:val="0"/>
          <w:lang w:val="it-IT"/>
        </w:rPr>
        <w:t>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inizio della linea il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mal conservato. Delle prime due lettere visibili, </w:t>
      </w:r>
      <w:r>
        <w:rPr>
          <w:rtl w:val="0"/>
          <w:lang w:val="it-IT"/>
        </w:rPr>
        <w:t xml:space="preserve">τ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>, restano soltanto tracce della met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superiore, mentre il resto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coperto da uno strato sovrapposto; del </w:t>
      </w:r>
      <w:r>
        <w:rPr>
          <w:rtl w:val="0"/>
          <w:lang w:val="it-IT"/>
        </w:rPr>
        <w:t xml:space="preserve">τ è </w:t>
      </w:r>
      <w:r>
        <w:rPr>
          <w:rtl w:val="0"/>
          <w:lang w:val="it-IT"/>
        </w:rPr>
        <w:t>visibile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destra della traversa e dell</w:t>
      </w:r>
      <w:r>
        <w:rPr>
          <w:rtl w:val="0"/>
          <w:lang w:val="it-IT"/>
        </w:rPr>
        <w:t xml:space="preserve">’ο </w:t>
      </w:r>
      <w:r>
        <w:rPr>
          <w:rtl w:val="0"/>
          <w:lang w:val="it-IT"/>
        </w:rPr>
        <w:t xml:space="preserve">una breve traccia curvilinea appartenente al tratto sinistro della lettera. Dello </w:t>
      </w:r>
      <w:r>
        <w:rPr>
          <w:rtl w:val="0"/>
          <w:lang w:val="it-IT"/>
        </w:rPr>
        <w:t xml:space="preserve">ι </w:t>
      </w:r>
      <w:r>
        <w:rPr>
          <w:rtl w:val="0"/>
          <w:lang w:val="it-IT"/>
        </w:rPr>
        <w:t>successivo si scorge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apice orizzontale che in questo rotolo ne adorna usualmente la base, a sinistra della verticale. Del </w:t>
      </w:r>
      <w:r>
        <w:rPr>
          <w:rtl w:val="0"/>
          <w:lang w:val="it-IT"/>
        </w:rPr>
        <w:t xml:space="preserve">χ </w:t>
      </w:r>
      <w:r>
        <w:rPr>
          <w:rtl w:val="0"/>
          <w:lang w:val="it-IT"/>
        </w:rPr>
        <w:t>si conservano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apice orizzontale a sinistra della prima obliqua in basso ed entrambe le oblique fin quasi al punto di convergenza. Infine dell</w:t>
      </w:r>
      <w:r>
        <w:rPr>
          <w:rtl w:val="0"/>
          <w:lang w:val="it-IT"/>
        </w:rPr>
        <w:t xml:space="preserve">’ε </w:t>
      </w:r>
      <w:r>
        <w:rPr>
          <w:rtl w:val="0"/>
          <w:lang w:val="it-IT"/>
        </w:rPr>
        <w:t>rimangono soltanto tracce della met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inferiore della curva 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tratto mediano.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La parola </w:t>
      </w:r>
      <w:r>
        <w:rPr>
          <w:rtl w:val="0"/>
          <w:lang w:val="it-IT"/>
        </w:rPr>
        <w:t>στοιχεῖον</w:t>
      </w:r>
      <w:r>
        <w:rPr>
          <w:rtl w:val="0"/>
          <w:lang w:val="it-IT"/>
        </w:rPr>
        <w:t>, in contesti di fisica e cosmologia, ha significati diversi a seconda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indirizzo filosofico a cui viene riferita; negli autori epicurei indica elementi costituenti della materia</w:t>
      </w:r>
      <w:r>
        <w:rPr>
          <w:rStyle w:val="footnote reference"/>
        </w:rPr>
        <w:footnoteReference w:id="11"/>
      </w:r>
      <w:r>
        <w:rPr>
          <w:rtl w:val="0"/>
          <w:lang w:val="it-IT"/>
        </w:rPr>
        <w:t xml:space="preserve">. </w:t>
      </w:r>
    </w:p>
    <w:p>
      <w:pPr>
        <w:pStyle w:val="Normal.0"/>
        <w:tabs>
          <w:tab w:val="left" w:pos="426"/>
        </w:tabs>
        <w:spacing w:line="276" w:lineRule="auto"/>
        <w:jc w:val="both"/>
      </w:pPr>
      <w:r>
        <w:rPr>
          <w:rStyle w:val="page number"/>
          <w:rtl w:val="0"/>
          <w:lang w:val="it-IT"/>
        </w:rPr>
        <w:t>5.</w:t>
      </w:r>
      <w:r>
        <w:rPr>
          <w:rtl w:val="0"/>
          <w:lang w:val="it-IT"/>
        </w:rPr>
        <w:t xml:space="preserve"> La presenza di </w:t>
      </w:r>
      <w:r>
        <w:rPr>
          <w:rtl w:val="0"/>
          <w:lang w:val="it-IT"/>
        </w:rPr>
        <w:t xml:space="preserve">ἐπιτήδειος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στοιχεῖα – </w:t>
      </w:r>
      <w:r>
        <w:rPr>
          <w:rtl w:val="0"/>
          <w:lang w:val="it-IT"/>
        </w:rPr>
        <w:t xml:space="preserve">evidentemente sottinteso in </w:t>
      </w:r>
      <w:r>
        <w:rPr>
          <w:rtl w:val="0"/>
          <w:lang w:val="it-IT"/>
        </w:rPr>
        <w:t>τῶν ἄλ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λ̣ω̣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ν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 xml:space="preserve">ἐπιτηδείων – </w:t>
      </w:r>
      <w:r>
        <w:rPr>
          <w:rtl w:val="0"/>
          <w:lang w:val="it-IT"/>
        </w:rPr>
        <w:t>sembra rientrare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tecnico che di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aggettivo viene fatto nei testi epicurei in cui si discute di teoria atomistica</w:t>
      </w:r>
      <w:r>
        <w:rPr>
          <w:rStyle w:val="footnote reference"/>
        </w:rPr>
        <w:footnoteReference w:id="12"/>
      </w:r>
      <w:r>
        <w:rPr>
          <w:rtl w:val="0"/>
          <w:lang w:val="it-IT"/>
        </w:rPr>
        <w:t>. Nell</w:t>
      </w:r>
      <w:r>
        <w:rPr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Epistola a Pitocle </w:t>
      </w:r>
      <w:r>
        <w:rPr>
          <w:rtl w:val="0"/>
          <w:lang w:val="it-IT"/>
        </w:rPr>
        <w:t xml:space="preserve">ci sono diversi casi in cui </w:t>
      </w:r>
      <w:r>
        <w:rPr>
          <w:rtl w:val="0"/>
          <w:lang w:val="it-IT"/>
        </w:rPr>
        <w:t xml:space="preserve">ἐπιτήδειος è </w:t>
      </w:r>
      <w:r>
        <w:rPr>
          <w:rtl w:val="0"/>
          <w:lang w:val="it-IT"/>
        </w:rPr>
        <w:t xml:space="preserve">utilizzato con termini indicanti i costituenti di un corpo, come </w:t>
      </w:r>
      <w:r>
        <w:rPr>
          <w:rtl w:val="0"/>
          <w:lang w:val="it-IT"/>
        </w:rPr>
        <w:t>ἄθροισμα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ἄτομος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σπέρμα</w:t>
      </w:r>
      <w:r>
        <w:rPr>
          <w:rtl w:val="0"/>
          <w:lang w:val="it-IT"/>
        </w:rPr>
        <w:t>. In ciascuno di questi casi serve a denotare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adeguatezza dei costituenti per realizzare un determinato tipo di corpo: ad esempio, alcuni sono tali da essere adatti o destinati alla formazione degli acquazzoni (</w:t>
      </w:r>
      <w:r>
        <w:rPr>
          <w:rtl w:val="0"/>
          <w:lang w:val="it-IT"/>
        </w:rPr>
        <w:t>βιαιοτέρας ἐπαρδεύσεως γινομένης ἀπό τινων ἀθροισμάτων ἐπιτηδείων εἰς τὰς τοιαύτας ἐπιπέμψεις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13"/>
      </w:r>
      <w:r>
        <w:rPr>
          <w:rtl w:val="0"/>
          <w:lang w:val="it-IT"/>
        </w:rPr>
        <w:t xml:space="preserve">. 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6 s. </w:t>
      </w:r>
      <w:r>
        <w:rPr>
          <w:rtl w:val="0"/>
          <w:lang w:val="it-IT"/>
        </w:rPr>
        <w:t xml:space="preserve">Per la costruzione di </w:t>
      </w:r>
      <w:r>
        <w:rPr>
          <w:rtl w:val="0"/>
          <w:lang w:val="it-IT"/>
        </w:rPr>
        <w:t xml:space="preserve">ἐπιτήδειος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εἰς </w:t>
      </w:r>
      <w:r>
        <w:rPr>
          <w:rtl w:val="0"/>
          <w:lang w:val="it-IT"/>
        </w:rPr>
        <w:t>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infinito sostantivato (ll. 6 s. </w:t>
      </w:r>
      <w:r>
        <w:rPr>
          <w:rtl w:val="0"/>
          <w:lang w:val="it-IT"/>
        </w:rPr>
        <w:t>τὸ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… συντελεῖ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σθαι</w:t>
      </w:r>
      <w:r>
        <w:rPr>
          <w:rtl w:val="0"/>
          <w:lang w:val="it-IT"/>
        </w:rPr>
        <w:t>), vale ancora il parallelo con l</w:t>
      </w:r>
      <w:r>
        <w:rPr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>Epistola a Pitocle</w:t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dove in alcuni casi la preposizione regge appunto un infinito sostantivato, una volta in particolare </w:t>
      </w:r>
      <w:r>
        <w:rPr>
          <w:rtl w:val="0"/>
          <w:lang w:val="it-IT"/>
        </w:rPr>
        <w:t xml:space="preserve">τὸ τελέσαι </w:t>
      </w:r>
      <w:r>
        <w:rPr>
          <w:rtl w:val="0"/>
          <w:lang w:val="it-IT"/>
        </w:rPr>
        <w:t>(</w:t>
      </w:r>
      <w:r>
        <w:rPr>
          <w:rtl w:val="0"/>
          <w:lang w:val="it-IT"/>
        </w:rPr>
        <w:t>ἀτόμων καὶ ἐπιτηδείων εἰς τὸ τοῦτο τελέσαι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14"/>
      </w:r>
      <w:r>
        <w:rPr>
          <w:rtl w:val="0"/>
          <w:lang w:val="it-IT"/>
        </w:rPr>
        <w:t xml:space="preserve">. Il verbo </w:t>
      </w:r>
      <w:r>
        <w:rPr>
          <w:rtl w:val="0"/>
          <w:lang w:val="it-IT"/>
        </w:rPr>
        <w:t xml:space="preserve">συντελέω </w:t>
      </w:r>
      <w:r>
        <w:rPr>
          <w:rtl w:val="0"/>
          <w:lang w:val="it-IT"/>
        </w:rPr>
        <w:t xml:space="preserve">al medio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specifico delle opere fisico-cosmologiche del Giardino per indicare la realizzazione fisica di un corpo</w:t>
      </w:r>
      <w:r>
        <w:rPr>
          <w:rStyle w:val="footnote reference"/>
        </w:rPr>
        <w:footnoteReference w:id="15"/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plausibile che nella nostra colonna il verbo sia utilizzato con un senso simile. 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difficile tentare di comprendere quanto ci sia a l. 6 prima della sequenza </w:t>
      </w:r>
      <w:r>
        <w:rPr>
          <w:rtl w:val="0"/>
          <w:lang w:val="it-IT"/>
        </w:rPr>
        <w:t xml:space="preserve">συντελει </w:t>
      </w:r>
      <w:r>
        <w:rPr>
          <w:rtl w:val="0"/>
          <w:lang w:val="it-IT"/>
        </w:rPr>
        <w:t xml:space="preserve">a causa dello stato precario del papiro. Ferrario scriveva ] </w:t>
      </w:r>
      <w:r>
        <w:rPr>
          <w:rtl w:val="0"/>
          <w:lang w:val="it-IT"/>
        </w:rPr>
        <w:t>ἄλλ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</w:t>
      </w:r>
      <w:r>
        <w:rPr>
          <w:rtl w:val="0"/>
          <w:lang w:val="it-IT"/>
        </w:rPr>
        <w:t>], difficilmente difendibile sulla base di quanto si legge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originale, mentre il disegno non riproduce questa linea.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Le prime tracce superstiti, di cui si vede soltanto la parte superiore (il resto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coperto da un sovrapposto), sono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obliqua discendente e, poco oltre, una breve verticale, leggermente arcuata in alto verso destra; forse costituiscono resti di un </w:t>
      </w:r>
      <w:r>
        <w:rPr>
          <w:rtl w:val="0"/>
          <w:lang w:val="it-IT"/>
        </w:rPr>
        <w:t xml:space="preserve">ν </w:t>
      </w:r>
      <w:r>
        <w:rPr>
          <w:rtl w:val="0"/>
          <w:lang w:val="it-IT"/>
        </w:rPr>
        <w:t xml:space="preserve">o del calice di un </w:t>
      </w:r>
      <w:r>
        <w:rPr>
          <w:rtl w:val="0"/>
          <w:lang w:val="it-IT"/>
        </w:rPr>
        <w:t>υ</w:t>
      </w:r>
      <w:r>
        <w:rPr>
          <w:rtl w:val="0"/>
          <w:lang w:val="it-IT"/>
        </w:rPr>
        <w:t xml:space="preserve">. Segue una lettera piuttosto abrasa ma il cui tracciato triangolare rimanda a un </w:t>
      </w:r>
      <w:r>
        <w:rPr>
          <w:rtl w:val="0"/>
          <w:lang w:val="it-IT"/>
        </w:rPr>
        <w:t>α</w:t>
      </w:r>
      <w:r>
        <w:rPr>
          <w:rtl w:val="0"/>
          <w:lang w:val="it-IT"/>
        </w:rPr>
        <w:t xml:space="preserve">, un </w:t>
      </w:r>
      <w:r>
        <w:rPr>
          <w:rtl w:val="0"/>
          <w:lang w:val="it-IT"/>
        </w:rPr>
        <w:t xml:space="preserve">δ </w:t>
      </w:r>
      <w:r>
        <w:rPr>
          <w:rtl w:val="0"/>
          <w:lang w:val="it-IT"/>
        </w:rPr>
        <w:t xml:space="preserve">o un </w:t>
      </w:r>
      <w:r>
        <w:rPr>
          <w:rtl w:val="0"/>
          <w:lang w:val="it-IT"/>
        </w:rPr>
        <w:t>λ</w:t>
      </w:r>
      <w:r>
        <w:rPr>
          <w:rtl w:val="0"/>
          <w:lang w:val="it-IT"/>
        </w:rPr>
        <w:t>. Della lettera successiva si distingue soltanto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apice orizzontale che doveva adornarne la base. Si individuano poi un </w:t>
      </w:r>
      <w:r>
        <w:rPr>
          <w:rtl w:val="0"/>
          <w:lang w:val="it-IT"/>
        </w:rPr>
        <w:t>λ</w:t>
      </w:r>
      <w:r>
        <w:rPr>
          <w:rtl w:val="0"/>
          <w:lang w:val="it-IT"/>
        </w:rPr>
        <w:t xml:space="preserve">, una lacuna di una lettera, resti molto esigui di quello che sembra un tratto orizzontale e una lacuna di una lettera. 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7.</w:t>
      </w:r>
      <w:r>
        <w:rPr>
          <w:rtl w:val="0"/>
          <w:lang w:val="it-IT"/>
        </w:rPr>
        <w:t xml:space="preserve"> La traccia della prima lettera visibile sembra compatibile con 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obliqua sinistra di </w:t>
      </w:r>
      <w:r>
        <w:rPr>
          <w:rtl w:val="0"/>
          <w:lang w:val="it-IT"/>
        </w:rPr>
        <w:t>δ</w:t>
      </w:r>
      <w:r>
        <w:rPr>
          <w:rtl w:val="0"/>
          <w:lang w:val="it-IT"/>
        </w:rPr>
        <w:t xml:space="preserve">, anche se questo sembrerebbe comportare un </w:t>
      </w:r>
      <w:r>
        <w:rPr>
          <w:rtl w:val="0"/>
          <w:lang w:val="it-IT"/>
        </w:rPr>
        <w:t xml:space="preserve">δ </w:t>
      </w:r>
      <w:r>
        <w:rPr>
          <w:rtl w:val="0"/>
          <w:lang w:val="it-IT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stretto rispetto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ampiezza media della lettera nel rotolo; va comunque detto che essa si presenta molto variabile. La traccia che segue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superiore di una verticale. La lettura </w:t>
      </w:r>
      <w:r>
        <w:rPr>
          <w:rtl w:val="0"/>
          <w:lang w:val="it-IT"/>
        </w:rPr>
        <w:t xml:space="preserve">δ̣ι̣ </w:t>
      </w:r>
      <w:r>
        <w:rPr>
          <w:rtl w:val="0"/>
          <w:lang w:val="it-IT"/>
        </w:rPr>
        <w:t>porterebbe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interessante acquisizione di una forma di </w:t>
      </w:r>
      <w:r>
        <w:rPr>
          <w:rtl w:val="0"/>
          <w:lang w:val="it-IT"/>
        </w:rPr>
        <w:t xml:space="preserve">διαιών ο διαιώνιος </w:t>
      </w:r>
      <w:r>
        <w:rPr>
          <w:rtl w:val="0"/>
          <w:lang w:val="it-IT"/>
        </w:rPr>
        <w:t>in relazione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>, che anticipa la menzione della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nelle due linee successive, dal momento che nelle opere teologiche di Filodemo il campo semantico di </w:t>
      </w:r>
      <w:r>
        <w:rPr>
          <w:rtl w:val="0"/>
          <w:lang w:val="it-IT"/>
        </w:rPr>
        <w:t xml:space="preserve">αἰών è </w:t>
      </w:r>
      <w:r>
        <w:rPr>
          <w:rtl w:val="0"/>
          <w:lang w:val="it-IT"/>
        </w:rPr>
        <w:t>comunemente associato agli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i</w:t>
      </w:r>
      <w:r>
        <w:rPr>
          <w:rStyle w:val="footnote reference"/>
        </w:rPr>
        <w:footnoteReference w:id="16"/>
      </w:r>
      <w:r>
        <w:rPr>
          <w:rtl w:val="0"/>
          <w:lang w:val="it-IT"/>
        </w:rPr>
        <w:t xml:space="preserve">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Per ragioni di spazio ho ritenuto preferibile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integrazione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avverbio </w:t>
      </w:r>
      <w:r>
        <w:rPr>
          <w:rtl w:val="0"/>
          <w:lang w:val="it-IT"/>
        </w:rPr>
        <w:t>δ̣ι̣αιων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ίω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, per quanto non attestato in Filodemo, mentre si trovano </w:t>
      </w:r>
      <w:r>
        <w:rPr>
          <w:rtl w:val="0"/>
          <w:lang w:val="it-IT"/>
        </w:rPr>
        <w:t xml:space="preserve">δι’ αἰῶνος </w:t>
      </w:r>
      <w:r>
        <w:rPr>
          <w:rtl w:val="0"/>
          <w:lang w:val="it-IT"/>
        </w:rPr>
        <w:t>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avverbiale </w:t>
      </w:r>
      <w:r>
        <w:rPr>
          <w:rtl w:val="0"/>
          <w:lang w:val="it-IT"/>
        </w:rPr>
        <w:t xml:space="preserve">διαιώνιον </w:t>
      </w:r>
      <w:r>
        <w:rPr>
          <w:rtl w:val="0"/>
          <w:lang w:val="it-IT"/>
        </w:rPr>
        <w:t xml:space="preserve">con il verbo </w:t>
      </w:r>
      <w:r>
        <w:rPr>
          <w:rtl w:val="0"/>
          <w:lang w:val="it-IT"/>
        </w:rPr>
        <w:t>ὑπάρχω</w:t>
      </w:r>
      <w:r>
        <w:rPr>
          <w:rStyle w:val="footnote reference"/>
        </w:rPr>
        <w:footnoteReference w:id="17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 xml:space="preserve">8 s. </w:t>
      </w:r>
      <w:r>
        <w:rPr>
          <w:rtl w:val="0"/>
          <w:lang w:val="it-IT"/>
        </w:rPr>
        <w:t xml:space="preserve">Le integrazioni </w:t>
      </w:r>
      <w:r>
        <w:rPr>
          <w:rtl w:val="0"/>
          <w:lang w:val="it-IT"/>
        </w:rPr>
        <w:t>ὥσ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π̣ερ </w:t>
      </w:r>
      <w:r>
        <w:rPr>
          <w:rtl w:val="0"/>
          <w:lang w:val="it-IT"/>
        </w:rPr>
        <w:t>e [</w:t>
      </w:r>
      <w:r>
        <w:rPr>
          <w:rtl w:val="0"/>
          <w:lang w:val="it-IT"/>
        </w:rPr>
        <w:t>τῶ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ν̣ </w:t>
      </w:r>
      <w:r>
        <w:rPr>
          <w:rtl w:val="0"/>
          <w:lang w:val="it-IT"/>
        </w:rPr>
        <w:t>sono piuttosto agevoli; per quanto riguarda [</w:t>
      </w:r>
      <w:r>
        <w:rPr>
          <w:rtl w:val="0"/>
          <w:lang w:val="it-IT"/>
        </w:rPr>
        <w:t>τῶ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ν̣</w:t>
      </w:r>
      <w:r>
        <w:rPr>
          <w:rtl w:val="0"/>
          <w:lang w:val="it-IT"/>
        </w:rPr>
        <w:t xml:space="preserve">, del </w:t>
      </w:r>
      <w:r>
        <w:rPr>
          <w:rtl w:val="0"/>
          <w:lang w:val="it-IT"/>
        </w:rPr>
        <w:t xml:space="preserve">ν </w:t>
      </w:r>
      <w:r>
        <w:rPr>
          <w:rtl w:val="0"/>
          <w:lang w:val="it-IT"/>
        </w:rPr>
        <w:t>restano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asta verticale e, poco di seguito, tracce del punto di convergenza, in basso nello spazio della linea, tra la diagonale discendente e il secondo tratto verticale. Alla fine della linea, si riconosce chiaramente la sequenza </w:t>
      </w:r>
      <w:r>
        <w:rPr>
          <w:rtl w:val="0"/>
          <w:lang w:val="it-IT"/>
        </w:rPr>
        <w:t>θε</w:t>
      </w:r>
      <w:r>
        <w:rPr>
          <w:rtl w:val="0"/>
          <w:lang w:val="it-IT"/>
        </w:rPr>
        <w:t xml:space="preserve">, che ho integrato </w:t>
      </w:r>
      <w:r>
        <w:rPr>
          <w:rtl w:val="0"/>
          <w:lang w:val="it-IT"/>
        </w:rPr>
        <w:t>θε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οῦ</w:t>
      </w:r>
      <w:r>
        <w:rPr>
          <w:rtl w:val="0"/>
          <w:lang w:val="it-IT"/>
        </w:rPr>
        <w:t xml:space="preserve">;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escluso invece </w:t>
      </w:r>
      <w:r>
        <w:rPr>
          <w:rtl w:val="0"/>
          <w:lang w:val="it-IT"/>
        </w:rPr>
        <w:t>θε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ου</w:t>
      </w:r>
      <w:r>
        <w:rPr>
          <w:rtl w:val="0"/>
          <w:lang w:val="it-IT"/>
        </w:rPr>
        <w:t>, dal momento che dopo l</w:t>
      </w:r>
      <w:r>
        <w:rPr>
          <w:rtl w:val="0"/>
          <w:lang w:val="it-IT"/>
        </w:rPr>
        <w:t xml:space="preserve">’ε </w:t>
      </w:r>
      <w:r>
        <w:rPr>
          <w:rtl w:val="0"/>
          <w:lang w:val="it-IT"/>
        </w:rPr>
        <w:t>comincia subito lo spazio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intercolumnio.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Le due linee possono essere interpretate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 xml:space="preserve">come anche (sono in eterno) quelli (gli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>) del dio</w:t>
      </w:r>
      <w:r>
        <w:rPr>
          <w:rtl w:val="0"/>
          <w:lang w:val="it-IT"/>
        </w:rPr>
        <w:t>»</w:t>
      </w:r>
      <w:r>
        <w:rPr>
          <w:rtl w:val="0"/>
          <w:lang w:val="it-IT"/>
        </w:rPr>
        <w:t>, evidentemente in riferimento alla costituzione atomica della divinit</w:t>
      </w:r>
      <w:r>
        <w:rPr>
          <w:rtl w:val="0"/>
          <w:lang w:val="it-IT"/>
        </w:rPr>
        <w:t>à</w:t>
      </w:r>
      <w:r>
        <w:rPr>
          <w:rStyle w:val="footnote reference"/>
        </w:rPr>
        <w:footnoteReference w:id="18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9.</w:t>
      </w:r>
      <w:r>
        <w:rPr>
          <w:rtl w:val="0"/>
          <w:lang w:val="it-IT"/>
        </w:rPr>
        <w:t xml:space="preserve">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inizio di questa linea, dopo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integrazione della desinenza (</w:t>
      </w:r>
      <w:r>
        <w:rPr>
          <w:rtl w:val="0"/>
          <w:lang w:val="it-IT"/>
        </w:rPr>
        <w:t>θε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οῦ</w:t>
      </w:r>
      <w:r>
        <w:rPr>
          <w:rtl w:val="0"/>
          <w:lang w:val="it-IT"/>
        </w:rPr>
        <w:t xml:space="preserve">), in lacuna resta ancora lo spazio per una lettera, plausibilmente occupato dal </w:t>
      </w:r>
      <w:r>
        <w:rPr>
          <w:rStyle w:val="page number"/>
          <w:rtl w:val="0"/>
          <w:lang w:val="it-IT"/>
        </w:rPr>
        <w:t>vacat</w:t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>usato sistematicamente in questo rotolo per segnalare la fine di un periodo.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9-11</w:t>
      </w:r>
      <w:r>
        <w:rPr>
          <w:rtl w:val="0"/>
          <w:lang w:val="it-IT"/>
        </w:rPr>
        <w:t xml:space="preserve">. Il nesso </w:t>
      </w:r>
      <w:r>
        <w:rPr>
          <w:rtl w:val="0"/>
          <w:lang w:val="it-IT"/>
        </w:rPr>
        <w:t xml:space="preserve">προσέτι δέ </w:t>
      </w:r>
      <w:r>
        <w:rPr>
          <w:rtl w:val="0"/>
          <w:lang w:val="it-IT"/>
        </w:rPr>
        <w:t xml:space="preserve">in Filodemo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attestato nel </w:t>
      </w:r>
      <w:r>
        <w:rPr>
          <w:rStyle w:val="page number"/>
          <w:rtl w:val="0"/>
          <w:lang w:val="it-IT"/>
        </w:rPr>
        <w:t>De sensibus</w:t>
      </w:r>
      <w:r>
        <w:rPr>
          <w:rtl w:val="0"/>
          <w:lang w:val="it-IT"/>
        </w:rPr>
        <w:t xml:space="preserve"> e nel </w:t>
      </w:r>
      <w:r>
        <w:rPr>
          <w:rStyle w:val="page number"/>
          <w:rtl w:val="0"/>
          <w:lang w:val="it-IT"/>
        </w:rPr>
        <w:t>De oeconomia</w:t>
      </w:r>
      <w:r>
        <w:rPr>
          <w:rtl w:val="0"/>
          <w:lang w:val="it-IT"/>
        </w:rPr>
        <w:t>, in questo secondo caso a inizio di periodo</w:t>
      </w:r>
      <w:r>
        <w:rPr>
          <w:rStyle w:val="footnote reference"/>
        </w:rPr>
        <w:footnoteReference w:id="19"/>
      </w:r>
      <w:r>
        <w:rPr>
          <w:rtl w:val="0"/>
          <w:lang w:val="it-IT"/>
        </w:rPr>
        <w:t xml:space="preserve">. 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Se in queste linee seguiva una discussione sulla formazione dei corpi,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che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inizio di l. 11 prima di </w:t>
      </w:r>
      <w:r>
        <w:rPr>
          <w:rtl w:val="0"/>
          <w:lang w:val="it-IT"/>
        </w:rPr>
        <w:t xml:space="preserve">ποτ’ </w:t>
      </w:r>
      <w:r>
        <w:rPr>
          <w:rtl w:val="0"/>
          <w:lang w:val="it-IT"/>
        </w:rPr>
        <w:t>ci sia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infinito aoristo </w:t>
      </w:r>
      <w:r>
        <w:rPr>
          <w:rtl w:val="0"/>
          <w:lang w:val="it-IT"/>
        </w:rPr>
        <w:t>γε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ν̣νῆσαι</w:t>
      </w:r>
      <w:r>
        <w:rPr>
          <w:rtl w:val="0"/>
          <w:lang w:val="it-IT"/>
        </w:rPr>
        <w:t xml:space="preserve">, retto da </w:t>
      </w:r>
      <w:r>
        <w:rPr>
          <w:rtl w:val="0"/>
          <w:lang w:val="it-IT"/>
        </w:rPr>
        <w:t>τὸ νο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 xml:space="preserve">εῖν </w:t>
      </w:r>
      <w:r>
        <w:rPr>
          <w:rtl w:val="0"/>
          <w:lang w:val="it-IT"/>
        </w:rPr>
        <w:t xml:space="preserve">che ho ritenuto opportuno integrare a ll. 9 s. La traduzione in tal caso sarebbe: </w:t>
      </w:r>
      <w:r>
        <w:rPr>
          <w:rtl w:val="0"/>
          <w:lang w:val="it-IT"/>
        </w:rPr>
        <w:t>«</w:t>
      </w:r>
      <w:r>
        <w:rPr>
          <w:rtl w:val="0"/>
          <w:lang w:val="it-IT"/>
        </w:rPr>
        <w:t xml:space="preserve">Inoltre il concepire che elementi mobili abbiano generato in qualche tempo </w:t>
      </w:r>
      <w:r>
        <w:rPr>
          <w:rtl w:val="0"/>
          <w:lang w:val="it-IT"/>
        </w:rPr>
        <w:t>… »</w:t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 xml:space="preserve">Dopo la sequenza </w:t>
      </w:r>
      <w:r>
        <w:rPr>
          <w:rtl w:val="0"/>
          <w:lang w:val="it-IT"/>
        </w:rPr>
        <w:t xml:space="preserve">ποτ </w:t>
      </w:r>
      <w:r>
        <w:rPr>
          <w:rtl w:val="0"/>
          <w:lang w:val="it-IT"/>
        </w:rPr>
        <w:t>e l</w:t>
      </w:r>
      <w:r>
        <w:rPr>
          <w:rtl w:val="0"/>
          <w:lang w:val="it-IT"/>
        </w:rPr>
        <w:t xml:space="preserve">’α </w:t>
      </w:r>
      <w:r>
        <w:rPr>
          <w:rtl w:val="0"/>
          <w:lang w:val="it-IT"/>
        </w:rPr>
        <w:t xml:space="preserve">immediatamente successivo, si vedono un apice orizzontale in basso e adiacente una verticale, arcuata verso destra in alto;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plausibile che vadano riconosciuti i resti della parte sinistra di un </w:t>
      </w:r>
      <w:r>
        <w:rPr>
          <w:rtl w:val="0"/>
          <w:lang w:val="it-IT"/>
        </w:rPr>
        <w:t xml:space="preserve">τ </w:t>
      </w:r>
      <w:r>
        <w:rPr>
          <w:rtl w:val="0"/>
          <w:lang w:val="it-IT"/>
        </w:rPr>
        <w:t xml:space="preserve">o di un </w:t>
      </w:r>
      <w:r>
        <w:rPr>
          <w:rtl w:val="0"/>
          <w:lang w:val="it-IT"/>
        </w:rPr>
        <w:t xml:space="preserve">υ – </w:t>
      </w:r>
      <w:r>
        <w:rPr>
          <w:rtl w:val="0"/>
          <w:lang w:val="it-IT"/>
        </w:rPr>
        <w:t xml:space="preserve">anche </w:t>
      </w:r>
      <w:r>
        <w:rPr>
          <w:rtl w:val="0"/>
          <w:lang w:val="it-IT"/>
        </w:rPr>
        <w:t xml:space="preserve">ι è </w:t>
      </w:r>
      <w:r>
        <w:rPr>
          <w:rtl w:val="0"/>
          <w:lang w:val="it-IT"/>
        </w:rPr>
        <w:t xml:space="preserve">possibile, ma meno probabile, dal momento che in questo rotolo, quando </w:t>
      </w:r>
      <w:r>
        <w:rPr>
          <w:rtl w:val="0"/>
          <w:lang w:val="it-IT"/>
        </w:rPr>
        <w:t xml:space="preserve">ι </w:t>
      </w:r>
      <w:r>
        <w:rPr>
          <w:rtl w:val="0"/>
          <w:lang w:val="it-IT"/>
        </w:rPr>
        <w:t xml:space="preserve">segue </w:t>
      </w:r>
      <w:r>
        <w:rPr>
          <w:rtl w:val="0"/>
          <w:lang w:val="it-IT"/>
        </w:rPr>
        <w:t>α</w:t>
      </w:r>
      <w:r>
        <w:rPr>
          <w:rtl w:val="0"/>
          <w:lang w:val="it-IT"/>
        </w:rPr>
        <w:t>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apice tracciato a sinistra della base di </w:t>
      </w:r>
      <w:r>
        <w:rPr>
          <w:rtl w:val="0"/>
          <w:lang w:val="it-IT"/>
        </w:rPr>
        <w:t xml:space="preserve">ι è </w:t>
      </w:r>
      <w:r>
        <w:rPr>
          <w:rtl w:val="0"/>
          <w:lang w:val="it-IT"/>
        </w:rPr>
        <w:t>di solito contiguo alla seconda obliqua dell</w:t>
      </w:r>
      <w:r>
        <w:rPr>
          <w:rtl w:val="0"/>
          <w:lang w:val="it-IT"/>
        </w:rPr>
        <w:t>’α</w:t>
      </w:r>
      <w:r>
        <w:rPr>
          <w:rtl w:val="0"/>
          <w:lang w:val="it-IT"/>
        </w:rPr>
        <w:t>, mentre qui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apice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staccato dall</w:t>
      </w:r>
      <w:r>
        <w:rPr>
          <w:rtl w:val="0"/>
          <w:lang w:val="it-IT"/>
        </w:rPr>
        <w:t>’α</w:t>
      </w:r>
      <w:r>
        <w:rPr>
          <w:rtl w:val="0"/>
          <w:lang w:val="it-IT"/>
        </w:rPr>
        <w:t xml:space="preserve">. In seguito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scorgere minime tracce di altre lettere a malapena distinguibili.</w:t>
      </w:r>
    </w:p>
    <w:p>
      <w:pPr>
        <w:pStyle w:val="Normal.0"/>
        <w:spacing w:line="276" w:lineRule="auto"/>
        <w:jc w:val="both"/>
      </w:pPr>
      <w:r>
        <w:rPr>
          <w:rStyle w:val="page number"/>
          <w:rtl w:val="0"/>
          <w:lang w:val="it-IT"/>
        </w:rPr>
        <w:t>12</w:t>
      </w:r>
      <w:r>
        <w:rPr>
          <w:rtl w:val="0"/>
          <w:lang w:val="it-IT"/>
        </w:rPr>
        <w:t>. Nello spazio sottostante all</w:t>
      </w:r>
      <w:r>
        <w:rPr>
          <w:rtl w:val="0"/>
          <w:lang w:val="it-IT"/>
        </w:rPr>
        <w:t>’η</w:t>
      </w:r>
      <w:r>
        <w:rPr>
          <w:rtl w:val="0"/>
          <w:lang w:val="it-IT"/>
        </w:rPr>
        <w:t xml:space="preserve">, si vedono tracce di un </w:t>
      </w:r>
      <w:r>
        <w:rPr>
          <w:rtl w:val="0"/>
          <w:lang w:val="it-IT"/>
        </w:rPr>
        <w:t xml:space="preserve">ε </w:t>
      </w:r>
      <w:r>
        <w:rPr>
          <w:rtl w:val="0"/>
          <w:lang w:val="it-IT"/>
        </w:rPr>
        <w:t xml:space="preserve">o di un </w:t>
      </w:r>
      <w:r>
        <w:rPr>
          <w:rtl w:val="0"/>
          <w:lang w:val="it-IT"/>
        </w:rPr>
        <w:t xml:space="preserve">θ </w:t>
      </w:r>
      <w:r>
        <w:rPr>
          <w:rtl w:val="0"/>
          <w:lang w:val="it-IT"/>
        </w:rPr>
        <w:t>e di una seconda lettera.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analisi autoptica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ha rivelato che non appartengono a questa colonna in quanto si trovano su uno strato sovrapposto.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Grazie alle nuove letture, dunque, siamo in grado di leggere un testo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completo del fr. 27.2; inoltre, i paralleli lessicali con altre opere del Giardino permettono di riconoscere la matrice epicurea delle posizioni qui esposte. Non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dubbio che il testo rimandi a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esposizione condotta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ambito della costituzione di corpi, con un interessante accenno a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eterni. La brevit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del testo superstite, tuttavia, non permette di riconoscere in che modo proseguisse la discussione da l. 9, dove Filodemo parla di </w:t>
      </w:r>
      <w:r>
        <w:rPr>
          <w:rtl w:val="0"/>
          <w:lang w:val="it-IT"/>
        </w:rPr>
        <w:t>κινητικὰ στοιχεῖα</w:t>
      </w:r>
      <w:r>
        <w:rPr>
          <w:rtl w:val="0"/>
          <w:lang w:val="it-IT"/>
        </w:rPr>
        <w:t>, e di formulare in generale ipotesi sulla finalit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esposizione.</w:t>
      </w:r>
    </w:p>
    <w:p>
      <w:pPr>
        <w:pStyle w:val="Normal.0"/>
        <w:spacing w:line="276" w:lineRule="auto"/>
        <w:jc w:val="both"/>
      </w:pPr>
      <w:r>
        <w:rPr>
          <w:rtl w:val="0"/>
          <w:lang w:val="it-IT"/>
        </w:rPr>
        <w:t>Alla luce della centralit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vocabolario atomistico, quanto Filodemo dice nella parentetica che ho letto a ll. 8 s. (</w:t>
      </w:r>
      <w:r>
        <w:rPr>
          <w:rtl w:val="0"/>
          <w:lang w:val="it-IT"/>
        </w:rPr>
        <w:t>ὥσ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π̣ερ καὶ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ν̣ τοῦ θε</w:t>
      </w:r>
      <w:r>
        <w:rPr>
          <w:rtl w:val="0"/>
          <w:lang w:val="it-IT"/>
        </w:rPr>
        <w:t>|[</w:t>
      </w:r>
      <w:r>
        <w:rPr>
          <w:rtl w:val="0"/>
          <w:lang w:val="it-IT"/>
        </w:rPr>
        <w:t>οῦ</w:t>
      </w:r>
      <w:r>
        <w:rPr>
          <w:rtl w:val="0"/>
          <w:lang w:val="it-IT"/>
        </w:rPr>
        <w:t xml:space="preserve">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invece ascrivibile a un contesto preciso. Infatti,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affermazione secondo cui 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del dio sono in eterno (</w:t>
      </w:r>
      <w:r>
        <w:rPr>
          <w:rtl w:val="0"/>
          <w:lang w:val="it-IT"/>
        </w:rPr>
        <w:t>δ̣ι̣αιων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ίω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>) costituisce evidentemente un richiamo alla concezione epicurea secondo cui la divinit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costituita da aggregati atomici di eterna durata, di cui abbiamo testimonianza sia nelle opere della Scuola sia nelle testimonianze dossografiche</w:t>
      </w:r>
      <w:r>
        <w:rPr>
          <w:rStyle w:val="footnote reference"/>
        </w:rPr>
        <w:footnoteReference w:id="20"/>
      </w:r>
      <w:r>
        <w:rPr>
          <w:rtl w:val="0"/>
          <w:lang w:val="it-IT"/>
        </w:rPr>
        <w:t>. A questo proposito, il nostro testo presenta una notevole affinit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dal punto di vista lessicale con alcuni passi che si leggono nella sezione iniziale del </w:t>
      </w:r>
      <w:r>
        <w:rPr>
          <w:rStyle w:val="page number"/>
          <w:rtl w:val="0"/>
          <w:lang w:val="it-IT"/>
        </w:rPr>
        <w:t>De pietate</w:t>
      </w:r>
      <w:r>
        <w:rPr>
          <w:rtl w:val="0"/>
          <w:lang w:val="it-IT"/>
        </w:rPr>
        <w:t xml:space="preserve"> in cui Filodemo polemizza contro chi affermava che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concepire una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che sia contemporaneamente eterna e costituita di aggregati atomici. Tale affinit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molto stretta con la col. 13, dove sembra che si debba leggere che 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i sono </w:t>
      </w:r>
      <w:r>
        <w:rPr>
          <w:rtl w:val="0"/>
          <w:lang w:val="it-IT"/>
        </w:rPr>
        <w:t xml:space="preserve">ἑνότητες </w:t>
      </w:r>
      <w:r>
        <w:rPr>
          <w:rtl w:val="0"/>
          <w:lang w:val="it-IT"/>
        </w:rPr>
        <w:t xml:space="preserve">formate da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tra loro simili (</w:t>
      </w:r>
      <w:r>
        <w:rPr>
          <w:rtl w:val="0"/>
          <w:lang w:val="it-IT"/>
        </w:rPr>
        <w:t xml:space="preserve">δύναται γὰρ ἐκ τῆς 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5</w:t>
      </w:r>
      <w:r>
        <w:rPr>
          <w:rtl w:val="0"/>
          <w:lang w:val="it-IT"/>
        </w:rPr>
        <w:t xml:space="preserve"> ὁμοιότητος ὑπάρ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χουσι διαιώνιον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ἔχειν τὴν τελείαν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εὐδαιμονίαν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ἐ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πειδήπερ οὐχ ἧτ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10</w:t>
      </w:r>
      <w:r>
        <w:rPr>
          <w:rtl w:val="0"/>
          <w:lang w:val="it-IT"/>
        </w:rPr>
        <w:t xml:space="preserve">τον ἐκ τῶν αὐτῶν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ἢ τῶν ὁμοίων στοι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χείων ἑνό̣τ̣ητες </w:t>
      </w:r>
      <w:r>
        <w:rPr>
          <w:rtl w:val="0"/>
          <w:lang w:val="it-IT"/>
        </w:rPr>
        <w:t>{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 xml:space="preserve">} | </w:t>
      </w:r>
      <w:r>
        <w:rPr>
          <w:rtl w:val="0"/>
          <w:lang w:val="it-IT"/>
        </w:rPr>
        <w:t>ὑποτελεῖσθαι δύ̣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ν̣ανται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21"/>
      </w:r>
      <w:r>
        <w:rPr>
          <w:rtl w:val="0"/>
          <w:lang w:val="it-IT"/>
        </w:rPr>
        <w:t>. Sempre in ambito teologico, un vocabolario simile a quello del nostro testo si riscontra anche nella discussione sulle sedi abitate dagli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i nella col. 11 del </w:t>
      </w:r>
      <w:r>
        <w:rPr>
          <w:rStyle w:val="page number"/>
          <w:rtl w:val="0"/>
          <w:lang w:val="it-IT"/>
        </w:rPr>
        <w:t>P.Herc</w:t>
      </w:r>
      <w:r>
        <w:rPr>
          <w:rtl w:val="0"/>
          <w:lang w:val="it-IT"/>
        </w:rPr>
        <w:t xml:space="preserve">. 152/157, che conserva un libro incerto </w:t>
      </w:r>
      <w:r>
        <w:rPr>
          <w:rStyle w:val="page number"/>
          <w:rtl w:val="0"/>
          <w:lang w:val="it-IT"/>
        </w:rPr>
        <w:t>De dis</w:t>
      </w:r>
      <w:r>
        <w:rPr>
          <w:rtl w:val="0"/>
          <w:lang w:val="it-IT"/>
        </w:rPr>
        <w:t xml:space="preserve"> di Filodemo: nella colonna si parla di un luogo che gli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che compongono 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non lasciano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eternit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(</w:t>
      </w:r>
      <w:r>
        <w:rPr>
          <w:rtl w:val="0"/>
          <w:lang w:val="it-IT"/>
        </w:rPr>
        <w:t>ἔστιν μὲγ γάρ τις ὡρισμένος τόπος̣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ὃν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οὐ⌈κ⌉ ἐκβαίνει τὸν αἰ̣ῶνα τὰ στοιχεῖα</w:t>
      </w:r>
      <w:r>
        <w:rPr>
          <w:rtl w:val="0"/>
          <w:lang w:val="it-IT"/>
        </w:rPr>
        <w:t xml:space="preserve">) e del movimento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immaginare per </w:t>
      </w:r>
      <w:r>
        <w:rPr>
          <w:rtl w:val="0"/>
          <w:lang w:val="it-IT"/>
        </w:rPr>
        <w:t xml:space="preserve">ἑνότητες </w:t>
      </w:r>
      <w:r>
        <w:rPr>
          <w:rtl w:val="0"/>
          <w:lang w:val="it-IT"/>
        </w:rPr>
        <w:t xml:space="preserve">costituite da </w:t>
      </w:r>
      <w:r>
        <w:rPr>
          <w:rtl w:val="0"/>
          <w:lang w:val="it-IT"/>
        </w:rPr>
        <w:t xml:space="preserve">στοιχεῖα </w:t>
      </w:r>
      <w:r>
        <w:rPr>
          <w:rtl w:val="0"/>
          <w:lang w:val="it-IT"/>
        </w:rPr>
        <w:t>divini (</w:t>
      </w:r>
      <w:r>
        <w:rPr>
          <w:rtl w:val="0"/>
          <w:lang w:val="it-IT"/>
        </w:rPr>
        <w:t xml:space="preserve">⌈ὥ⌉στε καὶ τὰς ἐξ αὐτῶν ἑνότητας εὐόδως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νοεῖσθαι κινουμένα⌈ς⌉</w:t>
      </w:r>
      <w:r>
        <w:rPr>
          <w:rtl w:val="0"/>
          <w:lang w:val="it-IT"/>
        </w:rPr>
        <w:t>)</w:t>
      </w:r>
      <w:r>
        <w:rPr>
          <w:rStyle w:val="footnote reference"/>
        </w:rPr>
        <w:footnoteReference w:id="22"/>
      </w:r>
      <w:r>
        <w:rPr>
          <w:rtl w:val="0"/>
          <w:lang w:val="it-IT"/>
        </w:rPr>
        <w:t>.</w:t>
      </w:r>
    </w:p>
    <w:p>
      <w:pPr>
        <w:pStyle w:val="Normal.0"/>
        <w:spacing w:line="276" w:lineRule="auto"/>
        <w:jc w:val="both"/>
      </w:pP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#</w:t>
      </w:r>
      <w:r>
        <w:rPr>
          <w:rStyle w:val="page number"/>
          <w:rFonts w:ascii="IFAO-Grec Unicode" w:cs="Calibri" w:hAnsi="IFAO-Grec Unicode" w:eastAsia="Calibri"/>
          <w:sz w:val="24"/>
          <w:szCs w:val="24"/>
          <w:u w:color="000000"/>
          <w:rtl w:val="0"/>
          <w:lang w:val="de-DE"/>
        </w:rPr>
        <w:t>bibliography</w:t>
      </w:r>
    </w:p>
    <w:p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Style w:val="page number"/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"https://papyri.info/biblio/83723"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Bassi, D. (1916)</w:t>
      </w:r>
      <w:r>
        <w:rPr>
          <w:sz w:val="24"/>
          <w:szCs w:val="24"/>
        </w:rPr>
        <w:fldChar w:fldCharType="end" w:fldLock="0"/>
      </w:r>
      <w:r>
        <w:rPr>
          <w:color w:val="0563c1"/>
          <w:sz w:val="24"/>
          <w:szCs w:val="24"/>
          <w:u w:color="0563c1"/>
          <w:rtl w:val="0"/>
          <w:lang w:val="it-IT"/>
        </w:rPr>
        <w:t xml:space="preserve"> </w:t>
      </w:r>
      <w:r>
        <w:rPr>
          <w:color w:val="000000"/>
          <w:sz w:val="24"/>
          <w:szCs w:val="24"/>
          <w:u w:color="0563c1"/>
          <w:rtl w:val="0"/>
          <w:lang w:val="it-IT"/>
        </w:rPr>
        <w:t>“</w:t>
      </w:r>
      <w:r>
        <w:rPr>
          <w:color w:val="000000"/>
          <w:sz w:val="24"/>
          <w:szCs w:val="24"/>
          <w:u w:color="0563c1"/>
          <w:rtl w:val="0"/>
          <w:lang w:val="it-IT"/>
        </w:rPr>
        <w:t>Notizie di papiri ercolanesi inediti,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” </w:t>
      </w:r>
      <w:r>
        <w:rPr>
          <w:color w:val="000000"/>
          <w:sz w:val="24"/>
          <w:szCs w:val="24"/>
          <w:u w:color="0563c1"/>
          <w:rtl w:val="0"/>
          <w:lang w:val="it-IT"/>
        </w:rPr>
        <w:t>RFIC 44: 47-66</w:t>
      </w:r>
      <w:r>
        <w:rPr>
          <w:sz w:val="24"/>
          <w:szCs w:val="24"/>
          <w:rtl w:val="0"/>
          <w:lang w:val="it-IT"/>
        </w:rPr>
        <w:t xml:space="preserve">. </w:t>
      </w: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"https://papyri.info/biblio/83346"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de-DE"/>
        </w:rPr>
        <w:t>Diels, H. (1917)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it-IT"/>
        </w:rPr>
        <w:t xml:space="preserve">Philodemus </w:t>
      </w:r>
      <w:r>
        <w:rPr>
          <w:sz w:val="24"/>
          <w:szCs w:val="24"/>
          <w:rtl w:val="0"/>
          <w:lang w:val="it-IT"/>
        </w:rPr>
        <w:t>Ü</w:t>
      </w:r>
      <w:r>
        <w:rPr>
          <w:sz w:val="24"/>
          <w:szCs w:val="24"/>
          <w:rtl w:val="0"/>
          <w:lang w:val="it-IT"/>
        </w:rPr>
        <w:t>ber die G</w:t>
      </w:r>
      <w:r>
        <w:rPr>
          <w:sz w:val="24"/>
          <w:szCs w:val="24"/>
          <w:rtl w:val="0"/>
          <w:lang w:val="it-IT"/>
        </w:rPr>
        <w:t>ö</w:t>
      </w:r>
      <w:r>
        <w:rPr>
          <w:sz w:val="24"/>
          <w:szCs w:val="24"/>
          <w:rtl w:val="0"/>
          <w:lang w:val="it-IT"/>
        </w:rPr>
        <w:t>tter drittes Buch. I: Griechischer Text," APAW 4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  <w:lang w:val="it-IT"/>
        </w:rPr>
        <w:t xml:space="preserve"> 3-69.</w:t>
      </w:r>
    </w:p>
    <w:p>
      <w:pPr>
        <w:pStyle w:val="footnote text"/>
        <w:jc w:val="both"/>
        <w:rPr>
          <w:rStyle w:val="page number"/>
          <w:sz w:val="24"/>
          <w:szCs w:val="24"/>
          <w:lang w:val="en-US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  <w:r>
        <w:rPr>
          <w:rStyle w:val="Hyperlink.6"/>
          <w:color w:val="0432ff"/>
          <w:sz w:val="24"/>
          <w:szCs w:val="24"/>
          <w:lang w:val="it-IT"/>
        </w:rPr>
        <w:fldChar w:fldCharType="begin" w:fldLock="0"/>
      </w:r>
      <w:r>
        <w:rPr>
          <w:rStyle w:val="Hyperlink.6"/>
          <w:color w:val="0432ff"/>
          <w:sz w:val="24"/>
          <w:szCs w:val="24"/>
          <w:lang w:val="it-IT"/>
        </w:rPr>
        <w:instrText xml:space="preserve"> HYPERLINK "https://papyri.info/biblio/83644"</w:instrText>
      </w:r>
      <w:r>
        <w:rPr>
          <w:rStyle w:val="Hyperlink.6"/>
          <w:color w:val="0432ff"/>
          <w:sz w:val="24"/>
          <w:szCs w:val="24"/>
          <w:lang w:val="it-IT"/>
        </w:rPr>
        <w:fldChar w:fldCharType="separate" w:fldLock="0"/>
      </w:r>
      <w:r>
        <w:rPr>
          <w:rStyle w:val="Hyperlink.6"/>
          <w:color w:val="0432ff"/>
          <w:sz w:val="24"/>
          <w:szCs w:val="24"/>
          <w:rtl w:val="0"/>
          <w:lang w:val="de-DE"/>
        </w:rPr>
        <w:t>De Lacy, P.H. (1978)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 xml:space="preserve"> Philodemus, On Methods of Inference</w:t>
      </w:r>
      <w:r>
        <w:rPr>
          <w:rStyle w:val="page number"/>
          <w:sz w:val="24"/>
          <w:szCs w:val="24"/>
          <w:rtl w:val="0"/>
          <w:lang w:val="de-DE"/>
        </w:rPr>
        <w:t xml:space="preserve">. </w:t>
      </w:r>
      <w:r>
        <w:rPr>
          <w:rStyle w:val="page number"/>
          <w:sz w:val="24"/>
          <w:szCs w:val="24"/>
          <w:rtl w:val="0"/>
          <w:lang w:val="it-IT"/>
        </w:rPr>
        <w:t>Napoli.</w:t>
      </w: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  <w:rPr>
          <w:rStyle w:val="page number"/>
          <w:color w:val="000000"/>
          <w:sz w:val="24"/>
          <w:szCs w:val="24"/>
          <w:u w:color="0563c1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"https://papyri.info/biblio/83446"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Essler, H. (2012)</w:t>
      </w:r>
      <w:r>
        <w:rPr>
          <w:sz w:val="24"/>
          <w:szCs w:val="24"/>
        </w:rPr>
        <w:fldChar w:fldCharType="end" w:fldLock="0"/>
      </w:r>
      <w:r>
        <w:rPr>
          <w:rStyle w:val="page number"/>
          <w:color w:val="0563c1"/>
          <w:sz w:val="24"/>
          <w:szCs w:val="24"/>
          <w:u w:color="0563c1"/>
          <w:rtl w:val="0"/>
          <w:lang w:val="it-IT"/>
        </w:rPr>
        <w:t xml:space="preserve"> 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“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Die G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ö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 xml:space="preserve">tterbewegung (Phld. 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Di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 xml:space="preserve"> III, Kol. 10, 6-Kol. 11, 7),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 xml:space="preserve">” 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CErc 42: 259-275</w:t>
      </w:r>
      <w:r>
        <w:rPr>
          <w:rStyle w:val="page number"/>
          <w:color w:val="000000"/>
          <w:sz w:val="24"/>
          <w:szCs w:val="24"/>
          <w:u w:color="0563c1"/>
          <w:rtl w:val="0"/>
          <w:lang w:val="de-DE"/>
        </w:rPr>
        <w:t>.</w:t>
      </w:r>
    </w:p>
    <w:p>
      <w:pPr>
        <w:pStyle w:val="footnote text"/>
        <w:jc w:val="both"/>
        <w:rPr>
          <w:rStyle w:val="page number"/>
          <w:color w:val="000000"/>
          <w:sz w:val="24"/>
          <w:szCs w:val="24"/>
          <w:u w:color="0563c1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  <w:r>
        <w:rPr>
          <w:rStyle w:val="Hyperlink.7"/>
          <w:sz w:val="24"/>
          <w:szCs w:val="24"/>
          <w:lang w:val="it-IT"/>
        </w:rPr>
        <w:fldChar w:fldCharType="begin" w:fldLock="0"/>
      </w:r>
      <w:r>
        <w:rPr>
          <w:rStyle w:val="Hyperlink.7"/>
          <w:sz w:val="24"/>
          <w:szCs w:val="24"/>
          <w:lang w:val="it-IT"/>
        </w:rPr>
        <w:instrText xml:space="preserve"> HYPERLINK "https://papyri.info/biblio/83807"</w:instrText>
      </w:r>
      <w:r>
        <w:rPr>
          <w:rStyle w:val="Hyperlink.7"/>
          <w:sz w:val="24"/>
          <w:szCs w:val="24"/>
          <w:lang w:val="it-IT"/>
        </w:rPr>
        <w:fldChar w:fldCharType="separate" w:fldLock="0"/>
      </w:r>
      <w:r>
        <w:rPr>
          <w:rStyle w:val="Hyperlink.7"/>
          <w:sz w:val="24"/>
          <w:szCs w:val="24"/>
          <w:rtl w:val="0"/>
          <w:lang w:val="de-DE"/>
        </w:rPr>
        <w:t>Essler, H. (2011)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>: Glu</w:t>
      </w:r>
      <w:r>
        <w:rPr>
          <w:rStyle w:val="page number"/>
          <w:sz w:val="24"/>
          <w:szCs w:val="24"/>
          <w:rtl w:val="0"/>
          <w:lang w:val="it-IT"/>
        </w:rPr>
        <w:t>̈</w:t>
      </w:r>
      <w:r>
        <w:rPr>
          <w:rStyle w:val="page number"/>
          <w:sz w:val="24"/>
          <w:szCs w:val="24"/>
          <w:rtl w:val="0"/>
          <w:lang w:val="it-IT"/>
        </w:rPr>
        <w:t>ckselig und unsterblich. Epikureische Theologie bei Cicero und Philodem, mit einer Edition von PHerc. 152/157, Kol. 8-10</w:t>
      </w:r>
      <w:r>
        <w:rPr>
          <w:rStyle w:val="page number"/>
          <w:sz w:val="24"/>
          <w:szCs w:val="24"/>
          <w:rtl w:val="0"/>
          <w:lang w:val="de-DE"/>
        </w:rPr>
        <w:t>.</w:t>
      </w:r>
      <w:r>
        <w:rPr>
          <w:rStyle w:val="page number"/>
          <w:sz w:val="24"/>
          <w:szCs w:val="24"/>
          <w:rtl w:val="0"/>
          <w:lang w:val="it-IT"/>
        </w:rPr>
        <w:t xml:space="preserve"> Basel</w:t>
      </w:r>
      <w:r>
        <w:rPr>
          <w:rStyle w:val="page number"/>
          <w:sz w:val="24"/>
          <w:szCs w:val="24"/>
          <w:rtl w:val="0"/>
          <w:lang w:val="de-DE"/>
        </w:rPr>
        <w:t>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"https://papyri.info/biblio/83452"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Ferrario, M. (1972)</w:t>
      </w:r>
      <w:r>
        <w:rPr>
          <w:sz w:val="24"/>
          <w:szCs w:val="24"/>
        </w:rPr>
        <w:fldChar w:fldCharType="end" w:fldLock="0"/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 “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Filodemo </w:t>
      </w:r>
      <w:r>
        <w:rPr>
          <w:color w:val="000000"/>
          <w:sz w:val="24"/>
          <w:szCs w:val="24"/>
          <w:u w:color="0563c1"/>
          <w:rtl w:val="0"/>
          <w:lang w:val="it-IT"/>
        </w:rPr>
        <w:t>«</w:t>
      </w:r>
      <w:r>
        <w:rPr>
          <w:color w:val="000000"/>
          <w:sz w:val="24"/>
          <w:szCs w:val="24"/>
          <w:u w:color="0563c1"/>
          <w:rtl w:val="0"/>
          <w:lang w:val="it-IT"/>
        </w:rPr>
        <w:t>Sulla provvidenza</w:t>
      </w:r>
      <w:r>
        <w:rPr>
          <w:color w:val="000000"/>
          <w:sz w:val="24"/>
          <w:szCs w:val="24"/>
          <w:u w:color="0563c1"/>
          <w:rtl w:val="0"/>
          <w:lang w:val="it-IT"/>
        </w:rPr>
        <w:t>»</w:t>
      </w:r>
      <w:r>
        <w:rPr>
          <w:color w:val="000000"/>
          <w:sz w:val="24"/>
          <w:szCs w:val="24"/>
          <w:u w:color="0563c1"/>
          <w:rtl w:val="0"/>
          <w:lang w:val="it-IT"/>
        </w:rPr>
        <w:t>? (</w:t>
      </w:r>
      <w:r>
        <w:rPr>
          <w:rFonts w:ascii="IFAO-Grec Unicode" w:cs="Arial Unicode MS" w:hAnsi="IFAO-Grec Unicode" w:eastAsia="Arial Unicode MS"/>
          <w:b w:val="0"/>
          <w:bCs w:val="0"/>
          <w:i w:val="0"/>
          <w:iCs w:val="0"/>
          <w:color w:val="000000"/>
          <w:sz w:val="24"/>
          <w:szCs w:val="24"/>
          <w:u w:color="0563c1"/>
          <w:rtl w:val="0"/>
          <w:lang w:val="it-IT"/>
        </w:rPr>
        <w:t xml:space="preserve">PHerc. </w:t>
      </w:r>
      <w:r>
        <w:rPr>
          <w:color w:val="000000"/>
          <w:sz w:val="24"/>
          <w:szCs w:val="24"/>
          <w:u w:color="0563c1"/>
          <w:rtl w:val="0"/>
          <w:lang w:val="it-IT"/>
        </w:rPr>
        <w:t>1670)</w:t>
      </w:r>
      <w:r>
        <w:rPr>
          <w:color w:val="000000"/>
          <w:sz w:val="24"/>
          <w:szCs w:val="24"/>
          <w:u w:color="0563c1"/>
          <w:rtl w:val="0"/>
          <w:lang w:val="de-DE"/>
        </w:rPr>
        <w:t>,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” </w:t>
      </w:r>
      <w:r>
        <w:rPr>
          <w:color w:val="000000"/>
          <w:sz w:val="24"/>
          <w:szCs w:val="24"/>
          <w:u w:color="0563c1"/>
          <w:rtl w:val="0"/>
          <w:lang w:val="it-IT"/>
        </w:rPr>
        <w:t>CErc 2: 67-94</w:t>
      </w:r>
      <w:r>
        <w:rPr>
          <w:sz w:val="24"/>
          <w:szCs w:val="24"/>
          <w:rtl w:val="0"/>
          <w:lang w:val="it-IT"/>
        </w:rPr>
        <w:t xml:space="preserve">. </w:t>
      </w: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  <w:r>
        <w:rPr>
          <w:rStyle w:val="Hyperlink.6"/>
          <w:color w:val="0432ff"/>
          <w:sz w:val="24"/>
          <w:szCs w:val="24"/>
          <w:lang w:val="it-IT"/>
        </w:rPr>
        <w:fldChar w:fldCharType="begin" w:fldLock="0"/>
      </w:r>
      <w:r>
        <w:rPr>
          <w:rStyle w:val="Hyperlink.6"/>
          <w:color w:val="0432ff"/>
          <w:sz w:val="24"/>
          <w:szCs w:val="24"/>
          <w:lang w:val="it-IT"/>
        </w:rPr>
        <w:instrText xml:space="preserve"> HYPERLINK "https://papyri.info/biblio/83501"</w:instrText>
      </w:r>
      <w:r>
        <w:rPr>
          <w:rStyle w:val="Hyperlink.6"/>
          <w:color w:val="0432ff"/>
          <w:sz w:val="24"/>
          <w:szCs w:val="24"/>
          <w:lang w:val="it-IT"/>
        </w:rPr>
        <w:fldChar w:fldCharType="separate" w:fldLock="0"/>
      </w:r>
      <w:r>
        <w:rPr>
          <w:rStyle w:val="Hyperlink.6"/>
          <w:color w:val="0432ff"/>
          <w:sz w:val="24"/>
          <w:szCs w:val="24"/>
          <w:rtl w:val="0"/>
          <w:lang w:val="de-DE"/>
        </w:rPr>
        <w:t>Laursen, S. (1995)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 xml:space="preserve"> </w:t>
      </w:r>
      <w:r>
        <w:rPr>
          <w:rStyle w:val="page number"/>
          <w:sz w:val="24"/>
          <w:szCs w:val="24"/>
          <w:rtl w:val="0"/>
          <w:lang w:val="en-US"/>
        </w:rPr>
        <w:t>"The Early parts of Epicurus, On Nature, 25th book,</w:t>
      </w:r>
      <w:r>
        <w:rPr>
          <w:rStyle w:val="page number"/>
          <w:color w:val="000000"/>
          <w:sz w:val="24"/>
          <w:szCs w:val="24"/>
          <w:u w:color="0563c1"/>
          <w:rtl w:val="0"/>
        </w:rPr>
        <w:t>”</w:t>
      </w:r>
      <w:r>
        <w:rPr>
          <w:rStyle w:val="page number"/>
          <w:sz w:val="24"/>
          <w:szCs w:val="24"/>
          <w:rtl w:val="0"/>
          <w:lang w:val="en-US"/>
        </w:rPr>
        <w:t xml:space="preserve"> 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CErc</w:t>
      </w:r>
      <w:r>
        <w:rPr>
          <w:rStyle w:val="page number"/>
          <w:sz w:val="24"/>
          <w:szCs w:val="24"/>
          <w:rtl w:val="0"/>
          <w:lang w:val="en-US"/>
        </w:rPr>
        <w:t xml:space="preserve"> 25</w:t>
      </w:r>
      <w:r>
        <w:rPr>
          <w:rStyle w:val="page number"/>
          <w:sz w:val="24"/>
          <w:szCs w:val="24"/>
          <w:rtl w:val="0"/>
          <w:lang w:val="de-DE"/>
        </w:rPr>
        <w:t>:</w:t>
      </w:r>
      <w:r>
        <w:rPr>
          <w:rStyle w:val="page number"/>
          <w:sz w:val="24"/>
          <w:szCs w:val="24"/>
          <w:rtl w:val="0"/>
          <w:lang w:val="en-US"/>
        </w:rPr>
        <w:t xml:space="preserve"> 5-110.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"https://papyri.info/biblio/83833"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Leone, G. (2012)</w:t>
      </w:r>
      <w:r>
        <w:rPr>
          <w:sz w:val="24"/>
          <w:szCs w:val="24"/>
        </w:rPr>
        <w:fldChar w:fldCharType="end" w:fldLock="0"/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 Epicuro, </w:t>
      </w:r>
      <w:r>
        <w:rPr>
          <w:rFonts w:ascii="IFAO-Grec Unicode" w:cs="Arial Unicode MS" w:hAnsi="IFAO-Grec Unicode" w:eastAsia="Arial Unicode MS"/>
          <w:b w:val="0"/>
          <w:bCs w:val="0"/>
          <w:i w:val="0"/>
          <w:iCs w:val="0"/>
          <w:color w:val="000000"/>
          <w:sz w:val="24"/>
          <w:szCs w:val="24"/>
          <w:u w:color="0563c1"/>
          <w:rtl w:val="0"/>
          <w:lang w:val="it-IT"/>
        </w:rPr>
        <w:t>Sulla natura</w:t>
      </w:r>
      <w:r>
        <w:rPr>
          <w:color w:val="000000"/>
          <w:sz w:val="24"/>
          <w:szCs w:val="24"/>
          <w:u w:color="0563c1"/>
          <w:rtl w:val="0"/>
          <w:lang w:val="it-IT"/>
        </w:rPr>
        <w:t>, libro II</w:t>
      </w:r>
      <w:r>
        <w:rPr>
          <w:color w:val="000000"/>
          <w:sz w:val="24"/>
          <w:szCs w:val="24"/>
          <w:u w:color="0563c1"/>
          <w:rtl w:val="0"/>
          <w:lang w:val="de-DE"/>
        </w:rPr>
        <w:t>.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 Napoli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"https://papyri.info/biblio/83504"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Leone, G. (1984)</w:t>
      </w:r>
      <w:r>
        <w:rPr>
          <w:sz w:val="24"/>
          <w:szCs w:val="24"/>
        </w:rPr>
        <w:fldChar w:fldCharType="end" w:fldLock="0"/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 “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Epicuro, </w:t>
      </w:r>
      <w:r>
        <w:rPr>
          <w:rFonts w:ascii="IFAO-Grec Unicode" w:cs="Arial Unicode MS" w:hAnsi="IFAO-Grec Unicode" w:eastAsia="Arial Unicode MS"/>
          <w:b w:val="0"/>
          <w:bCs w:val="0"/>
          <w:i w:val="0"/>
          <w:iCs w:val="0"/>
          <w:color w:val="000000"/>
          <w:sz w:val="24"/>
          <w:szCs w:val="24"/>
          <w:u w:color="0563c1"/>
          <w:rtl w:val="0"/>
          <w:lang w:val="it-IT"/>
        </w:rPr>
        <w:t>Della natura</w:t>
      </w:r>
      <w:r>
        <w:rPr>
          <w:color w:val="000000"/>
          <w:sz w:val="24"/>
          <w:szCs w:val="24"/>
          <w:u w:color="0563c1"/>
          <w:rtl w:val="0"/>
          <w:lang w:val="it-IT"/>
        </w:rPr>
        <w:t>, libro XIV,</w:t>
      </w:r>
      <w:r>
        <w:rPr>
          <w:color w:val="000000"/>
          <w:sz w:val="24"/>
          <w:szCs w:val="24"/>
          <w:u w:color="0563c1"/>
          <w:rtl w:val="0"/>
          <w:lang w:val="it-IT"/>
        </w:rPr>
        <w:t xml:space="preserve">” </w:t>
      </w:r>
      <w:r>
        <w:rPr>
          <w:color w:val="000000"/>
          <w:sz w:val="24"/>
          <w:szCs w:val="24"/>
          <w:u w:color="0563c1"/>
          <w:rtl w:val="0"/>
          <w:lang w:val="it-IT"/>
        </w:rPr>
        <w:t>CErc 14: 17-107</w:t>
      </w:r>
      <w:r>
        <w:rPr>
          <w:rStyle w:val="page number"/>
          <w:sz w:val="24"/>
          <w:szCs w:val="24"/>
          <w:rtl w:val="0"/>
          <w:lang w:val="it-IT"/>
        </w:rPr>
        <w:t>.</w:t>
      </w:r>
    </w:p>
    <w:p>
      <w:pPr>
        <w:pStyle w:val="footnote text"/>
        <w:rPr>
          <w:sz w:val="24"/>
          <w:szCs w:val="24"/>
        </w:rPr>
      </w:pPr>
    </w:p>
    <w:p>
      <w:pPr>
        <w:pStyle w:val="footnote text"/>
        <w:rPr>
          <w:sz w:val="24"/>
          <w:szCs w:val="24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"https://papyri.info/biblio/83541"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de-DE"/>
        </w:rPr>
        <w:t>Monet, A. (1996)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it-IT"/>
        </w:rPr>
        <w:t xml:space="preserve"> “</w:t>
      </w:r>
      <w:r>
        <w:rPr>
          <w:sz w:val="24"/>
          <w:szCs w:val="24"/>
          <w:rtl w:val="0"/>
          <w:lang w:val="it-IT"/>
        </w:rPr>
        <w:t>[Philod</w:t>
      </w:r>
      <w:r>
        <w:rPr>
          <w:sz w:val="24"/>
          <w:szCs w:val="24"/>
          <w:rtl w:val="0"/>
          <w:lang w:val="it-IT"/>
        </w:rPr>
        <w:t>è</w:t>
      </w:r>
      <w:r>
        <w:rPr>
          <w:sz w:val="24"/>
          <w:szCs w:val="24"/>
          <w:rtl w:val="0"/>
          <w:lang w:val="it-IT"/>
        </w:rPr>
        <w:t>me, Sur les sensations], PHerc. 19/698,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 </w:t>
      </w:r>
      <w:r>
        <w:rPr>
          <w:rStyle w:val="page number"/>
          <w:color w:val="000000"/>
          <w:sz w:val="24"/>
          <w:szCs w:val="24"/>
          <w:u w:color="0563c1"/>
          <w:rtl w:val="0"/>
          <w:lang w:val="it-IT"/>
        </w:rPr>
        <w:t>CErc</w:t>
      </w:r>
      <w:r>
        <w:rPr>
          <w:sz w:val="24"/>
          <w:szCs w:val="24"/>
          <w:rtl w:val="0"/>
          <w:lang w:val="it-IT"/>
        </w:rPr>
        <w:t xml:space="preserve"> 26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  <w:lang w:val="it-IT"/>
        </w:rPr>
        <w:t xml:space="preserve"> 27-117.</w:t>
      </w:r>
    </w:p>
    <w:p>
      <w:pPr>
        <w:pStyle w:val="footnote text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  <w:rPr>
          <w:color w:val="000000"/>
          <w:sz w:val="24"/>
          <w:szCs w:val="24"/>
          <w:u w:color="0563c1"/>
          <w:lang w:val="en-US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"https://papyri.info/biblio/83888"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en-US"/>
        </w:rPr>
        <w:t>Obbink, D. (1996)</w:t>
      </w:r>
      <w:r>
        <w:rPr>
          <w:sz w:val="24"/>
          <w:szCs w:val="24"/>
        </w:rPr>
        <w:fldChar w:fldCharType="end" w:fldLock="0"/>
      </w:r>
      <w:r>
        <w:rPr>
          <w:color w:val="000000"/>
          <w:sz w:val="24"/>
          <w:szCs w:val="24"/>
          <w:u w:color="0563c1"/>
          <w:rtl w:val="0"/>
          <w:lang w:val="en-US"/>
        </w:rPr>
        <w:t xml:space="preserve"> Philodemus, </w:t>
      </w:r>
      <w:r>
        <w:rPr>
          <w:rFonts w:ascii="IFAO-Grec Unicode" w:cs="Arial Unicode MS" w:hAnsi="IFAO-Grec Unicode" w:eastAsia="Arial Unicode MS"/>
          <w:b w:val="0"/>
          <w:bCs w:val="0"/>
          <w:i w:val="0"/>
          <w:iCs w:val="0"/>
          <w:color w:val="000000"/>
          <w:sz w:val="24"/>
          <w:szCs w:val="24"/>
          <w:u w:color="0563c1"/>
          <w:rtl w:val="0"/>
          <w:lang w:val="en-US"/>
        </w:rPr>
        <w:t>On piety</w:t>
      </w:r>
      <w:r>
        <w:rPr>
          <w:color w:val="000000"/>
          <w:sz w:val="24"/>
          <w:szCs w:val="24"/>
          <w:u w:color="0563c1"/>
          <w:rtl w:val="0"/>
          <w:lang w:val="en-US"/>
        </w:rPr>
        <w:t>, Part 1</w:t>
      </w:r>
      <w:r>
        <w:rPr>
          <w:color w:val="000000"/>
          <w:sz w:val="24"/>
          <w:szCs w:val="24"/>
          <w:u w:color="0563c1"/>
          <w:rtl w:val="0"/>
          <w:lang w:val="de-DE"/>
        </w:rPr>
        <w:t>.</w:t>
      </w:r>
      <w:r>
        <w:rPr>
          <w:color w:val="000000"/>
          <w:sz w:val="24"/>
          <w:szCs w:val="24"/>
          <w:u w:color="0563c1"/>
          <w:rtl w:val="0"/>
          <w:lang w:val="en-US"/>
        </w:rPr>
        <w:t xml:space="preserve"> Oxford</w:t>
      </w:r>
      <w:r>
        <w:rPr>
          <w:color w:val="000000"/>
          <w:sz w:val="24"/>
          <w:szCs w:val="24"/>
          <w:u w:color="0563c1"/>
          <w:rtl w:val="0"/>
          <w:lang w:val="de-DE"/>
        </w:rPr>
        <w:t>.</w:t>
      </w: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en-US"/>
        </w:rPr>
      </w:pP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"https://papyri.info/biblio/96001"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en-US"/>
        </w:rPr>
        <w:t>Piergiacomi, E. (2017)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 xml:space="preserve"> Storia delle antiche teologie atomiste</w:t>
      </w:r>
      <w:r>
        <w:rPr>
          <w:rStyle w:val="page number"/>
          <w:sz w:val="24"/>
          <w:szCs w:val="24"/>
          <w:rtl w:val="0"/>
          <w:lang w:val="de-DE"/>
        </w:rPr>
        <w:t>.</w:t>
      </w:r>
      <w:r>
        <w:rPr>
          <w:rStyle w:val="page number"/>
          <w:sz w:val="24"/>
          <w:szCs w:val="24"/>
          <w:rtl w:val="0"/>
          <w:lang w:val="it-IT"/>
        </w:rPr>
        <w:t xml:space="preserve"> Roma</w:t>
      </w:r>
      <w:r>
        <w:rPr>
          <w:rStyle w:val="page number"/>
          <w:sz w:val="24"/>
          <w:szCs w:val="24"/>
          <w:rtl w:val="0"/>
          <w:lang w:val="de-DE"/>
        </w:rPr>
        <w:t>.</w:t>
      </w:r>
    </w:p>
    <w:p>
      <w:pPr>
        <w:pStyle w:val="footnote text"/>
        <w:rPr>
          <w:sz w:val="24"/>
          <w:szCs w:val="24"/>
        </w:rPr>
      </w:pP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  <w:r>
        <w:rPr>
          <w:rStyle w:val="Hyperlink.6"/>
          <w:color w:val="0432ff"/>
          <w:sz w:val="24"/>
          <w:szCs w:val="24"/>
          <w:lang w:val="it-IT"/>
        </w:rPr>
        <w:fldChar w:fldCharType="begin" w:fldLock="0"/>
      </w:r>
      <w:r>
        <w:rPr>
          <w:rStyle w:val="Hyperlink.6"/>
          <w:color w:val="0432ff"/>
          <w:sz w:val="24"/>
          <w:szCs w:val="24"/>
          <w:lang w:val="it-IT"/>
        </w:rPr>
        <w:instrText xml:space="preserve"> HYPERLINK "https://papyri.info/biblio/83655"</w:instrText>
      </w:r>
      <w:r>
        <w:rPr>
          <w:rStyle w:val="Hyperlink.6"/>
          <w:color w:val="0432ff"/>
          <w:sz w:val="24"/>
          <w:szCs w:val="24"/>
          <w:lang w:val="it-IT"/>
        </w:rPr>
        <w:fldChar w:fldCharType="separate" w:fldLock="0"/>
      </w:r>
      <w:r>
        <w:rPr>
          <w:rStyle w:val="Hyperlink.6"/>
          <w:color w:val="0432ff"/>
          <w:sz w:val="24"/>
          <w:szCs w:val="24"/>
          <w:rtl w:val="0"/>
          <w:lang w:val="de-DE"/>
        </w:rPr>
        <w:t>Santoro, M. (2000)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 xml:space="preserve"> (Demetrio Lacone) (La forma del Dio) (PHerc. 1055)</w:t>
      </w:r>
      <w:r>
        <w:rPr>
          <w:rStyle w:val="page number"/>
          <w:sz w:val="24"/>
          <w:szCs w:val="24"/>
          <w:rtl w:val="0"/>
          <w:lang w:val="de-DE"/>
        </w:rPr>
        <w:t xml:space="preserve">. </w:t>
      </w:r>
      <w:r>
        <w:rPr>
          <w:rStyle w:val="page number"/>
          <w:sz w:val="24"/>
          <w:szCs w:val="24"/>
          <w:rtl w:val="0"/>
          <w:lang w:val="it-IT"/>
        </w:rPr>
        <w:t>Napoli.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footnote text"/>
        <w:rPr>
          <w:rStyle w:val="page number"/>
          <w:sz w:val="24"/>
          <w:szCs w:val="24"/>
          <w:lang w:val="it-IT"/>
        </w:rPr>
      </w:pPr>
      <w:r>
        <w:rPr>
          <w:rStyle w:val="Hyperlink.5"/>
          <w:color w:val="0432ff"/>
          <w:sz w:val="24"/>
          <w:szCs w:val="24"/>
        </w:rPr>
        <w:fldChar w:fldCharType="begin" w:fldLock="0"/>
      </w:r>
      <w:r>
        <w:rPr>
          <w:rStyle w:val="Hyperlink.5"/>
          <w:color w:val="0432ff"/>
          <w:sz w:val="24"/>
          <w:szCs w:val="24"/>
        </w:rPr>
        <w:instrText xml:space="preserve"> HYPERLINK "https://papyri.info/biblio/83858"</w:instrText>
      </w:r>
      <w:r>
        <w:rPr>
          <w:rStyle w:val="Hyperlink.5"/>
          <w:color w:val="0432ff"/>
          <w:sz w:val="24"/>
          <w:szCs w:val="24"/>
        </w:rPr>
        <w:fldChar w:fldCharType="separate" w:fldLock="0"/>
      </w:r>
      <w:r>
        <w:rPr>
          <w:rStyle w:val="Hyperlink.5"/>
          <w:color w:val="0432ff"/>
          <w:sz w:val="24"/>
          <w:szCs w:val="24"/>
          <w:rtl w:val="0"/>
          <w:lang w:val="de-DE"/>
        </w:rPr>
        <w:t>Tsouna, V. (2012)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it-IT"/>
        </w:rPr>
        <w:t>Philodemus, On Property Management</w:t>
      </w:r>
      <w:r>
        <w:rPr>
          <w:sz w:val="24"/>
          <w:szCs w:val="24"/>
          <w:rtl w:val="0"/>
          <w:lang w:val="de-DE"/>
        </w:rPr>
        <w:t xml:space="preserve">. </w:t>
      </w:r>
      <w:r>
        <w:rPr>
          <w:sz w:val="24"/>
          <w:szCs w:val="24"/>
          <w:rtl w:val="0"/>
          <w:lang w:val="it-IT"/>
        </w:rPr>
        <w:t>Atlanta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"https://papyri.info/biblio/95908"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en-US"/>
        </w:rPr>
        <w:t>Vergara, C. (2020)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it-IT"/>
        </w:rPr>
        <w:t xml:space="preserve"> “</w:t>
      </w:r>
      <w:r>
        <w:rPr>
          <w:sz w:val="24"/>
          <w:szCs w:val="24"/>
          <w:rtl w:val="0"/>
          <w:lang w:val="it-IT"/>
        </w:rPr>
        <w:t>I papiri dell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opera </w:t>
      </w:r>
      <w:r>
        <w:rPr>
          <w:rStyle w:val="page number"/>
          <w:sz w:val="24"/>
          <w:szCs w:val="24"/>
          <w:rtl w:val="0"/>
          <w:lang w:val="it-IT"/>
        </w:rPr>
        <w:t xml:space="preserve">De providentia </w:t>
      </w:r>
      <w:r>
        <w:rPr>
          <w:sz w:val="24"/>
          <w:szCs w:val="24"/>
          <w:rtl w:val="0"/>
          <w:lang w:val="it-IT"/>
        </w:rPr>
        <w:t>di Filodemo,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CErc 50: 91-100.</w:t>
      </w:r>
    </w:p>
    <w:p>
      <w:pPr>
        <w:pStyle w:val="footnote text"/>
        <w:jc w:val="both"/>
        <w:rPr>
          <w:rStyle w:val="page number"/>
          <w:sz w:val="24"/>
          <w:szCs w:val="24"/>
          <w:lang w:val="it-IT"/>
        </w:rPr>
      </w:pPr>
    </w:p>
    <w:p>
      <w:pPr>
        <w:pStyle w:val="footnote text"/>
        <w:jc w:val="both"/>
      </w:pP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"https://papyri.info/biblio/95909"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en-US"/>
        </w:rPr>
        <w:t>Wigodsky, M. (2007)</w:t>
      </w:r>
      <w:r>
        <w:rPr>
          <w:sz w:val="24"/>
          <w:szCs w:val="24"/>
        </w:rPr>
        <w:fldChar w:fldCharType="end" w:fldLock="0"/>
      </w:r>
      <w:r>
        <w:rPr>
          <w:rStyle w:val="page number"/>
          <w:sz w:val="24"/>
          <w:szCs w:val="24"/>
          <w:rtl w:val="0"/>
          <w:lang w:val="it-IT"/>
        </w:rPr>
        <w:t xml:space="preserve"> “</w:t>
      </w:r>
      <w:r>
        <w:rPr>
          <w:rStyle w:val="page number"/>
          <w:sz w:val="24"/>
          <w:szCs w:val="24"/>
          <w:rtl w:val="0"/>
          <w:lang w:val="it-IT"/>
        </w:rPr>
        <w:t>Homoiotetes</w:t>
      </w:r>
      <w:r>
        <w:rPr>
          <w:rStyle w:val="page number"/>
          <w:sz w:val="24"/>
          <w:szCs w:val="24"/>
          <w:rtl w:val="0"/>
          <w:lang w:val="it-IT"/>
        </w:rPr>
        <w:t xml:space="preserve">, </w:t>
      </w:r>
      <w:r>
        <w:rPr>
          <w:rStyle w:val="page number"/>
          <w:sz w:val="24"/>
          <w:szCs w:val="24"/>
          <w:rtl w:val="0"/>
          <w:lang w:val="it-IT"/>
        </w:rPr>
        <w:t>Stoicheia</w:t>
      </w:r>
      <w:r>
        <w:rPr>
          <w:rStyle w:val="page number"/>
          <w:sz w:val="24"/>
          <w:szCs w:val="24"/>
          <w:rtl w:val="0"/>
          <w:lang w:val="it-IT"/>
        </w:rPr>
        <w:t xml:space="preserve"> and </w:t>
      </w:r>
      <w:r>
        <w:rPr>
          <w:rStyle w:val="page number"/>
          <w:sz w:val="24"/>
          <w:szCs w:val="24"/>
          <w:rtl w:val="0"/>
          <w:lang w:val="it-IT"/>
        </w:rPr>
        <w:t>Homoiomereiai</w:t>
      </w:r>
      <w:r>
        <w:rPr>
          <w:rStyle w:val="page number"/>
          <w:sz w:val="24"/>
          <w:szCs w:val="24"/>
          <w:rtl w:val="0"/>
          <w:lang w:val="it-IT"/>
        </w:rPr>
        <w:t xml:space="preserve"> in Epicurus</w:t>
      </w:r>
      <w:r>
        <w:rPr>
          <w:rStyle w:val="page number"/>
          <w:sz w:val="24"/>
          <w:szCs w:val="24"/>
          <w:rtl w:val="0"/>
          <w:lang w:val="de-DE"/>
        </w:rPr>
        <w:t>,</w:t>
      </w:r>
      <w:r>
        <w:rPr>
          <w:rStyle w:val="page number"/>
          <w:sz w:val="24"/>
          <w:szCs w:val="24"/>
          <w:rtl w:val="0"/>
          <w:lang w:val="it-IT"/>
        </w:rPr>
        <w:t xml:space="preserve">” </w:t>
      </w:r>
      <w:r>
        <w:rPr>
          <w:rStyle w:val="page number"/>
          <w:sz w:val="24"/>
          <w:szCs w:val="24"/>
          <w:rtl w:val="0"/>
          <w:lang w:val="it-IT"/>
        </w:rPr>
        <w:t>CQ 57.2: 521-542</w:t>
      </w:r>
      <w:r>
        <w:rPr>
          <w:rStyle w:val="page number"/>
          <w:sz w:val="24"/>
          <w:szCs w:val="24"/>
          <w:rtl w:val="0"/>
          <w:lang w:val="de-DE"/>
        </w:rPr>
        <w:t>.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  <w:jc w:val="right"/>
    </w:pPr>
    <w:r>
      <w:rPr>
        <w:rStyle w:val="page number"/>
        <w:sz w:val="20"/>
        <w:szCs w:val="20"/>
        <w:rtl w:val="0"/>
      </w:rPr>
      <w:fldChar w:fldCharType="begin" w:fldLock="0"/>
    </w:r>
    <w:r>
      <w:rPr>
        <w:rStyle w:val="page number"/>
        <w:sz w:val="20"/>
        <w:szCs w:val="20"/>
        <w:rtl w:val="0"/>
      </w:rPr>
      <w:instrText xml:space="preserve"> PAGE </w:instrText>
    </w:r>
    <w:r>
      <w:rPr>
        <w:rStyle w:val="page number"/>
        <w:sz w:val="20"/>
        <w:szCs w:val="20"/>
        <w:rtl w:val="0"/>
      </w:rPr>
      <w:fldChar w:fldCharType="separate" w:fldLock="0"/>
    </w:r>
    <w:r>
      <w:rPr>
        <w:rStyle w:val="page number"/>
        <w:sz w:val="20"/>
        <w:szCs w:val="20"/>
        <w:rtl w:val="0"/>
      </w:rPr>
      <w:t>7</w:t>
    </w:r>
    <w:r>
      <w:rPr>
        <w:rStyle w:val="page number"/>
        <w:sz w:val="20"/>
        <w:szCs w:val="20"/>
        <w:rtl w:val="0"/>
      </w:rPr>
      <w:fldChar w:fldCharType="end" w:fldLock="0"/>
    </w: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La prima edizione del </w:t>
      </w:r>
      <w:r>
        <w:rPr>
          <w:rStyle w:val="page number"/>
          <w:rtl w:val="0"/>
          <w:lang w:val="it-IT"/>
        </w:rPr>
        <w:t>P.Herc</w:t>
      </w:r>
      <w:r>
        <w:rPr>
          <w:rtl w:val="0"/>
          <w:lang w:val="it-IT"/>
        </w:rPr>
        <w:t xml:space="preserve">. 1670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"https://papyri.info/biblio/83723"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Bassi 1916</w:t>
      </w:r>
      <w:r>
        <w:rPr/>
        <w:fldChar w:fldCharType="end" w:fldLock="0"/>
      </w:r>
      <w:r>
        <w:rPr>
          <w:rtl w:val="0"/>
          <w:lang w:val="it-IT"/>
        </w:rPr>
        <w:t xml:space="preserve">. Il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riedito parzialmente da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Ferrario 1972</w:t>
      </w:r>
      <w:r>
        <w:rPr/>
        <w:fldChar w:fldCharType="end" w:fldLock="0"/>
      </w:r>
      <w:r>
        <w:rPr>
          <w:rtl w:val="0"/>
          <w:lang w:val="it-IT"/>
        </w:rPr>
        <w:t xml:space="preserve">. </w:t>
      </w:r>
    </w:p>
  </w:footnote>
  <w:footnote w:id="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Le parti iniziali sono conservate nelle scorze inventariate come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"http://papyri.info/dclp/62483"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1577/1579</w:t>
      </w:r>
      <w:r>
        <w:rPr/>
        <w:fldChar w:fldCharType="end" w:fldLock="0"/>
      </w:r>
      <w:r>
        <w:rPr>
          <w:rtl w:val="0"/>
          <w:lang w:val="it-IT"/>
        </w:rPr>
        <w:t xml:space="preserve"> 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"http://papyri.info/dclp/62457"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1100</w:t>
      </w:r>
      <w:r>
        <w:rPr/>
        <w:fldChar w:fldCharType="end" w:fldLock="0"/>
      </w:r>
      <w:r>
        <w:rPr>
          <w:rtl w:val="0"/>
          <w:lang w:val="it-IT"/>
        </w:rPr>
        <w:t xml:space="preserve">: vd.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"https://papyri.info/biblio/95908"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Vergara 2020</w:t>
      </w:r>
      <w:r>
        <w:rPr/>
        <w:fldChar w:fldCharType="end" w:fldLock="0"/>
      </w:r>
      <w:r>
        <w:rPr>
          <w:rtl w:val="0"/>
          <w:lang w:val="de-DE"/>
        </w:rPr>
        <w:t>.</w:t>
      </w:r>
    </w:p>
  </w:footnote>
  <w:footnote w:id="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La numerazione di Bassi non segue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ordine originale delle colonne; inoltre, le colonne registrate come frr. 25, 28, 29*, 30 e 30* (Bassi indic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asterisco quelle non segnalate sul cartoncino del papiro) non appartengono in realt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opera </w:t>
      </w:r>
      <w:r>
        <w:rPr>
          <w:rStyle w:val="page number"/>
          <w:rtl w:val="0"/>
          <w:lang w:val="it-IT"/>
        </w:rPr>
        <w:t>De providentia</w:t>
      </w:r>
      <w:r>
        <w:rPr>
          <w:rtl w:val="0"/>
          <w:lang w:val="it-IT"/>
        </w:rPr>
        <w:t xml:space="preserve">: vd.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"https://papyri.info/biblio/95908"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Vergara 2020</w:t>
      </w:r>
      <w:r>
        <w:rPr/>
        <w:fldChar w:fldCharType="end" w:fldLock="0"/>
      </w:r>
      <w:r>
        <w:rPr>
          <w:rtl w:val="0"/>
          <w:lang w:val="de-DE"/>
        </w:rPr>
        <w:t>:</w:t>
      </w:r>
      <w:r>
        <w:rPr>
          <w:rtl w:val="0"/>
          <w:lang w:val="it-IT"/>
        </w:rPr>
        <w:t xml:space="preserve"> 93-94.</w:t>
      </w:r>
    </w:p>
  </w:footnote>
  <w:footnote w:id="4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Ferrario 1972</w:t>
      </w:r>
      <w:r>
        <w:rPr/>
        <w:fldChar w:fldCharType="end" w:fldLock="0"/>
      </w:r>
      <w:r>
        <w:rPr>
          <w:rtl w:val="0"/>
          <w:lang w:val="de-DE"/>
        </w:rPr>
        <w:t>:</w:t>
      </w:r>
      <w:r>
        <w:rPr>
          <w:rtl w:val="0"/>
        </w:rPr>
        <w:t xml:space="preserve"> 82-88.</w:t>
      </w:r>
    </w:p>
  </w:footnote>
  <w:footnote w:id="5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Bassi registr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come frr. 27.1, 27.2 e 27.3 le tre diverse colonne che sul cartoncino del papiro sono tutte segnalate come fr. 27. La colonna si trova in cr 3 pz 5 (MSI 1670-CR03-09093 + 1670-CR03-10750).</w:t>
      </w:r>
    </w:p>
  </w:footnote>
  <w:footnote w:id="6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Le letture della studiosa non sono peraltro presenti nell</w:t>
      </w:r>
      <w:r>
        <w:rPr>
          <w:rtl w:val="0"/>
          <w:lang w:val="it-IT"/>
        </w:rPr>
        <w:t>’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"https://papyri.info/dclp/62498"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 xml:space="preserve">edizione digitale del </w:t>
      </w:r>
      <w:r>
        <w:rPr>
          <w:rStyle w:val="Hyperlink.1"/>
          <w:rtl w:val="0"/>
          <w:lang w:val="it-IT"/>
        </w:rPr>
        <w:t>P.Herc.</w:t>
      </w:r>
      <w:r>
        <w:rPr>
          <w:rStyle w:val="Hyperlink.0"/>
          <w:rtl w:val="0"/>
          <w:lang w:val="it-IT"/>
        </w:rPr>
        <w:t xml:space="preserve"> 1670 su papyri.info</w:t>
      </w:r>
      <w:r>
        <w:rPr/>
        <w:fldChar w:fldCharType="end" w:fldLock="0"/>
      </w:r>
      <w:r>
        <w:rPr>
          <w:rtl w:val="0"/>
          <w:lang w:val="it-IT"/>
        </w:rPr>
        <w:t>, dal momento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edizione di riferimento del papiro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ancora quella curata da Bassi, per cui per il fr. 27.2, al 5 novembre 2021, risulta registrata sulla piattaforma soltanto la sua lettura </w:t>
      </w:r>
      <w:r>
        <w:rPr>
          <w:rtl w:val="0"/>
          <w:lang w:val="it-IT"/>
        </w:rPr>
        <w:t xml:space="preserve">ἡδέων </w:t>
      </w:r>
      <w:r>
        <w:rPr>
          <w:rtl w:val="0"/>
          <w:lang w:val="it-IT"/>
        </w:rPr>
        <w:t>a l. 5.</w:t>
      </w:r>
    </w:p>
  </w:footnote>
  <w:footnote w:id="7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Ferrario 1972</w:t>
      </w:r>
      <w:r>
        <w:rPr/>
        <w:fldChar w:fldCharType="end" w:fldLock="0"/>
      </w:r>
      <w:r>
        <w:rPr>
          <w:rtl w:val="0"/>
          <w:lang w:val="de-DE"/>
        </w:rPr>
        <w:t>:</w:t>
      </w:r>
      <w:r>
        <w:rPr>
          <w:rtl w:val="0"/>
        </w:rPr>
        <w:t xml:space="preserve"> 88.</w:t>
      </w:r>
    </w:p>
  </w:footnote>
  <w:footnote w:id="8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Mi riservo di fare comunque ulteriori verifiche in futuro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originale per i punti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dubbi della colonna (ll. 1, 2 e 6), che non ho potuto ricontrollare a causa della chiusura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Officina dei Papiri Ercolanesi.</w:t>
      </w:r>
    </w:p>
  </w:footnote>
  <w:footnote w:id="9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Nel </w:t>
      </w:r>
      <w:r>
        <w:rPr>
          <w:rStyle w:val="page number"/>
          <w:rtl w:val="0"/>
          <w:lang w:val="it-IT"/>
        </w:rPr>
        <w:t xml:space="preserve">P.Herc. </w:t>
      </w:r>
      <w:r>
        <w:rPr>
          <w:rtl w:val="0"/>
          <w:lang w:val="it-IT"/>
        </w:rPr>
        <w:t xml:space="preserve">1670 cf. anche fr. 10, 8 s., dove si legge </w:t>
      </w:r>
      <w:r>
        <w:rPr>
          <w:rtl w:val="0"/>
          <w:lang w:val="it-IT"/>
        </w:rPr>
        <w:t>καὶ διότι πάν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θ’ ἁπλῶς </w:t>
      </w:r>
      <w:r>
        <w:rPr>
          <w:rStyle w:val="page number"/>
          <w:color w:val="000000"/>
          <w:u w:color="000000"/>
          <w:rtl w:val="0"/>
          <w:lang w:val="it-IT"/>
        </w:rPr>
        <w:t>ἅ</w:t>
      </w:r>
      <w:r>
        <w:rPr>
          <w:rtl w:val="0"/>
          <w:lang w:val="it-IT"/>
        </w:rPr>
        <w:t xml:space="preserve"> φαϲιν …</w:t>
      </w:r>
      <w:r>
        <w:rPr>
          <w:rtl w:val="0"/>
          <w:lang w:val="it-IT"/>
        </w:rPr>
        <w:t>. In totale ho contato altre 19 occorrenze del nesso nelle opere di Filodemo.</w:t>
      </w:r>
    </w:p>
  </w:footnote>
  <w:footnote w:id="10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LSJ, </w:t>
      </w:r>
      <w:r>
        <w:rPr>
          <w:rStyle w:val="page number"/>
          <w:rtl w:val="0"/>
          <w:lang w:val="it-IT"/>
        </w:rPr>
        <w:t xml:space="preserve">s.v. </w:t>
      </w:r>
      <w:r>
        <w:rPr>
          <w:rtl w:val="0"/>
          <w:lang w:val="it-IT"/>
        </w:rPr>
        <w:t>ἁπλῶς</w:t>
      </w:r>
      <w:r>
        <w:rPr>
          <w:rtl w:val="0"/>
          <w:lang w:val="it-IT"/>
        </w:rPr>
        <w:t>, A.II.2.</w:t>
      </w:r>
    </w:p>
  </w:footnote>
  <w:footnote w:id="1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it-IT"/>
        </w:rPr>
        <w:t xml:space="preserve"> Pi</w:t>
      </w:r>
      <w:r>
        <w:rPr>
          <w:rStyle w:val="page number"/>
          <w:rtl w:val="0"/>
          <w:lang w:val="it-IT"/>
        </w:rPr>
        <w:t xml:space="preserve">ù </w:t>
      </w:r>
      <w:r>
        <w:rPr>
          <w:rStyle w:val="page number"/>
          <w:rtl w:val="0"/>
          <w:lang w:val="it-IT"/>
        </w:rPr>
        <w:t xml:space="preserve">in particolare il termine sembra indicare un aggregato costituito da atomi abbastanza grandi da poter essere percepito: 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"https://papyri.info/biblio/95909"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Wigodsky 2007</w:t>
      </w:r>
      <w:r>
        <w:rPr/>
        <w:fldChar w:fldCharType="end" w:fldLock="0"/>
      </w:r>
      <w:r>
        <w:rPr>
          <w:rStyle w:val="page number"/>
          <w:rtl w:val="0"/>
          <w:lang w:val="de-DE"/>
        </w:rPr>
        <w:t>:</w:t>
      </w:r>
      <w:r>
        <w:rPr>
          <w:rStyle w:val="page number"/>
          <w:rtl w:val="0"/>
          <w:lang w:val="it-IT"/>
        </w:rPr>
        <w:t xml:space="preserve"> in part. 523-536 e 533. Nell</w:t>
      </w:r>
      <w:r>
        <w:rPr>
          <w:rStyle w:val="page number"/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ambito della teoria atomistica, in Epicuro si trova in </w:t>
      </w:r>
      <w:r>
        <w:rPr>
          <w:rStyle w:val="page number"/>
          <w:rtl w:val="0"/>
          <w:lang w:val="it-IT"/>
        </w:rPr>
        <w:t>Ep. Pyth</w:t>
      </w:r>
      <w:r>
        <w:rPr>
          <w:rStyle w:val="page number"/>
          <w:rtl w:val="0"/>
          <w:lang w:val="it-IT"/>
        </w:rPr>
        <w:t xml:space="preserve">. 86, 4 s. </w:t>
      </w:r>
      <w:r>
        <w:rPr>
          <w:rStyle w:val="page number"/>
          <w:rtl w:val="0"/>
          <w:lang w:val="it-IT"/>
        </w:rPr>
        <w:t>ὅτι ἄτομα στοιχεῖα</w:t>
      </w:r>
      <w:r>
        <w:rPr>
          <w:rStyle w:val="page number"/>
          <w:rtl w:val="0"/>
          <w:lang w:val="it-IT"/>
        </w:rPr>
        <w:t xml:space="preserve">, e in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"http://papyri.info/dclp/59754"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Nat.</w:t>
      </w:r>
      <w:r>
        <w:rPr>
          <w:rStyle w:val="Hyperlink.0"/>
          <w:rtl w:val="0"/>
          <w:lang w:val="it-IT"/>
        </w:rPr>
        <w:t xml:space="preserve"> XXV, </w:t>
      </w:r>
      <w:r>
        <w:rPr>
          <w:rStyle w:val="Hyperlink.2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1420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corn. 2 z. 2, 9-15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"https://papyri.info/biblio/83501"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Laursen 1995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ἐχ</w:t>
      </w:r>
      <w:r>
        <w:rPr>
          <w:rStyle w:val="page number"/>
          <w:rtl w:val="0"/>
          <w:lang w:val="it-IT"/>
        </w:rPr>
        <w:t>̣</w:t>
      </w:r>
      <w:r>
        <w:rPr>
          <w:rStyle w:val="page number"/>
          <w:rtl w:val="0"/>
          <w:lang w:val="en-US"/>
        </w:rPr>
        <w:t>ούσης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μὲν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καὶ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αὐ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10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̣ 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συστάσεως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τῆς</w:t>
      </w:r>
      <w:r>
        <w:rPr>
          <w:rStyle w:val="page number"/>
          <w:rtl w:val="0"/>
          <w:lang w:val="it-IT"/>
        </w:rPr>
        <w:t xml:space="preserve"> | </w:t>
      </w:r>
      <w:r>
        <w:rPr>
          <w:rStyle w:val="page number"/>
          <w:rtl w:val="0"/>
          <w:lang w:val="it-IT"/>
        </w:rPr>
        <w:t>διὰ τῶν στοιχείων αἰ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 xml:space="preserve">τίας παρὰ τὴν τῶν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ἀτ</w:t>
      </w:r>
      <w:r>
        <w:rPr>
          <w:rStyle w:val="page number"/>
          <w:rtl w:val="0"/>
          <w:lang w:val="it-IT"/>
        </w:rPr>
        <w:t>[</w:t>
      </w:r>
      <w:r>
        <w:rPr>
          <w:rStyle w:val="page number"/>
          <w:rtl w:val="0"/>
          <w:lang w:val="it-IT"/>
        </w:rPr>
        <w:t>ό</w:t>
      </w:r>
      <w:r>
        <w:rPr>
          <w:rStyle w:val="page number"/>
          <w:rtl w:val="0"/>
          <w:lang w:val="it-IT"/>
        </w:rPr>
        <w:t>]</w:t>
      </w:r>
      <w:r>
        <w:rPr>
          <w:rStyle w:val="page number"/>
          <w:rtl w:val="0"/>
          <w:lang w:val="it-IT"/>
        </w:rPr>
        <w:t xml:space="preserve">μων διαφορὰν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καὶ τῶν προυπαρχόν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15</w:t>
      </w:r>
      <w:r>
        <w:rPr>
          <w:rStyle w:val="page number"/>
          <w:rtl w:val="0"/>
          <w:lang w:val="en-US"/>
        </w:rPr>
        <w:t>των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en-US"/>
        </w:rPr>
        <w:t>πόρων</w:t>
      </w:r>
      <w:r>
        <w:rPr>
          <w:rStyle w:val="page number"/>
          <w:rtl w:val="0"/>
          <w:lang w:val="it-IT"/>
        </w:rPr>
        <w:t xml:space="preserve">; in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"http://papyri.info/dclp/59752"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 xml:space="preserve">Nat. </w:t>
      </w:r>
      <w:r>
        <w:rPr>
          <w:rStyle w:val="Hyperlink.3"/>
          <w:rtl w:val="0"/>
          <w:lang w:val="it-IT"/>
        </w:rPr>
        <w:t xml:space="preserve">XIV, </w:t>
      </w:r>
      <w:r>
        <w:rPr>
          <w:rStyle w:val="Hyperlink.2"/>
          <w:rtl w:val="0"/>
          <w:lang w:val="it-IT"/>
        </w:rPr>
        <w:t>P.Herc.</w:t>
      </w:r>
      <w:r>
        <w:rPr>
          <w:rStyle w:val="Hyperlink.3"/>
          <w:rtl w:val="0"/>
          <w:lang w:val="it-IT"/>
        </w:rPr>
        <w:t xml:space="preserve"> 1148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(fr. 24, 2; coll. XXXVI 2; XXXIX 3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Leone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), </w:t>
      </w:r>
      <w:r>
        <w:rPr>
          <w:rStyle w:val="page number"/>
          <w:rtl w:val="0"/>
          <w:lang w:val="it-IT"/>
        </w:rPr>
        <w:t xml:space="preserve">στοιχεῖα </w:t>
      </w:r>
      <w:r>
        <w:rPr>
          <w:rStyle w:val="page number"/>
          <w:rtl w:val="0"/>
          <w:lang w:val="it-IT"/>
        </w:rPr>
        <w:t xml:space="preserve">fa invece riferimento ai quattro elementi naturali </w:t>
      </w:r>
      <w:r>
        <w:rPr>
          <w:rStyle w:val="page number"/>
          <w:rtl w:val="0"/>
          <w:lang w:val="it-IT"/>
        </w:rPr>
        <w:t xml:space="preserve">– </w:t>
      </w:r>
      <w:r>
        <w:rPr>
          <w:rStyle w:val="page number"/>
          <w:rtl w:val="0"/>
          <w:lang w:val="it-IT"/>
        </w:rPr>
        <w:t xml:space="preserve">acqua, aria, terra e fuoco </w:t>
      </w:r>
      <w:r>
        <w:rPr>
          <w:rStyle w:val="page number"/>
          <w:rtl w:val="0"/>
          <w:lang w:val="it-IT"/>
        </w:rPr>
        <w:t xml:space="preserve">– </w:t>
      </w:r>
      <w:r>
        <w:rPr>
          <w:rStyle w:val="page number"/>
          <w:rtl w:val="0"/>
          <w:lang w:val="it-IT"/>
        </w:rPr>
        <w:t xml:space="preserve">nel contesto di una polemica antiplatonica: cf.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"https://papyri.info/biblio/83504"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Leone 1984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in part. 86-89 e n. 563. In Filodemo cf.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"http://papyri.info/dclp/62445"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it-IT"/>
        </w:rPr>
        <w:t>Sign., P.Herc. 1065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col. XXXVII 4-6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"https://papyri.info/biblio/83644"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De Lacy 1978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ἐπει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vertAlign w:val="superscript"/>
          <w:rtl w:val="0"/>
          <w:lang w:val="it-IT"/>
        </w:rPr>
        <w:t>5</w:t>
      </w:r>
      <w:r>
        <w:rPr>
          <w:rStyle w:val="page number"/>
          <w:rtl w:val="0"/>
          <w:lang w:val="it-IT"/>
        </w:rPr>
        <w:t>δὴ γεννήματ’ ἐστὶ πάντα τῶν στοι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>χείων</w:t>
      </w:r>
      <w:r>
        <w:rPr>
          <w:rStyle w:val="page number"/>
          <w:rtl w:val="0"/>
          <w:lang w:val="it-IT"/>
        </w:rPr>
        <w:t xml:space="preserve">;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"http://papyri.info/dclp/62386"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 xml:space="preserve">P.Herc. </w:t>
      </w:r>
      <w:r>
        <w:rPr>
          <w:rStyle w:val="Hyperlink.3"/>
          <w:rtl w:val="0"/>
          <w:lang w:val="it-IT"/>
        </w:rPr>
        <w:t>152/157</w:t>
      </w:r>
      <w:r>
        <w:rPr/>
        <w:fldChar w:fldCharType="end" w:fldLock="0"/>
      </w:r>
      <w:r>
        <w:rPr>
          <w:rStyle w:val="page number"/>
          <w:rtl w:val="0"/>
          <w:lang w:val="it-IT"/>
        </w:rPr>
        <w:t>, col. 11, 1 s. Essler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>τόπος̣</w:t>
      </w:r>
      <w:r>
        <w:rPr>
          <w:rStyle w:val="page number"/>
          <w:rtl w:val="0"/>
          <w:lang w:val="it-IT"/>
        </w:rPr>
        <w:t xml:space="preserve">, </w:t>
      </w:r>
      <w:r>
        <w:rPr>
          <w:rStyle w:val="page number"/>
          <w:rtl w:val="0"/>
          <w:lang w:val="it-IT"/>
        </w:rPr>
        <w:t xml:space="preserve">ὃν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οὐ⌈κ⌉ ἐκβαίνει τὸν αἰ̣ῶνα τὰ στοιχεῖα</w:t>
      </w:r>
      <w:r>
        <w:rPr>
          <w:rStyle w:val="page number"/>
          <w:rtl w:val="0"/>
          <w:lang w:val="it-IT"/>
        </w:rPr>
        <w:t xml:space="preserve">;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"http://papyri.info/dclp/62400"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Piet.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, col. 13, 357-359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"https://papyri.info/biblio/83888"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Obbink 1996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 xml:space="preserve">ἐκ τῶν αὐτῶν </w:t>
      </w:r>
      <w:r>
        <w:rPr>
          <w:rStyle w:val="page number"/>
          <w:rtl w:val="0"/>
          <w:lang w:val="it-IT"/>
        </w:rPr>
        <w:t xml:space="preserve">| </w:t>
      </w:r>
      <w:r>
        <w:rPr>
          <w:rStyle w:val="page number"/>
          <w:rtl w:val="0"/>
          <w:lang w:val="it-IT"/>
        </w:rPr>
        <w:t>ἢ τῶν ὁμοίων στοι</w:t>
      </w:r>
      <w:r>
        <w:rPr>
          <w:rStyle w:val="page number"/>
          <w:rtl w:val="0"/>
          <w:lang w:val="it-IT"/>
        </w:rPr>
        <w:t>|</w:t>
      </w:r>
      <w:r>
        <w:rPr>
          <w:rStyle w:val="page number"/>
          <w:rtl w:val="0"/>
          <w:lang w:val="it-IT"/>
        </w:rPr>
        <w:t>χείων ἑνό̣τ̣ητες</w:t>
      </w:r>
      <w:r>
        <w:rPr>
          <w:rStyle w:val="page number"/>
          <w:rtl w:val="0"/>
          <w:lang w:val="it-IT"/>
        </w:rPr>
        <w:t>.</w:t>
      </w:r>
    </w:p>
  </w:footnote>
  <w:footnote w:id="1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Leone 2012</w:t>
      </w:r>
      <w:r>
        <w:rPr/>
        <w:fldChar w:fldCharType="end" w:fldLock="0"/>
      </w:r>
      <w:r>
        <w:rPr>
          <w:rtl w:val="0"/>
          <w:lang w:val="it-IT"/>
        </w:rPr>
        <w:t>: 674-675.</w:t>
      </w:r>
    </w:p>
  </w:footnote>
  <w:footnote w:id="1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100, 3 s. Per </w:t>
      </w:r>
      <w:r>
        <w:rPr>
          <w:rtl w:val="0"/>
          <w:lang w:val="it-IT"/>
        </w:rPr>
        <w:t xml:space="preserve">ἐπιτήδειος </w:t>
      </w:r>
      <w:r>
        <w:rPr>
          <w:rtl w:val="0"/>
          <w:lang w:val="it-IT"/>
        </w:rPr>
        <w:t xml:space="preserve">con </w:t>
      </w:r>
      <w:r>
        <w:rPr>
          <w:rtl w:val="0"/>
          <w:lang w:val="it-IT"/>
        </w:rPr>
        <w:t xml:space="preserve">ἄτομος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 xml:space="preserve">σπέρμα </w:t>
      </w:r>
      <w:r>
        <w:rPr>
          <w:rtl w:val="0"/>
          <w:lang w:val="it-IT"/>
        </w:rPr>
        <w:t xml:space="preserve">cf. rispettivamente 99, 4 s. </w:t>
      </w:r>
      <w:r>
        <w:rPr>
          <w:rtl w:val="0"/>
          <w:lang w:val="it-IT"/>
        </w:rPr>
        <w:t xml:space="preserve">παρὰ περιπλοκὰς ἀλληλούχων ἀτόμων καὶ ἐπιτηδείων εἰς τὸ τοῦτο τελέσαι </w:t>
      </w:r>
      <w:r>
        <w:rPr>
          <w:rtl w:val="0"/>
          <w:lang w:val="it-IT"/>
        </w:rPr>
        <w:t xml:space="preserve">e 89, 6 s. </w:t>
      </w:r>
      <w:r>
        <w:rPr>
          <w:rtl w:val="0"/>
          <w:lang w:val="it-IT"/>
        </w:rPr>
        <w:t>ἐπιτηδείων τινῶν σπερμάτων ῥυέντων ἀφ’ ἑνὸς κόσμου ἢ μετακοσμίου ἢ ἀπὸ πλειόνων</w:t>
      </w:r>
      <w:r>
        <w:rPr>
          <w:rtl w:val="0"/>
          <w:lang w:val="it-IT"/>
        </w:rPr>
        <w:t xml:space="preserve">. Cf. nella stessa </w:t>
      </w:r>
      <w:r>
        <w:rPr>
          <w:rStyle w:val="page number"/>
          <w:rtl w:val="0"/>
          <w:lang w:val="it-IT"/>
        </w:rPr>
        <w:t xml:space="preserve">Epistola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aggettivo anche con </w:t>
      </w:r>
      <w:r>
        <w:rPr>
          <w:rtl w:val="0"/>
          <w:lang w:val="it-IT"/>
        </w:rPr>
        <w:t xml:space="preserve">πόρος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τόπος</w:t>
      </w:r>
      <w:r>
        <w:rPr>
          <w:rtl w:val="0"/>
          <w:lang w:val="it-IT"/>
        </w:rPr>
        <w:t xml:space="preserve">, rispettivamente in 111, 2 s. </w:t>
      </w:r>
      <w:r>
        <w:rPr>
          <w:rtl w:val="0"/>
          <w:lang w:val="it-IT"/>
        </w:rPr>
        <w:t xml:space="preserve">τῆς θερμασίας ἐπιτηδείων πόρων ἐπιλαμβανομένης εἰς τὸ τοῦτο ἀπεργάσασθαι </w:t>
      </w:r>
      <w:r>
        <w:rPr>
          <w:rtl w:val="0"/>
          <w:lang w:val="it-IT"/>
        </w:rPr>
        <w:t xml:space="preserve">e in 100, 1 s. </w:t>
      </w:r>
      <w:r>
        <w:rPr>
          <w:rtl w:val="0"/>
          <w:lang w:val="it-IT"/>
        </w:rPr>
        <w:t>κατὰ ἀποφορὰν ἀπὸ ἐπιτηδείων τόπων</w:t>
      </w:r>
      <w:r>
        <w:rPr>
          <w:rtl w:val="0"/>
          <w:lang w:val="it-IT"/>
        </w:rPr>
        <w:t xml:space="preserve">. Un utilizzo simile di </w:t>
      </w:r>
      <w:r>
        <w:rPr>
          <w:rtl w:val="0"/>
          <w:lang w:val="it-IT"/>
        </w:rPr>
        <w:t xml:space="preserve">ἐπιτήδειος è </w:t>
      </w:r>
      <w:r>
        <w:rPr>
          <w:rtl w:val="0"/>
          <w:lang w:val="it-IT"/>
        </w:rPr>
        <w:t xml:space="preserve">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"http://papyri.info/dclp/59758"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Nat. </w:t>
      </w:r>
      <w:r>
        <w:rPr>
          <w:rStyle w:val="Hyperlink.0"/>
          <w:rtl w:val="0"/>
          <w:lang w:val="it-IT"/>
        </w:rPr>
        <w:t>II</w:t>
      </w:r>
      <w:r>
        <w:rPr/>
        <w:fldChar w:fldCharType="end" w:fldLock="0"/>
      </w:r>
      <w:r>
        <w:rPr>
          <w:rtl w:val="0"/>
          <w:lang w:val="it-IT"/>
        </w:rPr>
        <w:t xml:space="preserve">, coll. XXIV 18-XXV 10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Leone 2012</w:t>
      </w:r>
      <w:r>
        <w:rPr/>
        <w:fldChar w:fldCharType="end" w:fldLock="0"/>
      </w:r>
      <w:r>
        <w:rPr>
          <w:rtl w:val="0"/>
          <w:lang w:val="it-IT"/>
        </w:rPr>
        <w:t xml:space="preserve"> ο̣ὐ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κ ἔσ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τι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συμ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φυῆ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τα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ῦτα</w:t>
      </w:r>
      <w:r>
        <w:rPr>
          <w:rtl w:val="0"/>
          <w:lang w:val="it-IT"/>
        </w:rPr>
        <w:t xml:space="preserve">] | </w:t>
      </w:r>
      <w:r>
        <w:rPr>
          <w:rtl w:val="0"/>
          <w:lang w:val="it-IT"/>
        </w:rPr>
        <w:t>δ̣ή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φημί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τού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του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>ἀ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λλὰ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μόν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ον τ̣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 xml:space="preserve">ῶν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ἐ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πιτ̣ηδ̣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ίων μὴ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ἐχόντων μορφο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ειδῆ σχηματισ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μὸν ἕνα τ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νὰ φύ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σε̣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ι</w:t>
      </w:r>
      <w:r>
        <w:rPr>
          <w:rtl w:val="0"/>
          <w:lang w:val="it-IT"/>
        </w:rPr>
        <w:t xml:space="preserve">], </w:t>
      </w:r>
      <w:r>
        <w:rPr>
          <w:rtl w:val="0"/>
          <w:lang w:val="it-IT"/>
        </w:rPr>
        <w:t>ἀ̣λλὰ π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ολ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λ̣οὺς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κ̣αὶ̣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ἄλ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λο̣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υ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ς̣ ἄ̣λ̣λως̣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>λ̣έγω δ̣’ ο̣ἷ̣ον π̣υρὸ̣ς</w:t>
      </w:r>
      <w:r>
        <w:rPr>
          <w:rtl w:val="0"/>
          <w:lang w:val="it-IT"/>
        </w:rPr>
        <w:t xml:space="preserve">, | </w:t>
      </w:r>
      <w:r>
        <w:rPr>
          <w:rtl w:val="0"/>
          <w:lang w:val="it-IT"/>
        </w:rPr>
        <w:t xml:space="preserve">καὶ πνεύματος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>καὶ τῶν τοιουτο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τρόπων</w:t>
      </w:r>
      <w:r>
        <w:rPr>
          <w:rtl w:val="0"/>
          <w:lang w:val="it-IT"/>
        </w:rPr>
        <w:t>.</w:t>
      </w:r>
    </w:p>
  </w:footnote>
  <w:footnote w:id="14">
    <w:p>
      <w:pPr>
        <w:pStyle w:val="footnote text"/>
      </w:pPr>
      <w:r>
        <w:rPr>
          <w:rStyle w:val="footnote reference"/>
          <w:lang w:val="en-US"/>
        </w:rPr>
        <w:footnoteRef/>
      </w:r>
      <w:r>
        <w:rPr>
          <w:rStyle w:val="page number"/>
          <w:rtl w:val="0"/>
          <w:lang w:val="en-US"/>
        </w:rPr>
        <w:t xml:space="preserve"> 99, 4 s. </w:t>
      </w:r>
    </w:p>
  </w:footnote>
  <w:footnote w:id="15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en-US"/>
        </w:rPr>
        <w:t xml:space="preserve"> </w:t>
      </w:r>
      <w:r>
        <w:rPr>
          <w:rStyle w:val="Hyperlink.4"/>
          <w:lang w:val="en-US"/>
        </w:rPr>
        <w:fldChar w:fldCharType="begin" w:fldLock="0"/>
      </w:r>
      <w:r>
        <w:rPr>
          <w:rStyle w:val="Hyperlink.4"/>
          <w:lang w:val="en-US"/>
        </w:rPr>
        <w:instrText xml:space="preserve"> HYPERLINK "https://papyri.info/biblio/83888"</w:instrText>
      </w:r>
      <w:r>
        <w:rPr>
          <w:rStyle w:val="Hyperlink.4"/>
          <w:lang w:val="en-US"/>
        </w:rPr>
        <w:fldChar w:fldCharType="separate" w:fldLock="0"/>
      </w:r>
      <w:r>
        <w:rPr>
          <w:rStyle w:val="Hyperlink.4"/>
          <w:rtl w:val="0"/>
          <w:lang w:val="de-DE"/>
        </w:rPr>
        <w:t>Obbink 1996</w:t>
      </w:r>
      <w:r>
        <w:rPr/>
        <w:fldChar w:fldCharType="end" w:fldLock="0"/>
      </w:r>
      <w:r>
        <w:rPr>
          <w:rStyle w:val="page number"/>
          <w:rtl w:val="0"/>
          <w:lang w:val="en-US"/>
        </w:rPr>
        <w:t xml:space="preserve">: 302. Cf. ad es. </w:t>
      </w:r>
      <w:r>
        <w:rPr>
          <w:rStyle w:val="page number"/>
          <w:rtl w:val="0"/>
          <w:lang w:val="en-US"/>
        </w:rPr>
        <w:t>Ep. Pyth</w:t>
      </w:r>
      <w:r>
        <w:rPr>
          <w:rStyle w:val="page number"/>
          <w:rtl w:val="0"/>
          <w:lang w:val="en-US"/>
        </w:rPr>
        <w:t xml:space="preserve">. 99, 7-9 </w:t>
      </w:r>
      <w:r>
        <w:rPr>
          <w:rStyle w:val="page number"/>
          <w:rtl w:val="0"/>
          <w:lang w:val="it-IT"/>
        </w:rPr>
        <w:t>καὶ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κατ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ἄλλους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δὲ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τρόπους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πλείους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αἱ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τῶν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τοιούτων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συστάσεις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οὐκ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ἀδυνατοῦσι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συντελεῖσθαι</w:t>
      </w:r>
      <w:r>
        <w:rPr>
          <w:rStyle w:val="page number"/>
          <w:rtl w:val="0"/>
          <w:lang w:val="en-US"/>
        </w:rPr>
        <w:t xml:space="preserve">. </w:t>
      </w:r>
      <w:r>
        <w:rPr>
          <w:rStyle w:val="page number"/>
          <w:rtl w:val="0"/>
          <w:lang w:val="it-IT"/>
        </w:rPr>
        <w:t>ἤδη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ἀπ</w:t>
      </w:r>
      <w:r>
        <w:rPr>
          <w:rStyle w:val="page number"/>
          <w:rtl w:val="0"/>
          <w:lang w:val="en-US"/>
        </w:rPr>
        <w:t xml:space="preserve">’ </w:t>
      </w:r>
      <w:r>
        <w:rPr>
          <w:rStyle w:val="page number"/>
          <w:rtl w:val="0"/>
          <w:lang w:val="it-IT"/>
        </w:rPr>
        <w:t>αὐτῶν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ᾗ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μὲν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θλιβομένων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ᾗ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δὲ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μεταβαλλόντων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ὕδατα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δύναται</w:t>
      </w:r>
      <w:r>
        <w:rPr>
          <w:rStyle w:val="page number"/>
          <w:rtl w:val="0"/>
          <w:lang w:val="en-US"/>
        </w:rPr>
        <w:t xml:space="preserve"> </w:t>
      </w:r>
      <w:r>
        <w:rPr>
          <w:rStyle w:val="page number"/>
          <w:rtl w:val="0"/>
          <w:lang w:val="it-IT"/>
        </w:rPr>
        <w:t>συντελεῖσθαι</w:t>
      </w:r>
      <w:r>
        <w:rPr>
          <w:rStyle w:val="page number"/>
          <w:rtl w:val="0"/>
          <w:lang w:val="en-US"/>
        </w:rPr>
        <w:t>.</w:t>
      </w:r>
    </w:p>
  </w:footnote>
  <w:footnote w:id="16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In particolare per le forme in composizione con </w:t>
      </w:r>
      <w:r>
        <w:rPr>
          <w:rtl w:val="0"/>
          <w:lang w:val="it-IT"/>
        </w:rPr>
        <w:t xml:space="preserve">διά </w:t>
      </w:r>
      <w:r>
        <w:rPr>
          <w:rtl w:val="0"/>
          <w:lang w:val="it-IT"/>
        </w:rPr>
        <w:t xml:space="preserve">cf. ad es.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col. 24, 693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Obbink 1996</w:t>
      </w:r>
      <w:r>
        <w:rPr/>
        <w:fldChar w:fldCharType="end" w:fldLock="0"/>
      </w:r>
      <w:r>
        <w:rPr>
          <w:rtl w:val="0"/>
          <w:lang w:val="it-IT"/>
        </w:rPr>
        <w:t xml:space="preserve"> ζῶια 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ακάρια</w:t>
      </w:r>
      <w:r>
        <w:rPr>
          <w:rtl w:val="0"/>
          <w:lang w:val="it-IT"/>
        </w:rPr>
        <w:t xml:space="preserve">] | </w:t>
      </w:r>
      <w:r>
        <w:rPr>
          <w:rtl w:val="0"/>
          <w:lang w:val="it-IT"/>
        </w:rPr>
        <w:t>καὶ διαιώνια</w:t>
      </w:r>
      <w:r>
        <w:rPr>
          <w:rtl w:val="0"/>
          <w:lang w:val="it-IT"/>
        </w:rPr>
        <w:t xml:space="preserve">;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P.Herc</w:t>
      </w:r>
      <w:r>
        <w:rPr>
          <w:rStyle w:val="Hyperlink.0"/>
          <w:rtl w:val="0"/>
          <w:lang w:val="it-IT"/>
        </w:rPr>
        <w:t>. 152/157</w:t>
      </w:r>
      <w:r>
        <w:rPr/>
        <w:fldChar w:fldCharType="end" w:fldLock="0"/>
      </w:r>
      <w:r>
        <w:rPr>
          <w:rtl w:val="0"/>
          <w:lang w:val="it-IT"/>
        </w:rPr>
        <w:t xml:space="preserve">, col. XII 19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Diels 1917</w:t>
      </w:r>
      <w:r>
        <w:rPr/>
        <w:fldChar w:fldCharType="end" w:fldLock="0"/>
      </w:r>
      <w:r>
        <w:rPr>
          <w:rtl w:val="0"/>
          <w:lang w:val="it-IT"/>
        </w:rPr>
        <w:t xml:space="preserve"> ἀλλὰ συνεχῶς ἐγρηγορέναι δι’ αἰῶνο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ο̣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ὐ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δια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20</w:t>
      </w:r>
      <w:r>
        <w:rPr>
          <w:rtl w:val="0"/>
          <w:lang w:val="it-IT"/>
        </w:rPr>
        <w:t>κ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λά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σ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ει μελῶ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ν χρώ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μεν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 xml:space="preserve">ον 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ἢ λύμαι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 δειναῖς</w:t>
      </w:r>
      <w:r>
        <w:rPr>
          <w:rtl w:val="0"/>
          <w:lang w:val="it-IT"/>
        </w:rPr>
        <w:t>.</w:t>
      </w:r>
    </w:p>
  </w:footnote>
  <w:footnote w:id="17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col. XI 39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Diels 1917</w:t>
      </w:r>
      <w:r>
        <w:rPr/>
        <w:fldChar w:fldCharType="end" w:fldLock="0"/>
      </w:r>
      <w:r>
        <w:rPr>
          <w:rtl w:val="0"/>
          <w:lang w:val="it-IT"/>
        </w:rPr>
        <w:t xml:space="preserve"> δι’ αἰῶνος ὑπάρχειν</w:t>
      </w:r>
      <w:r>
        <w:rPr>
          <w:rtl w:val="0"/>
          <w:lang w:val="it-IT"/>
        </w:rPr>
        <w:t xml:space="preserve">;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 xml:space="preserve">, col. 13, 350-354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Obbink 1996</w:t>
      </w:r>
      <w:r>
        <w:rPr/>
        <w:fldChar w:fldCharType="end" w:fldLock="0"/>
      </w:r>
      <w:r>
        <w:rPr>
          <w:rtl w:val="0"/>
          <w:lang w:val="it-IT"/>
        </w:rPr>
        <w:t xml:space="preserve"> δύναται γὰρ ἐκ τῆς </w:t>
      </w:r>
      <w:r>
        <w:rPr>
          <w:rtl w:val="0"/>
          <w:lang w:val="it-IT"/>
        </w:rPr>
        <w:t>|</w:t>
      </w:r>
      <w:r>
        <w:rPr>
          <w:rStyle w:val="footnote reference"/>
          <w:rtl w:val="0"/>
          <w:lang w:val="it-IT"/>
        </w:rPr>
        <w:t>5</w:t>
      </w:r>
      <w:r>
        <w:rPr>
          <w:rtl w:val="0"/>
          <w:lang w:val="it-IT"/>
        </w:rPr>
        <w:t xml:space="preserve"> ὁμοιότητος ὑπάρ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 xml:space="preserve">χουσι διαιώνιον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ἔχειν τὴν τελείαν </w:t>
      </w:r>
      <w:r>
        <w:rPr>
          <w:rtl w:val="0"/>
          <w:lang w:val="it-IT"/>
        </w:rPr>
        <w:t xml:space="preserve">| </w:t>
      </w:r>
      <w:r>
        <w:rPr>
          <w:rtl w:val="0"/>
          <w:lang w:val="it-IT"/>
        </w:rPr>
        <w:t xml:space="preserve">εὐδαιμονίαν </w:t>
      </w:r>
      <w:r>
        <w:rPr>
          <w:rtl w:val="0"/>
          <w:lang w:val="it-IT"/>
        </w:rPr>
        <w:t xml:space="preserve">(Obbink traduce da </w:t>
      </w:r>
      <w:r>
        <w:rPr>
          <w:rtl w:val="0"/>
          <w:lang w:val="it-IT"/>
        </w:rPr>
        <w:t xml:space="preserve">ἐκ </w:t>
      </w:r>
      <w:r>
        <w:rPr>
          <w:rtl w:val="0"/>
          <w:lang w:val="it-IT"/>
        </w:rPr>
        <w:t xml:space="preserve">a </w:t>
      </w:r>
      <w:r>
        <w:rPr>
          <w:rtl w:val="0"/>
          <w:lang w:val="it-IT"/>
        </w:rPr>
        <w:t>διαιώνιον «</w:t>
      </w:r>
      <w:r>
        <w:rPr>
          <w:rtl w:val="0"/>
          <w:lang w:val="it-IT"/>
        </w:rPr>
        <w:t>for beings constituted out of similarity for ever</w:t>
      </w:r>
      <w:r>
        <w:rPr>
          <w:rtl w:val="0"/>
          <w:lang w:val="it-IT"/>
        </w:rPr>
        <w:t>»</w:t>
      </w:r>
      <w:r>
        <w:rPr>
          <w:rtl w:val="0"/>
          <w:lang w:val="it-IT"/>
        </w:rPr>
        <w:t xml:space="preserve">, ma nel comm. </w:t>
      </w:r>
      <w:r>
        <w:rPr>
          <w:rStyle w:val="page number"/>
          <w:rtl w:val="0"/>
          <w:lang w:val="it-IT"/>
        </w:rPr>
        <w:t>ad locum</w:t>
      </w:r>
      <w:r>
        <w:rPr>
          <w:rtl w:val="0"/>
          <w:lang w:val="it-IT"/>
        </w:rPr>
        <w:t xml:space="preserve">, 322, specifica che </w:t>
      </w:r>
      <w:r>
        <w:rPr>
          <w:rtl w:val="0"/>
          <w:lang w:val="it-IT"/>
        </w:rPr>
        <w:t xml:space="preserve">διαιώνιον </w:t>
      </w:r>
      <w:r>
        <w:rPr>
          <w:rtl w:val="0"/>
          <w:lang w:val="it-IT"/>
        </w:rPr>
        <w:t xml:space="preserve">potrebbe anche essere riferito a </w:t>
      </w:r>
      <w:r>
        <w:rPr>
          <w:rtl w:val="0"/>
          <w:lang w:val="it-IT"/>
        </w:rPr>
        <w:t xml:space="preserve">ἔχειν </w:t>
      </w:r>
      <w:r>
        <w:rPr>
          <w:rtl w:val="0"/>
          <w:lang w:val="it-IT"/>
        </w:rPr>
        <w:t xml:space="preserve">e non a </w:t>
      </w:r>
      <w:r>
        <w:rPr>
          <w:rtl w:val="0"/>
          <w:lang w:val="it-IT"/>
        </w:rPr>
        <w:t>ὑπάρχουσι</w:t>
      </w:r>
      <w:r>
        <w:rPr>
          <w:rtl w:val="0"/>
          <w:lang w:val="it-IT"/>
        </w:rPr>
        <w:t xml:space="preserve">). </w:t>
      </w:r>
    </w:p>
  </w:footnote>
  <w:footnote w:id="18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Vd. </w:t>
      </w:r>
      <w:r>
        <w:rPr>
          <w:rStyle w:val="page number"/>
          <w:rtl w:val="0"/>
          <w:lang w:val="it-IT"/>
        </w:rPr>
        <w:t>infra</w:t>
      </w:r>
      <w:r>
        <w:rPr>
          <w:rtl w:val="0"/>
        </w:rPr>
        <w:t>.</w:t>
      </w:r>
    </w:p>
  </w:footnote>
  <w:footnote w:id="19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Sens.</w:t>
      </w:r>
      <w:r>
        <w:rPr>
          <w:rStyle w:val="Hyperlink.0"/>
          <w:rtl w:val="0"/>
        </w:rPr>
        <w:t>,</w:t>
      </w:r>
      <w:r>
        <w:rPr>
          <w:rStyle w:val="Hyperlink.1"/>
          <w:rtl w:val="0"/>
        </w:rPr>
        <w:t xml:space="preserve"> P.Herc. </w:t>
      </w:r>
      <w:r>
        <w:rPr>
          <w:rStyle w:val="Hyperlink.0"/>
          <w:rtl w:val="0"/>
        </w:rPr>
        <w:t>19/698</w:t>
      </w:r>
      <w:r>
        <w:rPr/>
        <w:fldChar w:fldCharType="end" w:fldLock="0"/>
      </w:r>
      <w:r>
        <w:rPr>
          <w:rtl w:val="0"/>
        </w:rPr>
        <w:t xml:space="preserve">, fr. 79, 12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"https://papyri.info/biblio/83541"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Monet 1996</w:t>
      </w:r>
      <w:r>
        <w:rPr/>
        <w:fldChar w:fldCharType="end" w:fldLock="0"/>
      </w:r>
      <w:r>
        <w:rPr>
          <w:rtl w:val="0"/>
        </w:rPr>
        <w:t xml:space="preserve"> 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"http://papyri.info/dclp/62471"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Oec.</w:t>
      </w:r>
      <w:r>
        <w:rPr>
          <w:rStyle w:val="Hyperlink.0"/>
          <w:rtl w:val="0"/>
        </w:rPr>
        <w:t xml:space="preserve">, </w:t>
      </w:r>
      <w:r>
        <w:rPr>
          <w:rStyle w:val="Hyperlink.1"/>
          <w:rtl w:val="0"/>
        </w:rPr>
        <w:t>P.Herc</w:t>
      </w:r>
      <w:r>
        <w:rPr>
          <w:rStyle w:val="Hyperlink.0"/>
          <w:rtl w:val="0"/>
        </w:rPr>
        <w:t>. 1424</w:t>
      </w:r>
      <w:r>
        <w:rPr/>
        <w:fldChar w:fldCharType="end" w:fldLock="0"/>
      </w:r>
      <w:r>
        <w:rPr>
          <w:rtl w:val="0"/>
        </w:rPr>
        <w:t xml:space="preserve">, col. VII 33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Tsouna 2012</w:t>
      </w:r>
      <w:r>
        <w:rPr/>
        <w:fldChar w:fldCharType="end" w:fldLock="0"/>
      </w:r>
      <w:r>
        <w:rPr>
          <w:rtl w:val="0"/>
        </w:rPr>
        <w:t>.</w:t>
      </w:r>
    </w:p>
  </w:footnote>
  <w:footnote w:id="20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Style w:val="page number"/>
          <w:rtl w:val="0"/>
          <w:lang w:val="it-IT"/>
        </w:rPr>
        <w:t xml:space="preserve"> Per le testimonianze nei testi epicurei, oltre a Filodemo (per cui vd.</w:t>
      </w:r>
      <w:r>
        <w:rPr>
          <w:rStyle w:val="page number"/>
          <w:rtl w:val="0"/>
          <w:lang w:val="it-IT"/>
        </w:rPr>
        <w:t xml:space="preserve"> </w:t>
      </w:r>
      <w:r>
        <w:rPr>
          <w:rStyle w:val="page number"/>
          <w:rtl w:val="0"/>
          <w:lang w:val="it-IT"/>
        </w:rPr>
        <w:t>nn. 22 s.), cf. l</w:t>
      </w:r>
      <w:r>
        <w:rPr>
          <w:rStyle w:val="page number"/>
          <w:rtl w:val="0"/>
          <w:lang w:val="it-IT"/>
        </w:rPr>
        <w:t>’</w:t>
      </w:r>
      <w:r>
        <w:rPr>
          <w:rStyle w:val="page number"/>
          <w:rtl w:val="0"/>
          <w:lang w:val="it-IT"/>
        </w:rPr>
        <w:t xml:space="preserve">opera teologica attribuita a Demetrio Lacone conservata nel </w:t>
      </w:r>
      <w:r>
        <w:rPr>
          <w:rStyle w:val="Hyperlink.2"/>
          <w:lang w:val="it-IT"/>
        </w:rPr>
        <w:fldChar w:fldCharType="begin" w:fldLock="0"/>
      </w:r>
      <w:r>
        <w:rPr>
          <w:rStyle w:val="Hyperlink.2"/>
          <w:lang w:val="it-IT"/>
        </w:rPr>
        <w:instrText xml:space="preserve"> HYPERLINK "http://papyri.info/dclp/59505"</w:instrText>
      </w:r>
      <w:r>
        <w:rPr>
          <w:rStyle w:val="Hyperlink.2"/>
          <w:lang w:val="it-IT"/>
        </w:rPr>
        <w:fldChar w:fldCharType="separate" w:fldLock="0"/>
      </w:r>
      <w:r>
        <w:rPr>
          <w:rStyle w:val="Hyperlink.2"/>
          <w:rtl w:val="0"/>
          <w:lang w:val="it-IT"/>
        </w:rPr>
        <w:t>P.Herc.</w:t>
      </w:r>
      <w:r>
        <w:rPr>
          <w:rStyle w:val="Hyperlink.3"/>
          <w:rtl w:val="0"/>
          <w:lang w:val="it-IT"/>
        </w:rPr>
        <w:t xml:space="preserve"> 1055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 (coll. XXI s.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"https://papyri.info/biblio/83655"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Santoro 2000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). Le testimonianze dossografiche si trovano menzionate in </w:t>
      </w:r>
      <w:r>
        <w:rPr>
          <w:rStyle w:val="Hyperlink.3"/>
          <w:lang w:val="it-IT"/>
        </w:rPr>
        <w:fldChar w:fldCharType="begin" w:fldLock="0"/>
      </w:r>
      <w:r>
        <w:rPr>
          <w:rStyle w:val="Hyperlink.3"/>
          <w:lang w:val="it-IT"/>
        </w:rPr>
        <w:instrText xml:space="preserve"> HYPERLINK "https://papyri.info/biblio/83807"</w:instrText>
      </w:r>
      <w:r>
        <w:rPr>
          <w:rStyle w:val="Hyperlink.3"/>
          <w:lang w:val="it-IT"/>
        </w:rPr>
        <w:fldChar w:fldCharType="separate" w:fldLock="0"/>
      </w:r>
      <w:r>
        <w:rPr>
          <w:rStyle w:val="Hyperlink.3"/>
          <w:rtl w:val="0"/>
          <w:lang w:val="de-DE"/>
        </w:rPr>
        <w:t>Essler 2011</w:t>
      </w:r>
      <w:r>
        <w:rPr/>
        <w:fldChar w:fldCharType="end" w:fldLock="0"/>
      </w:r>
      <w:r>
        <w:rPr>
          <w:rStyle w:val="page number"/>
          <w:rtl w:val="0"/>
          <w:lang w:val="it-IT"/>
        </w:rPr>
        <w:t xml:space="preserve">: 212-234, 354-358, e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Piergiacomi 2017</w:t>
      </w:r>
      <w:r>
        <w:rPr/>
        <w:fldChar w:fldCharType="end" w:fldLock="0"/>
      </w:r>
      <w:r>
        <w:rPr>
          <w:rStyle w:val="page number"/>
          <w:rtl w:val="0"/>
          <w:lang w:val="it-IT"/>
        </w:rPr>
        <w:t>: 122-128, ai quali rimando per una discussione sul dio come composto atomico, con ricca bibliografia citata.</w:t>
      </w:r>
    </w:p>
  </w:footnote>
  <w:footnote w:id="2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"http://papyri.info/dclp/62400"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Piet.</w:t>
      </w:r>
      <w:r>
        <w:rPr/>
        <w:fldChar w:fldCharType="end" w:fldLock="0"/>
      </w:r>
      <w:r>
        <w:rPr>
          <w:rtl w:val="0"/>
          <w:lang w:val="it-IT"/>
        </w:rPr>
        <w:t>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>col. 13,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350-360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Obbink 1996</w:t>
      </w:r>
      <w:r>
        <w:rPr/>
        <w:fldChar w:fldCharType="end" w:fldLock="0"/>
      </w:r>
      <w:r>
        <w:rPr>
          <w:rtl w:val="0"/>
          <w:lang w:val="it-IT"/>
        </w:rPr>
        <w:t>.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interpretazione di questo passo vd. il commento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"https://papyri.info/biblio/83888"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Obbink 1996</w:t>
      </w:r>
      <w:r>
        <w:rPr/>
        <w:fldChar w:fldCharType="end" w:fldLock="0"/>
      </w:r>
      <w:r>
        <w:rPr>
          <w:rtl w:val="0"/>
          <w:lang w:val="de-DE"/>
        </w:rPr>
        <w:t>:</w:t>
      </w:r>
      <w:r>
        <w:rPr>
          <w:rtl w:val="0"/>
          <w:lang w:val="it-IT"/>
        </w:rPr>
        <w:t xml:space="preserve"> 329-335, 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"https://papyri.info/biblio/95909"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Wigodsky 2007</w:t>
      </w:r>
      <w:r>
        <w:rPr/>
        <w:fldChar w:fldCharType="end" w:fldLock="0"/>
      </w:r>
      <w:r>
        <w:rPr>
          <w:rtl w:val="0"/>
          <w:lang w:val="de-DE"/>
        </w:rPr>
        <w:t>:</w:t>
      </w:r>
      <w:r>
        <w:rPr>
          <w:rtl w:val="0"/>
          <w:lang w:val="it-IT"/>
        </w:rPr>
        <w:t xml:space="preserve"> 535-536.</w:t>
      </w:r>
    </w:p>
  </w:footnote>
  <w:footnote w:id="2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it-IT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col. 11, 1-7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Essler 2012</w:t>
      </w:r>
      <w:r>
        <w:rPr/>
        <w:fldChar w:fldCharType="end" w:fldLock="0"/>
      </w:r>
      <w:r>
        <w:rPr>
          <w:rtl w:val="0"/>
          <w:lang w:val="it-IT"/>
        </w:rPr>
        <w:t xml:space="preserve">; cf. il commento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Essler 2012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it-IT"/>
        </w:rPr>
        <w:t>in part. 271-272. Ancora sulla composizione atomica degli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i 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"http://papyri.info/dclp/62386"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 xml:space="preserve">P.Herc. </w:t>
      </w:r>
      <w:r>
        <w:rPr>
          <w:rStyle w:val="Hyperlink.0"/>
          <w:rtl w:val="0"/>
          <w:lang w:val="it-IT"/>
        </w:rPr>
        <w:t>152/157</w:t>
      </w:r>
      <w:r>
        <w:rPr/>
        <w:fldChar w:fldCharType="end" w:fldLock="0"/>
      </w:r>
      <w:r>
        <w:rPr>
          <w:rtl w:val="0"/>
          <w:lang w:val="it-IT"/>
        </w:rPr>
        <w:t xml:space="preserve">, ma senza riferimento agli </w:t>
      </w:r>
      <w:r>
        <w:rPr>
          <w:rtl w:val="0"/>
          <w:lang w:val="it-IT"/>
        </w:rPr>
        <w:t>στοιχεῖα</w:t>
      </w:r>
      <w:r>
        <w:rPr>
          <w:rtl w:val="0"/>
          <w:lang w:val="it-IT"/>
        </w:rPr>
        <w:t xml:space="preserve">, cf. fr. 39d, 5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Diels 1917</w:t>
      </w:r>
      <w:r>
        <w:rPr/>
        <w:fldChar w:fldCharType="end" w:fldLock="0"/>
      </w:r>
      <w:r>
        <w:rPr>
          <w:rtl w:val="0"/>
          <w:lang w:val="it-IT"/>
        </w:rPr>
        <w:t>: la divinit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incorruttibile come gli atomi (</w:t>
      </w:r>
      <w:r>
        <w:rPr>
          <w:rtl w:val="0"/>
          <w:lang w:val="it-IT"/>
        </w:rPr>
        <w:t>ἄφθαρτον οὕ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τως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… ὡς τάς ἀτ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ό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μ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ου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ς</w:t>
      </w:r>
      <w:r>
        <w:rPr>
          <w:rtl w:val="0"/>
          <w:lang w:val="it-IT"/>
        </w:rPr>
        <w:t xml:space="preserve">); col. a = fr. 82, 4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"https://papyri.info/biblio/83346"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Diels 1917</w:t>
      </w:r>
      <w:r>
        <w:rPr/>
        <w:fldChar w:fldCharType="end" w:fldLock="0"/>
      </w:r>
      <w:r>
        <w:rPr>
          <w:rtl w:val="0"/>
          <w:lang w:val="it-IT"/>
        </w:rPr>
        <w:t xml:space="preserve">: il dio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composto eterno (</w:t>
      </w:r>
      <w:r>
        <w:rPr>
          <w:rtl w:val="0"/>
          <w:lang w:val="it-IT"/>
        </w:rPr>
        <w:t>ἡ περὶ τὸν θεὸν ἐ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ξ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ἀ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ε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ιδίου σύστασις</w:t>
      </w:r>
      <w:r>
        <w:rPr>
          <w:rtl w:val="0"/>
          <w:lang w:val="it-IT"/>
        </w:rPr>
        <w:t xml:space="preserve">); col. 10, 17 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Essler 2012</w:t>
      </w:r>
      <w:r>
        <w:rPr/>
        <w:fldChar w:fldCharType="end" w:fldLock="0"/>
      </w:r>
      <w:r>
        <w:rPr>
          <w:rtl w:val="0"/>
          <w:lang w:val="it-IT"/>
        </w:rPr>
        <w:t>: la divinit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ha sempre la stessa costituzione (cos</w:t>
      </w:r>
      <w:r>
        <w:rPr>
          <w:rtl w:val="0"/>
          <w:lang w:val="it-IT"/>
        </w:rPr>
        <w:t xml:space="preserve">ì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"https://papyri.info/biblio/83446"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Essler 2012</w:t>
      </w:r>
      <w:r>
        <w:rPr/>
        <w:fldChar w:fldCharType="end" w:fldLock="0"/>
      </w:r>
      <w:r>
        <w:rPr>
          <w:rStyle w:val="page number"/>
          <w:rtl w:val="0"/>
          <w:lang w:val="de-DE"/>
        </w:rPr>
        <w:t>:</w:t>
      </w:r>
      <w:r>
        <w:rPr>
          <w:rStyle w:val="page number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265-266 per </w:t>
      </w:r>
      <w:r>
        <w:rPr>
          <w:rtl w:val="0"/>
          <w:lang w:val="it-IT"/>
        </w:rPr>
        <w:t>ἐκ̣ τῶν ὁ̣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μοίων </w:t>
      </w:r>
      <w:r>
        <w:rPr>
          <w:rStyle w:val="page number"/>
          <w:vertAlign w:val="subscript"/>
          <w:rtl w:val="0"/>
          <w:lang w:val="it-IT"/>
        </w:rPr>
        <w:t>(</w:t>
      </w:r>
      <w:r>
        <w:rPr>
          <w:rtl w:val="0"/>
          <w:lang w:val="it-IT"/>
        </w:rPr>
        <w:t></w:t>
      </w:r>
      <w:r>
        <w:rPr>
          <w:rStyle w:val="page number"/>
          <w:vertAlign w:val="subscript"/>
          <w:rtl w:val="0"/>
          <w:lang w:val="it-IT"/>
        </w:rPr>
        <w:t>)</w:t>
      </w:r>
      <w:r>
        <w:rPr>
          <w:rtl w:val="0"/>
          <w:lang w:val="it-IT"/>
        </w:rPr>
        <w:t>|</w:t>
      </w:r>
      <w:r>
        <w:rPr>
          <w:rtl w:val="0"/>
          <w:lang w:val="it-IT"/>
        </w:rPr>
        <w:t></w:t>
      </w:r>
      <w:r>
        <w:rPr>
          <w:rtl w:val="0"/>
          <w:lang w:val="it-IT"/>
        </w:rPr>
        <w:t>]</w:t>
      </w:r>
      <w:r>
        <w:rPr>
          <w:rtl w:val="0"/>
          <w:lang w:val="it-IT"/>
        </w:rPr>
        <w:t></w:t>
      </w:r>
      <w:r>
        <w:rPr>
          <w:rtl w:val="0"/>
          <w:lang w:val="it-IT"/>
        </w:rPr>
        <w:t>[</w:t>
      </w:r>
      <w:r>
        <w:rPr>
          <w:rtl w:val="0"/>
          <w:lang w:val="it-IT"/>
        </w:rPr>
        <w:t></w:t>
      </w:r>
      <w:r>
        <w:rPr>
          <w:rtl w:val="0"/>
          <w:lang w:val="it-IT"/>
        </w:rPr>
        <w:t xml:space="preserve">] </w:t>
      </w:r>
      <w:r>
        <w:rPr>
          <w:rtl w:val="0"/>
          <w:lang w:val="it-IT"/>
        </w:rPr>
        <w:t>ἀπ’ αἰῶνος̣ ὑπάρχ̣ο̣ν</w:t>
      </w:r>
      <w:r>
        <w:rPr>
          <w:rtl w:val="0"/>
          <w:lang w:val="it-IT"/>
        </w:rPr>
        <w:t>).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page number">
    <w:name w:val="page number"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character" w:styleId="footnote reference">
    <w:name w:val="footnote reference"/>
    <w:basedOn w:val="page number"/>
    <w:rPr>
      <w:vertAlign w:val="superscript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Hyperlink.1">
    <w:name w:val="Hyperlink.1"/>
    <w:basedOn w:val="Hyperlink.0"/>
    <w:next w:val="Hyperlink.1"/>
    <w:rPr>
      <w:i w:val="1"/>
      <w:iCs w:val="1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2">
    <w:name w:val="Hyperlink.2"/>
    <w:basedOn w:val="Hyperlink.0"/>
    <w:next w:val="Hyperlink.2"/>
    <w:rPr>
      <w:i w:val="1"/>
      <w:iCs w:val="1"/>
      <w:lang w:val="it-IT"/>
    </w:rPr>
  </w:style>
  <w:style w:type="character" w:styleId="Hyperlink.3">
    <w:name w:val="Hyperlink.3"/>
    <w:basedOn w:val="Hyperlink.0"/>
    <w:next w:val="Hyperlink.3"/>
    <w:rPr>
      <w:lang w:val="it-IT"/>
    </w:rPr>
  </w:style>
  <w:style w:type="character" w:styleId="Hyperlink.4">
    <w:name w:val="Hyperlink.4"/>
    <w:basedOn w:val="Hyperlink.0"/>
    <w:next w:val="Hyperlink.4"/>
    <w:rPr>
      <w:lang w:val="en-US"/>
    </w:rPr>
  </w:style>
  <w:style w:type="character" w:styleId="Hyperlink.5">
    <w:name w:val="Hyperlink.5"/>
    <w:basedOn w:val="Hyperlink.0"/>
    <w:next w:val="Hyperlink.5"/>
    <w:rPr>
      <w:color w:val="0432ff"/>
      <w:sz w:val="24"/>
      <w:szCs w:val="24"/>
    </w:rPr>
  </w:style>
  <w:style w:type="character" w:styleId="Hyperlink.6">
    <w:name w:val="Hyperlink.6"/>
    <w:basedOn w:val="Hyperlink.0"/>
    <w:next w:val="Hyperlink.6"/>
    <w:rPr>
      <w:color w:val="0432ff"/>
      <w:sz w:val="24"/>
      <w:szCs w:val="24"/>
      <w:lang w:val="it-IT"/>
    </w:rPr>
  </w:style>
  <w:style w:type="character" w:styleId="Hyperlink.7">
    <w:name w:val="Hyperlink.7"/>
    <w:basedOn w:val="Hyperlink.0"/>
    <w:next w:val="Hyperlink.7"/>
    <w:rPr>
      <w:sz w:val="24"/>
      <w:szCs w:val="24"/>
      <w:lang w:val="it-IT"/>
    </w:rPr>
  </w:style>
  <w:style w:type="character" w:styleId="Hyperlink.8">
    <w:name w:val="Hyperlink.8"/>
    <w:basedOn w:val="Hyperlink.0"/>
    <w:next w:val="Hyperlink.8"/>
    <w:rPr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