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Output Recommendation</w:t>
      </w:r>
    </w:p>
    <w:p>
      <w:pPr>
        <w:pStyle w:val="Heading1"/>
      </w:pPr>
      <w:r>
        <w:t>Actionable Insights and Business Recommendations</w:t>
      </w:r>
    </w:p>
    <w:p>
      <w:pPr>
        <w:pStyle w:val="Heading2"/>
      </w:pPr>
      <w:r>
        <w:t>Actionable Insights from Data Analysis</w:t>
      </w:r>
    </w:p>
    <w:p>
      <w:pPr>
        <w:pStyle w:val="Heading3"/>
      </w:pPr>
      <w:r>
        <w:t>Positive indicators for targeting a customer for loan offers</w:t>
      </w:r>
    </w:p>
    <w:p>
      <w:pPr>
        <w:pStyle w:val="ListBullet"/>
      </w:pPr>
      <w:r>
        <w:t>Income is a strong predictor: Customers with higher income are significantly more likely to accept personal loans. This is supported by both correlation (ca. 0.50) and distribution analysis.</w:t>
      </w:r>
      <w:r>
        <w:br/>
        <w:br/>
      </w:r>
      <w:r/>
    </w:p>
    <w:p>
      <w:pPr>
        <w:pStyle w:val="ListBullet"/>
      </w:pPr>
      <w:r>
        <w:t>Credit Card usage is a useful signal: Customers who use credit cards (even from other banks) are more likely to take personal loans, indicating spending behavior is a useful targeting feature.</w:t>
      </w:r>
      <w:r>
        <w:br/>
        <w:br/>
      </w:r>
      <w:r/>
    </w:p>
    <w:p>
      <w:pPr>
        <w:pStyle w:val="Heading3"/>
      </w:pPr>
      <w:r>
        <w:t>Negative indicators against targeting a customer for loan offers</w:t>
      </w:r>
    </w:p>
    <w:p>
      <w:pPr>
        <w:pStyle w:val="ListBullet"/>
      </w:pPr>
      <w:r>
        <w:t>CD Account non-ownership is highly predictive: Customers without a CD account were almost 90% likely not to accept a loan offered and are likely less viable targets.</w:t>
      </w:r>
      <w:r>
        <w:br/>
        <w:br/>
      </w:r>
      <w:r/>
    </w:p>
    <w:p>
      <w:pPr>
        <w:pStyle w:val="ListBullet"/>
      </w:pPr>
      <w:r>
        <w:t>Securities Account non-ownership is highly predictive: Analog to CD Account ownership, customers without a Securities account were over 80% likely not to accept a loan offered and are likely less viable targets.</w:t>
      </w:r>
      <w:r>
        <w:br/>
        <w:br/>
      </w:r>
      <w:r/>
    </w:p>
    <w:p>
      <w:pPr>
        <w:pStyle w:val="ListBullet"/>
      </w:pPr>
      <w:r>
        <w:t xml:space="preserve">Education Level 1 (Undergrad) customers have very low loan uptake (2.5% of all customers, while representing over 40% of the customer base), suggesting this segment may be least responsive to loan offers. </w:t>
      </w:r>
      <w:r>
        <w:br/>
        <w:br/>
      </w:r>
      <w:r/>
    </w:p>
    <w:p>
      <w:pPr>
        <w:pStyle w:val="ListBullet"/>
      </w:pPr>
      <w:r>
        <w:t>Family size of 1 customers also show low loan interest (about 2% of all customers while representing 29% of all customers), indicating single-member households may be less viable targets.</w:t>
      </w:r>
      <w:r>
        <w:br/>
        <w:br/>
      </w:r>
      <w:r/>
    </w:p>
    <w:p>
      <w:pPr>
        <w:pStyle w:val="Heading3"/>
      </w:pPr>
      <w:r>
        <w:t>Neutral Indicators not meaningful to decide wether to target customers for loans</w:t>
      </w:r>
    </w:p>
    <w:p>
      <w:pPr>
        <w:pStyle w:val="ListBullet"/>
      </w:pPr>
      <w:r>
        <w:t xml:space="preserve">Online banking is no indicator: While online banking customers make up about 60% of customers, they are only marginally more inclined to accept a loan offer at 6% vs 4% among non-online banking customers. </w:t>
      </w:r>
      <w:r>
        <w:br/>
        <w:br/>
      </w:r>
      <w:r/>
    </w:p>
    <w:p>
      <w:pPr>
        <w:pStyle w:val="ListBullet"/>
      </w:pPr>
      <w:r>
        <w:t>Mortgage value has only a weak correlation with loan acceptance (ca. 0.14), and its predictive power is inconsistent. While customers with lower or no mortgage are less likely to accept a loan, and customers with a higher mortgage are more inclined, both customer types have high amounts of outliers.</w:t>
      </w:r>
      <w:r>
        <w:br/>
        <w:br/>
      </w:r>
      <w:r/>
    </w:p>
    <w:p>
      <w:pPr>
        <w:pStyle w:val="ListBullet"/>
      </w:pPr>
      <w:r>
        <w:t>Age and Experience These show negligible correlation with loan acceptance (&lt; 0.008), and their distributions are nearly identical across loan groups. These are not useful for targeting.</w:t>
      </w:r>
      <w:r>
        <w:br/>
        <w:br/>
      </w:r>
      <w:r/>
    </w:p>
    <w:p>
      <w:r>
        <w:t>Data Quality Concern</w:t>
      </w:r>
    </w:p>
    <w:p>
      <w:pPr>
        <w:pStyle w:val="ListBullet"/>
      </w:pPr>
      <w:r>
        <w:t>Negative values in the 'Experience' column may indicate data entry issues and should be cleaned or imputed before modeling. This is probably due to data entry issues and will require further investigation if this feature is to be used. The analysis found a very high correlation between Age and Experience, indicating that they, independently, don't have high predictive power. For this reason this study only utilized Age as feature, omitting Experience altogether.</w:t>
      </w:r>
      <w:r>
        <w:br/>
        <w:br/>
      </w:r>
      <w:r/>
    </w:p>
    <w:p>
      <w:pPr>
        <w:pStyle w:val="Heading2"/>
      </w:pPr>
      <w:r>
        <w:t>Actionable Recommendations from Data- and Tree Model Analysis</w:t>
      </w:r>
    </w:p>
    <w:p>
      <w:pPr>
        <w:pStyle w:val="ListBullet"/>
      </w:pPr>
      <w:r>
        <w:t>Prioritize High-Income Segments Focus marketing efforts on customers with annual incomes above the median, especially those in the 70–80k range and beyond. These customers not only show higher loan uptake but also tend to have higher CCAvg and Mortgage values, reinforcing their financial capacity.</w:t>
      </w:r>
      <w:r>
        <w:br/>
        <w:br/>
      </w:r>
      <w:r/>
    </w:p>
    <w:p>
      <w:pPr>
        <w:pStyle w:val="ListBullet"/>
      </w:pPr>
      <w:r>
        <w:t>Leverage Behavioral Indicators Target customers who use credit cards (especially with high CCAvg). This behavior are strong signals of financial engagement and openness to new products.</w:t>
      </w:r>
      <w:r>
        <w:br/>
        <w:br/>
      </w:r>
      <w:r/>
    </w:p>
    <w:p>
      <w:pPr>
        <w:pStyle w:val="ListBullet"/>
      </w:pPr>
      <w:r>
        <w:t>Exclude or Deprioritize Low-Response Segments Avoid over-targeting:</w:t>
      </w:r>
      <w:r>
        <w:br/>
        <w:br/>
      </w:r>
      <w:r/>
    </w:p>
    <w:p>
      <w:pPr>
        <w:pStyle w:val="ListBullet"/>
      </w:pPr>
      <w:r>
        <w:t>Clean and Refine Data- Address negative values in the 'Experience' column to ensure model accuracy if this feature is desired to be used.- Consider dropping either Age or Experience from the model to avoid multicollinearity.- ZIP codes in their full 5-digit granularity are too limiting and might bias the models against certain populations. Abstracting them to the first two digits still allows for regional weights without this risk.</w:t>
      </w:r>
      <w:r>
        <w:br/>
        <w:br/>
      </w:r>
      <w:r/>
    </w:p>
    <w:p>
      <w:pPr>
        <w:pStyle w:val="ListBullet"/>
      </w:pPr>
      <w:r>
        <w:t>Modeling Strategy- Use a model that emphasizes recall (minimizing false negatives), since missing a viable loan customer is more costly than targeting a non-interested one.- use balanced weighting in the models to account for a stark imbalance between classes in the target variable.</w:t>
      </w:r>
      <w:r>
        <w:br/>
        <w:br/>
      </w:r>
      <w:r/>
    </w:p>
    <w:p>
      <w:pPr>
        <w:pStyle w:val="Heading2"/>
      </w:pPr>
      <w:r>
        <w:t>Analysis and Evaluation of the models tested in this study</w:t>
      </w:r>
    </w:p>
    <w:p>
      <w:pPr>
        <w:pStyle w:val="Heading3"/>
      </w:pPr>
      <w:r>
        <w:t>Evaluation Based on Business Priorities</w:t>
      </w:r>
    </w:p>
    <w:p>
      <w:r>
        <w:t xml:space="preserve">Comparing different models built through different methods, the study collected performance metrics for each model against Training Data and Test Data. Comparison of these performance metrics, particularly considering the business objective, allows for selecting the best model and model tuning method. The </w:t>
      </w:r>
    </w:p>
    <w:p>
      <w:r>
        <w:t>1. Recall (Minimizing False Negatives)</w:t>
      </w:r>
    </w:p>
    <w:p>
      <w:pPr>
        <w:pStyle w:val="ListBullet"/>
      </w:pPr>
      <w:r>
        <w:t>The post-pruned and balanced Decision tree has the highest recall at 0.993 in Test Data, meaning it correctly identifies nearly all actual loan takers and generalizes well.</w:t>
      </w:r>
      <w:r>
        <w:br/>
        <w:br/>
      </w:r>
      <w:r/>
    </w:p>
    <w:p>
      <w:pPr>
        <w:pStyle w:val="ListBullet"/>
      </w:pPr>
      <w:r>
        <w:t>The balanced, pre-pruned Decision Tree also performs well with recall at 0.960.</w:t>
      </w:r>
      <w:r>
        <w:br/>
        <w:br/>
      </w:r>
      <w:r/>
    </w:p>
    <w:p>
      <w:pPr>
        <w:pStyle w:val="ListBullet"/>
      </w:pPr>
      <w:r>
        <w:t>Tree (Default) and Tree (Balanced) have lower recall, which could result in more missed opportunities.</w:t>
      </w:r>
      <w:r>
        <w:br/>
        <w:br/>
      </w:r>
      <w:r/>
    </w:p>
    <w:p>
      <w:r>
        <w:t>2. Precision (Avoiding Too Many False Positives)</w:t>
      </w:r>
    </w:p>
    <w:p>
      <w:pPr>
        <w:pStyle w:val="ListBullet"/>
      </w:pPr>
      <w:r>
        <w:t>The non-pruned, unbalanced Decision Tree has the highest precision at 0.927, meaning it shows the least false positives.</w:t>
      </w:r>
      <w:r>
        <w:br/>
        <w:br/>
      </w:r>
      <w:r/>
    </w:p>
    <w:p>
      <w:pPr>
        <w:pStyle w:val="ListBullet"/>
      </w:pPr>
      <w:r>
        <w:t>Tree (Balanced, Post-Pruned) has the lowest precision at 0.661, indicating more false positives—but this is acceptable given the business's tolerance for them.</w:t>
      </w:r>
      <w:r>
        <w:br/>
        <w:br/>
      </w:r>
      <w:r/>
    </w:p>
    <w:p>
      <w:r>
        <w:t>3. F1 Score (Balance of Precision and Recall)</w:t>
      </w:r>
    </w:p>
    <w:p>
      <w:pPr>
        <w:pStyle w:val="ListBullet"/>
      </w:pPr>
      <w:r>
        <w:t>Tree (Default) has the highest F1 score (0.930), but its recall is lower than the post-pruned model.</w:t>
      </w:r>
      <w:r>
        <w:br/>
        <w:br/>
      </w:r>
      <w:r/>
    </w:p>
    <w:p>
      <w:pPr>
        <w:pStyle w:val="ListBullet"/>
      </w:pPr>
      <w:r>
        <w:t>Tree (Balanced, Pre-pruned) and Post-Pruned have slightly lower F1 scores but much higher recall.</w:t>
      </w:r>
      <w:r>
        <w:br/>
        <w:br/>
      </w:r>
      <w:r/>
    </w:p>
    <w:p>
      <w:pPr>
        <w:pStyle w:val="Heading3"/>
      </w:pPr>
      <w:r>
        <w:t>Model Recommendation</w:t>
      </w:r>
    </w:p>
    <w:p>
      <w:r>
        <w:t>Use the Tree (Balanced, Post-Pruned) model for deployment.</w:t>
      </w:r>
    </w:p>
    <w:p>
      <w:pPr>
        <w:pStyle w:val="ListBullet"/>
      </w:pPr>
      <w:r>
        <w:t>It achieves exceptionally high recall (0.993) on Test data, which aligns with the business goal of not missing viable loan customers and potential revenue that comes with them. This also means that this tree generalizes well against unknown and new data.</w:t>
      </w:r>
      <w:r>
        <w:br/>
        <w:br/>
      </w:r>
      <w:r/>
    </w:p>
    <w:p>
      <w:pPr>
        <w:pStyle w:val="ListBullet"/>
      </w:pPr>
      <w:r>
        <w:t>While its precision is the lowest against Test data causing the highest rate of false positives, the cost of false positives is acceptable in this context compared to the benefit of avoiding the potential loss of business and revenue.</w:t>
      </w:r>
      <w:r>
        <w:br/>
        <w:br/>
      </w:r>
      <w:r/>
    </w:p>
    <w:p>
      <w:pPr>
        <w:pStyle w:val="ListBullet"/>
      </w:pPr>
      <w:r>
        <w:t xml:space="preserve"> The model is also less likely to overfit compared to the unpruned trees, which show perfect scores on training data, which in combination with lower scores on Test data, is an indicator of overfitting.</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