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N314 teaching paper 2023-11-30</w:t>
      </w:r>
    </w:p>
    <w:p>
      <w:r>
        <w:t xml:space="preserve">Intravenous Therapy is the administration of substances, like medication or electrolytes mixed in fluids or just fluids through a catheter into a vein. This can happen continuous or intermittent base on rates, or as quick bolus. This allows for rapid absorption and less irritation to tissue, but could lead to fluid overload and systemic infection. Special care is required for volume-controlled infusions over short periods of time or bolus doses, as well as with older clients on anticoagulants as adverse impact can happen quickly and rough treatment, eg. by tourniquet, could cause bleeding. </w:t>
      </w:r>
    </w:p>
    <w:p>
      <w:r>
        <w:t xml:space="preserve">The provider will define the flow rate or the duration per volume. Familiarize yourself before the procedure with the required procedures for adverse reactions or other scenarios, based on treatment, client, and fluid. Educate the client and ensure they are comfortable to not interfere with the procedure. Check equipment and prescription and use precautions and hygiene. Understand allergies, e.g. to latex and tape. Choose the injection site thoroughly to ensure minimal interference. Clean it to prevent infection and select the right size catheter for different types of clients, treatments, or liquids. Follow procedures for the procedure thoroughly and consider the facility's policy. </w:t>
      </w:r>
    </w:p>
    <w:p>
      <w:r>
        <w:t xml:space="preserve">During the procedure, don’t interfere with the catheter or infusion and keep the fluid flowing to avoid blood clots. Don’t mix incompatible liquids. Use IV pumps for medications with serious adverse reactions. During the procedure, frequently check the client, infusion rate and site for adverse reactions or interference. </w:t>
      </w:r>
    </w:p>
    <w:p>
      <w:r>
        <w:t>Always thoroughly document everything thoroughly.</w:t>
      </w:r>
    </w:p>
    <w:p>
      <w:r>
        <w:t>​</w:t>
      </w:r>
    </w:p>
    <w:p>
      <w:r>
        <w:t>Reference</w:t>
      </w:r>
    </w:p>
    <w:p>
      <w:r>
        <w:t xml:space="preserve">Assessment Technologies Institute (2019). </w:t>
      </w:r>
      <w:r>
        <w:rPr>
          <w:i/>
        </w:rPr>
        <w:t>RN Adult Medical Surgical Nursing Edition 11. 0</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