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Antecedents [DONE]</w:t>
      </w:r>
    </w:p>
    <w:p>
      <w:r>
        <w:t>According to Walker and Avant (2018c), defining Antecedents and Consequences is the seventh step in concept analysis. It allows to define under which circumstances a concept applies and what the consequences of this concept would be. Antecedents are the conditions that must occur before we can consider a condition to be a wound. According to Nagle et al. (2023), the following situations can, but don’t necessarily have to, lead to the development of a wound. A physical trauma or injury from an accident or intentional harm can lead to the appearance of a wound. Another possible antecedent is a pathological condition, such as diabetes or circulation problems that can lead to chronic wounds and impaired healing. Sustained pressure on bony prominences can also lead to wounds in the form of pressure ulcers, particularly in patients that are bedridden. Finally, surgical interventions can be the cause of wounds incurred during surgical procedures, also referred to as clinical wounds.</w:t>
      </w:r>
    </w:p>
    <w:p>
      <w:r>
        <w:t>​</w:t>
      </w:r>
    </w:p>
    <w:p>
      <w:pPr>
        <w:pStyle w:val="Heading2"/>
      </w:pPr>
      <w:r>
        <w:t>References</w:t>
      </w:r>
    </w:p>
    <w:p>
      <w:r>
        <w:t xml:space="preserve">Walker, L. O., &amp; Avant, K. C. (2018c). </w:t>
      </w:r>
      <w:r>
        <w:rPr>
          <w:i/>
        </w:rPr>
        <w:t>Strategies for Theory Construction in Nursing</w:t>
      </w:r>
      <w:r>
        <w:t>.</w:t>
      </w:r>
    </w:p>
    <w:p>
      <w:pPr>
        <w:pStyle w:val="ListBullet"/>
      </w:pPr>
      <w:r>
        <w:t>https://www.amazon.com/Strategies-Theory-Construction-Nursing-Lorraine-ebook/dp/B07R8GHHBF/ref=sr_1_1?crid=56JUXUCDS3FJ&amp;dib=eyJ2IjoiMSJ9.NtnJ29nDN8d-pG8cxpYgYxhGZK3-Mm55zWGdZzB678k.vofW5FIyk5AUfDas2hYMs3lNFnkMdfVrfwN02-_ztJE&amp;dib_tag=se&amp;keywords=isbn+978-0-1347-5407-9&amp;qid=1727811490&amp;s=books&amp;sprefix=isbn978-0-1347-5407-9%2Cstripbooks%2C121&amp;sr=1-1</w:t>
      </w:r>
      <w:r>
        <w:br/>
        <w:br/>
      </w:r>
      <w:r/>
    </w:p>
    <w:p>
      <w:pPr>
        <w:pStyle w:val="ListBullet"/>
      </w:pPr>
      <w:r>
        <w:t>Walker and Avant (2018c)</w:t>
      </w:r>
      <w:r>
        <w:br/>
        <w:br/>
      </w:r>
      <w:r/>
    </w:p>
    <w:p>
      <w:r>
        <w:t xml:space="preserve">Nagle, S. M., Stevens, K. A., &amp; Wilbraham, S. C. (2023, June 26). </w:t>
      </w:r>
      <w:r>
        <w:rPr>
          <w:i/>
        </w:rPr>
        <w:t>Wound assessment</w:t>
      </w:r>
      <w:r>
        <w:t xml:space="preserve">. StatPearls - NCBI Bookshelf. </w:t>
      </w:r>
      <w:r>
        <w:t>https://www.ncbi.nlm.nih.gov/books/NBK482198/</w:t>
      </w:r>
    </w:p>
    <w:p>
      <w:pPr>
        <w:pStyle w:val="ListBullet"/>
      </w:pPr>
      <w:r>
        <w:t>https://www.ncbi.nlm.nih.gov/books/NBK482198/</w:t>
      </w:r>
      <w:r>
        <w:br/>
        <w:br/>
      </w:r>
      <w:r/>
    </w:p>
    <w:p>
      <w:pPr>
        <w:pStyle w:val="ListBullet"/>
      </w:pPr>
      <w:r>
        <w:t>Nagle et al. (2023)</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