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Borderline Case [DONE]</w:t>
      </w:r>
    </w:p>
    <w:p>
      <w:r>
        <w:t>A borderline case, still technically meeting the criteria of a model case, but close to not meeting enough defining attributes entirely, could be a 72 year old diabetic patient confined to bed. Their caretaker is negligent in prevention and detection of ulcers and doesn’t turn the patient sufficiently. Due to the consistent pressure, pressure ulcers have formed. This meets the criteria of a would as tissue damage has occurred, the body is triggering pain and inflammatory reactions, but the healing process is impaired due to diabetes related circulation problems. While the insufficient healing could indicate there to be a related case, it rather elaborates on the complexities found in the field regarding wounds, especially in special circumstances, such as diabetic patients.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