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Contrary Case [DONE]</w:t>
      </w:r>
    </w:p>
    <w:p>
      <w:r>
        <w:t>A contrary case serves to show clinical or real life scenarios where, even though some of the defining attributes are met, but those are too far remote from the key attributes of a wound. A 54 year old desk worker experiencing a migraine attack, for example, meets the defining attribute of pain, but no other criteria closer to skin damage are met. This case is contrary to a wound and couldn’t be mistaken for one.</w:t>
      </w:r>
    </w:p>
    <w:p>
      <w:pPr>
        <w:pStyle w:val="Heading2"/>
      </w:pPr>
      <w:r>
        <w:t>References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