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Related Case [DONE]</w:t>
      </w:r>
    </w:p>
    <w:p>
      <w:r>
        <w:t>Based on Walker and Avant (2018c)s’ method, the sixth step is to create other cases, like related and contrary cases to elaborate on the boundaries between a model case emphasizing the concept and other cases not meeting the criteria of the concept. A related case is a fictitious clinical or real life scenario that meets some of the core criteria for a wound, but doesn’t meet the most important one. In this case, a 15 year old touched poison ivy and immediately experiences a rash with a strong itch and pain. The touch point swells and gets warm to the touch. The patient experiences an inflammatory immune reaction and a skin alteration. They also experience pain and a healing process kicks off that will eventually return the skin to its normal condition. There is, though, no break in tissue or damage to tissue or mucous membranes, a key distinguishing factor.</w:t>
      </w:r>
    </w:p>
    <w:p>
      <w:pPr>
        <w:pStyle w:val="Heading2"/>
      </w:pPr>
      <w:r>
        <w:t>References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