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r>
        <w:t>Chronic wounds significantly impact the quality of life of patients with diabetes, particularly those aged 35 and older. The prevalence of diabetic foot ulcers (DFUs) and other chronic wounds in this population increases the risk of complications such as infections and amputations. This paper provides a population health analysis of diabetic patients over the age of 35 with chronic wounds. It examines key health indicators, such as wound healing time and hospitalization rates, and explores contributing factors such as socioeconomic status, access to healthcare, and geographic location. The analysis evaluates available public health data from sources like the CDC and ADA, while highlighting gaps in data collection related to patient-reported outcomes and health equity. Recommendations include the establishment of multidisciplinary wound care programs and the expansion of telemedicine services to improve access to specialized care. The paper concludes with a focus on the role of nursing in patient education, early detection, and management to reduce the burden of chronic wounds in this vulnerable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