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Definition of Wellness</w:t>
      </w:r>
    </w:p>
    <w:p>
      <w:r>
        <w:rPr>
          <w:b/>
        </w:rPr>
        <w:t>Definition of Wellness for Diabetic Patients Over 35 with Chronic Wounds</w:t>
      </w:r>
    </w:p>
    <w:p>
      <w:r>
        <w:t>​</w:t>
      </w:r>
    </w:p>
    <w:p>
      <w:r>
        <w:t>Wellness, as a multidimensional concept, extends beyond the mere absence of disease to include physical, mental, social, and emotional well-being (WHO, n.d.). For diabetic patients over the age of 35 who suffer from chronic wounds, wellness must be understood in a comprehensive manner that addresses the complexity of living with both diabetes and chronic wounds. These patients are not only managing a lifelong chronic illness but also dealing with the compounding effects of wounds that often resist healing, leading to physical, emotional, and social consequences. Therefore, defining wellness for this population requires taking a holistic approach, integrating physical healing, disease management, psychological support, and quality of life enhancements.</w:t>
      </w:r>
    </w:p>
    <w:p>
      <w:r>
        <w:t>​</w:t>
      </w:r>
    </w:p>
    <w:p>
      <w:pPr>
        <w:pStyle w:val="Heading3"/>
      </w:pPr>
      <w:r>
        <w:t>Physical Wellness</w:t>
      </w:r>
    </w:p>
    <w:p>
      <w:r>
        <w:t xml:space="preserve">The physical aspect of wellness in diabetic patients with chronic wounds involves effective wound management and glycemic control. According to Armstrong et al. (2017), one of the key factors in wound healing is the maintenance of optimal blood glucose levels, as elevated glucose levels impair the immune system and hinder tissue repair. Therefore, wellness in this context involves not only the healing of chronic wounds but also the stabilization of blood glucose levels to prevent wound recurrence. Indicators of physical wellness would include wound healing time, absence of new wounds or infections, and maintaining target blood glucose levels. </w:t>
      </w:r>
    </w:p>
    <w:p>
      <w:r>
        <w:t>​</w:t>
      </w:r>
    </w:p>
    <w:p>
      <w:r>
        <w:t>Regular assessments using standardized tools such as the Bates-Jensen Wound Assessment Tool (BWAT) can be used to evaluate wound healing progress (Bates-Jensen, 2001). Additionally, periodic blood tests to monitor HbA1c levels can provide insights into how well a patient’s diabetes is being managed, as elevated HbA1c levels are strongly associated with poor wound healing outcomes (Falanga, 2005).</w:t>
      </w:r>
    </w:p>
    <w:p>
      <w:r>
        <w:t>​</w:t>
      </w:r>
    </w:p>
    <w:p>
      <w:pPr>
        <w:pStyle w:val="Heading3"/>
      </w:pPr>
      <w:r>
        <w:t>Mental and Emotional Wellness</w:t>
      </w:r>
    </w:p>
    <w:p>
      <w:r>
        <w:t xml:space="preserve">Living with chronic wounds can take a significant toll on a person’s mental and emotional well-being, leading to increased stress, anxiety, and depression. Research shows that individuals with chronic wounds often experience a reduced quality of life, feelings of social isolation, and emotional distress due to the chronic nature of their wounds and associated complications (Vuorisalo et al., 2009). Therefore, wellness in this population also involves addressing their psychological health. </w:t>
      </w:r>
    </w:p>
    <w:p>
      <w:r>
        <w:t>​</w:t>
      </w:r>
    </w:p>
    <w:p>
      <w:r>
        <w:t>Assessments for emotional wellness could include the use of validated tools like the Patient Health Questionnaire (PHQ-9), which screens for depression, or the Generalized Anxiety Disorder (GAD-7) scale, which measures anxiety levels (Kroenke et al., 2001). Engaging patients in regular mental health check-ins, promoting peer support groups, and offering psychological counseling can be meaningful interventions to promote mental wellness in this population (Vuorisalo et al., 2009).</w:t>
      </w:r>
    </w:p>
    <w:p>
      <w:r>
        <w:t>​</w:t>
      </w:r>
    </w:p>
    <w:p>
      <w:pPr>
        <w:pStyle w:val="Heading3"/>
      </w:pPr>
      <w:r>
        <w:t>Social and Occupational Wellness</w:t>
      </w:r>
    </w:p>
    <w:p>
      <w:r>
        <w:t>Social wellness is another key dimension of wellness for this population. Patients with chronic wounds, particularly foot ulcers, often experience reduced mobility, which can limit their social interactions and hinder their ability to perform daily activities or maintain employment (Herber et al., 2007). The inability to engage in meaningful social roles can lead to social isolation, further exacerbating mental health issues and reducing overall well-being.</w:t>
      </w:r>
    </w:p>
    <w:p>
      <w:r>
        <w:t>​</w:t>
      </w:r>
    </w:p>
    <w:p>
      <w:r>
        <w:t>To assess social wellness, nurses can use tools like the Social Support Survey, which measures perceived social support, or conduct open-ended assessments regarding a patient's ability to engage in their daily roles and relationships (Sherbourne &amp; Stewart, 1991). Promoting social support through community-based programs, connecting patients with local resources, and encouraging physical rehabilitation to restore mobility are all strategies that can enhance social wellness for individuals in this population.</w:t>
      </w:r>
    </w:p>
    <w:p>
      <w:r>
        <w:t>​</w:t>
      </w:r>
    </w:p>
    <w:p>
      <w:pPr>
        <w:pStyle w:val="Heading3"/>
      </w:pPr>
      <w:r>
        <w:t>Wellness Assessment and Interventions</w:t>
      </w:r>
    </w:p>
    <w:p>
      <w:r>
        <w:t xml:space="preserve">In assessing wellness, a comprehensive, multidimensional tool is essential. The </w:t>
      </w:r>
      <w:r>
        <w:rPr>
          <w:b/>
        </w:rPr>
        <w:t>Wellness Assessment Wheel</w:t>
      </w:r>
      <w:r>
        <w:t xml:space="preserve"> could be used, which evaluates wellness across physical, emotional, social, and spiritual dimensions (Adams et al., 1997). This wheel can help healthcare providers create a more individualized care plan that addresses the specific needs of diabetic patients with chronic wounds.</w:t>
      </w:r>
    </w:p>
    <w:p>
      <w:r>
        <w:t>​</w:t>
      </w:r>
    </w:p>
    <w:p>
      <w:r>
        <w:t>In practice, regular assessments of wound healing using tools such as the BWAT, combined with mental health screenings and evaluations of social support, provide a structured approach to gauging overall wellness. Interventions should focus on both physical and emotional aspects, including comprehensive diabetes education, wound care management, psychological support, and social reintegration initiatives, as each of these factors contributes to holistic wellness.</w:t>
      </w:r>
    </w:p>
    <w:p>
      <w:r>
        <w:t>​</w:t>
      </w:r>
    </w:p>
    <w:p>
      <w:pPr>
        <w:pStyle w:val="Heading3"/>
      </w:pPr>
      <w:r>
        <w:t>Conclusion</w:t>
      </w:r>
    </w:p>
    <w:p>
      <w:r>
        <w:t>Wellness for diabetic patients over the age of 35 with chronic wounds is a complex and multifaceted concept, encompassing not only the physical healing of wounds but also the emotional, mental, and social aspects of their lives. By using validated assessment tools and offering targeted interventions, nurses can promote a broader sense of wellness that improves both clinical outcomes and quality of life. Continuous evaluation and support are crucial in maintaining long-term wellness in this population.</w:t>
      </w:r>
    </w:p>
    <w:p>
      <w:r>
        <w:t>​</w:t>
      </w:r>
    </w:p>
    <w:p>
      <w:pPr>
        <w:pStyle w:val="Heading3"/>
      </w:pPr>
      <w:r>
        <w:t>References</w:t>
      </w:r>
    </w:p>
    <w:p>
      <w:r>
        <w:t>WHO. (n.d.). Health and Well-Being. World Health Organization. Retrieved October 21, 2024, from https://www.who.int/data/gho/data/major-themes/health-and-well-being</w:t>
      </w:r>
    </w:p>
    <w:p>
      <w:pPr>
        <w:pStyle w:val="ListBullet"/>
      </w:pPr>
      <w:r>
        <w:t>(WHO, n.d.)</w:t>
      </w:r>
      <w:r>
        <w:br/>
        <w:br/>
      </w:r>
      <w:r/>
    </w:p>
    <w:p>
      <w:r>
        <w:t>Adams, T., Bezner, J., &amp; Steinhardt, M. (1997). The Conceptualization and Measurement of Perceived Wellness: Integrating Balance across and within Dimensions. American Journal of Health Promotion, 11(3), 208–218. https://doi.org/10.4278/0890-1171-11.3.208</w:t>
      </w:r>
    </w:p>
    <w:p>
      <w:pPr>
        <w:pStyle w:val="ListBullet"/>
      </w:pPr>
      <w:r>
        <w:t>Adams et al. (1997)</w:t>
      </w:r>
      <w:r>
        <w:br/>
        <w:br/>
      </w:r>
      <w:r/>
    </w:p>
    <w:p>
      <w:r>
        <w:t>​</w:t>
      </w:r>
    </w:p>
    <w:p>
      <w:r>
        <w:t>Armstrong, D. G., Boulton, A. J., &amp; Bus, S. A. (2017b). Diabetic foot ulcers and their recurrence. New England Journal of Medicine, 376(24), 2367–2375. https://doi.org/10.1056/nejmra1615439</w:t>
      </w:r>
    </w:p>
    <w:p>
      <w:pPr>
        <w:pStyle w:val="ListBullet"/>
      </w:pPr>
      <w:r>
        <w:t>Armstrong et al. (2017b)</w:t>
      </w:r>
      <w:r>
        <w:br/>
        <w:br/>
      </w:r>
      <w:r/>
    </w:p>
    <w:p>
      <w:r>
        <w:t>​</w:t>
      </w:r>
    </w:p>
    <w:p>
      <w:r>
        <w:t>Bates-Jensen, B. (2001). Bates-Jensen Wound Assessment Tool: Instructions for use. Wounds Canada. Retrieved October 20, 2024, from https://www.woundscanada.ca/docman/public/health-care-professional/1428-bwat/file</w:t>
      </w:r>
    </w:p>
    <w:p>
      <w:pPr>
        <w:pStyle w:val="ListBullet"/>
      </w:pPr>
      <w:r>
        <w:t>https://www.woundscanada.ca/docman/public/health-care-professional/1428-bwat/file</w:t>
      </w:r>
      <w:r>
        <w:br/>
        <w:br/>
      </w:r>
      <w:r/>
    </w:p>
    <w:p>
      <w:pPr>
        <w:pStyle w:val="ListBullet"/>
      </w:pPr>
      <w:r>
        <w:t>(Bates-Jensen, 2001)</w:t>
      </w:r>
      <w:r>
        <w:br/>
        <w:br/>
      </w:r>
      <w:r/>
    </w:p>
    <w:p>
      <w:r>
        <w:t>​</w:t>
      </w:r>
    </w:p>
    <w:p>
      <w:r>
        <w:t>Falanga, V. (2005). Wound healing and its impairment in the diabetic foot. The Lancet, 366(9498), 1736–1743. https://doi.org/10.1016/s0140-6736(05)67700-8</w:t>
      </w:r>
    </w:p>
    <w:p>
      <w:pPr>
        <w:pStyle w:val="ListBullet"/>
      </w:pPr>
      <w:r>
        <w:t>(Falanga, 2005)</w:t>
      </w:r>
      <w:r>
        <w:br/>
        <w:br/>
      </w:r>
      <w:r/>
    </w:p>
    <w:p>
      <w:r>
        <w:t>​</w:t>
      </w:r>
    </w:p>
    <w:p>
      <w:r>
        <w:t>Herber, O. R., Schnepp, W., &amp; Rieger, M. A. (2007). A systematic review on the impact of leg ulceration on patients’ quality of life. Health and Quality of Life Outcomes, 5(1). https://doi.org/10.1186/1477-7525-5-44</w:t>
      </w:r>
    </w:p>
    <w:p>
      <w:pPr>
        <w:pStyle w:val="ListBullet"/>
      </w:pPr>
      <w:r>
        <w:t>(Herber et al., 2007)</w:t>
      </w:r>
      <w:r>
        <w:br/>
        <w:br/>
      </w:r>
      <w:r/>
    </w:p>
    <w:p>
      <w:r>
        <w:t>​</w:t>
      </w:r>
    </w:p>
    <w:p>
      <w:r>
        <w:t>Kroenke, K., Spitzer, R. L., &amp; Williams, J. B. W. (2001). The PHQ-9. Journal of General Internal Medicine, 16(9), 606–613. https://doi.org/10.1046/j.1525-1497.2001.016009606.x</w:t>
      </w:r>
    </w:p>
    <w:p>
      <w:pPr>
        <w:pStyle w:val="ListBullet"/>
      </w:pPr>
      <w:r>
        <w:t>(Kroenke et al., 2001)</w:t>
      </w:r>
      <w:r>
        <w:br/>
        <w:br/>
      </w:r>
      <w:r/>
    </w:p>
    <w:p>
      <w:r>
        <w:t>​</w:t>
      </w:r>
    </w:p>
    <w:p>
      <w:r>
        <w:t>Sherbourne, C. D., &amp; Stewart, A. L. (1991). The MOS social support survey. Social Science &amp; Medicine, 32(6), 705–714. https://doi.org/10.1016/0277-9536(91)90150-b</w:t>
      </w:r>
    </w:p>
    <w:p>
      <w:pPr>
        <w:pStyle w:val="ListBullet"/>
      </w:pPr>
      <w:r>
        <w:t>(Sherbourne &amp; Stewart, 1991)</w:t>
      </w:r>
      <w:r>
        <w:br/>
        <w:br/>
      </w:r>
      <w:r/>
    </w:p>
    <w:p>
      <w:r>
        <w:t>​</w:t>
      </w:r>
    </w:p>
    <w:p>
      <w:r>
        <w:t>Vuorisalo, S., Venermo, M., &amp; Lepäntalo, M. (2009, June 1). Treatment of diabetic foot ulcers. PubMed. Retrieved October 20, 2024, from https://pubmed.ncbi.nlm.nih.gov/19543189/</w:t>
      </w:r>
    </w:p>
    <w:p>
      <w:pPr>
        <w:pStyle w:val="ListBullet"/>
      </w:pPr>
      <w:r>
        <w:t>(Vuorisalo et al., 2009)</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