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w:t>
      </w:r>
    </w:p>
    <w:p>
      <w:r>
        <w:t xml:space="preserve">Chronic wounds are a condition affecting about </w:t>
      </w:r>
      <w:r>
        <w:t>TK</w:t>
      </w:r>
      <w:r>
        <w:t>% of the population. They significantly affect the quality of life and increase morbidity and mortality rates with poor wound management and lack of access to specialized care being exacerbating factors. Some conditions are more prone to cause or sustain chronic wounds. Particularly diabetes is a condition that, through its comorbidities, fosters the development and restricts healing of wounds, in many cases leading to them becoming chronic. This paper will evaluate the prevalence of chronic wounds in diabetic patients above 30 years old. It will examine prevalent health concerns, sociological factors, healthcare systems interactions, and available public data, and will show how nurses can improve the conditions and circumstances for patients affected or at risk. It will show how education, early detection, and early treatment are crucial to avoid or reduce the risk of serious complications.</w:t>
      </w:r>
    </w:p>
    <w:p>
      <w:r>
        <w:t>​</w:t>
      </w:r>
    </w:p>
    <w:p>
      <w:r>
        <w:t>​</w:t>
      </w:r>
    </w:p>
    <w:p>
      <w:pPr>
        <w:pStyle w:val="Heading2"/>
      </w:pPr>
      <w:r>
        <w:t>References</w:t>
      </w:r>
    </w:p>
    <w:p>
      <w:r>
        <w:t>​</w:t>
      </w:r>
    </w:p>
    <w:p>
      <w:r>
        <w:t>​</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