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Conclusion (DONE)</w:t>
      </w:r>
    </w:p>
    <w:p>
      <w:pPr>
        <w:pStyle w:val="Heading2"/>
      </w:pPr>
      <w:r>
        <w:t>Collection</w:t>
      </w:r>
    </w:p>
    <w:p>
      <w:r>
        <w:t>This five-year plan represents a deeply committed journey toward becoming a leader in wound care nursing, with the ultimate goal of establishing a holistic wound care clinic. Grounded in over 20 years of patient care experience, this plan combines advanced certifications, targeted education, and hands-on practice to ensure a high level of expertise in wound management. Each step is purposefully designed to build skills, from obtaining the CWCN certification to mastering infection prevention and ostomy care.</w:t>
      </w:r>
    </w:p>
    <w:p>
      <w:r>
        <w:t>The envisioned clinic will not just treat wounds but will foster healing on every level, integrating conventional care with holistic therapies to support the whole person. By developing a strong IT infrastructure and aligning with healthcare interoperability standards, the clinic will seamlessly connect with other healthcare providers, promoting continuity of care and enriching patient experiences. This clinic is more than a career goal—it’s a vision for compassionate, transformative care that meets patients where they are and lifts them to better health.</w:t>
      </w:r>
    </w:p>
    <w:p>
      <w:pPr>
        <w:pStyle w:val="Heading2"/>
      </w:pPr>
      <w:r>
        <w:t>Draft</w:t>
      </w:r>
    </w:p>
    <w:p>
      <w:r>
        <w:t>This five-year plan represents a deeply committed journey toward becoming a leader in wound care nursing, with the ultimate goal of establishing a holistic wound care clinic. Grounded in over 20 years of patient care experience, this plan combines advanced certifications, targeted education, and hands-on practice to ensure a high level of expertise in wound management. Each step is purposefully designed to build skills, from obtaining the CWCN certification to mastering infection prevention and ostomy care. The envisioned clinic will not just treat wounds but will foster healing on every level, integrating conventional care with holistic therapies to support the whole person. By developing a strong IT infrastructure and aligning with healthcare interoperability standards, the clinic will seamlessly connect with other healthcare providers, promoting continuity of care and enriching patient experiences. This clinic is more than a career goal—it’s a vision for compassionate, transformative care that meets patients where they are and lifts them to better health.</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