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Goal Statement (DONE)</w:t>
      </w:r>
    </w:p>
    <w:p>
      <w:pPr>
        <w:pStyle w:val="Heading2"/>
      </w:pPr>
      <w:r>
        <w:t>Collection</w:t>
      </w:r>
    </w:p>
    <w:p>
      <w:r>
        <w:t>opening a holistic woundcare clinic</w:t>
      </w:r>
    </w:p>
    <w:p>
      <w:r>
        <w:t>​</w:t>
      </w:r>
    </w:p>
    <w:p>
      <w:r>
        <w:t>The primary objective of this five-year career plan is to obtain the Certified Wound Care Nurse (CWCN) credential, with supplementary certifications in diabetic wound care, ostomy management, and infection prevention. This goal follows SMART criteria, ensuring specificity, measurability, attainability, relevance, and a clear timeframe.</w:t>
      </w:r>
    </w:p>
    <w:p>
      <w:r>
        <w:t>​</w:t>
      </w:r>
    </w:p>
    <w:p>
      <w:r>
        <w:t>Key measurable outcomes include obtaining the CWCN certification, accumulating a minimum of 1,500 clinical hours in wound care over the five years (with at least 375 hours in the final year leading to certification), and completing 84 hours of continuing education for specialized certifications in diabetic wound care, ostomy management, and infection prevention. These objectives will provide a solid foundation for both clinical practice and global healthcare engagement.</w:t>
      </w:r>
    </w:p>
    <w:p>
      <w:r>
        <w:t>​</w:t>
      </w:r>
    </w:p>
    <w:p>
      <w:pPr>
        <w:pStyle w:val="Heading2"/>
      </w:pPr>
      <w:r>
        <w:t>Draft</w:t>
      </w:r>
    </w:p>
    <w:p>
      <w:r>
        <w:t>The primary objective of this five-year career plan is to obtain the Certified Wound Care Nurse (CWCN) credential, with supplementary certifications in diabetic wound care, ostomy management, and infection prevention. This goal follows SMART criteria, ensuring specificity, measurability, attainability, relevance, and a clear timeframe.</w:t>
      </w:r>
    </w:p>
    <w:p>
      <w:r>
        <w:t>Key measurable outcomes include obtaining the CWCN certification, accumulating a minimum of 1,500 clinical hours in wound care over the five years (with at least 375 hours in the final year leading to certification), and completing 84 hours of continuing education for specialized certifications in diabetic wound care, ostomy management, and infection prevention. These objectives will provide a solid foundation for both clinical practice and global healthcare engagement.</w:t>
      </w:r>
    </w:p>
    <w:p>
      <w:r>
        <w:t>The secondary goal is then to open my own wound care clinic. I am eager to build a presence for patients with chronic wounds to provide holistic care through a group of providers from different specialties, like nutritionists, physical therapists, behavioral therapists, and others. This way patients can, local to them, experience care for them, not just their wound alone. The detailed needs for this goal are not yet clear, but I would consider it achieved when I have been running this clinic with at least 3 other providers for at least a year with a positive outlook.</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