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Superseded - Diagnose</w:t>
      </w:r>
    </w:p>
    <w:p>
      <w:pPr>
        <w:pStyle w:val="ListBullet"/>
      </w:pPr>
      <w:r>
        <w:t>Research</w:t>
      </w:r>
      <w:r>
        <w:br/>
        <w:br/>
      </w:r>
      <w:r/>
    </w:p>
    <w:p>
      <w:pPr>
        <w:pStyle w:val="ListBullet"/>
      </w:pPr>
      <w:r>
        <w:t>References</w:t>
      </w:r>
      <w:r>
        <w:br/>
        <w:br/>
      </w:r>
      <w:r/>
    </w:p>
    <w:p>
      <w:pPr>
        <w:pStyle w:val="Heading2"/>
      </w:pPr>
      <w:r>
        <w:t>Diagnose</w:t>
      </w:r>
    </w:p>
    <w:p>
      <w:pPr>
        <w:pStyle w:val="Heading3"/>
      </w:pPr>
      <w:r>
        <w:t>Findings:</w:t>
      </w:r>
    </w:p>
    <w:p>
      <w:r>
        <w:t>The facility is taking safety very seriously, for their residents as well as for their staff, and for visitors like residents’ families. They are well aware of fall risks and have multiple fall risk protocols in place, making consistent use of fall risk scales. These protocols address all standard fall risk scenarios that usually apply to facilities of this type and size. The assessment team’s efforts have, though, uncovered a gap in medication handling when it comes to medications meeting Beers criteria. Fall prevention related to those medications is not explicitly addressed and has room for improvement, particularly around the education on such medications and communication of risks between staff related to these medications.</w:t>
      </w:r>
    </w:p>
    <w:p>
      <w:pPr>
        <w:pStyle w:val="Heading3"/>
      </w:pPr>
      <w:r>
        <w:t>Link to Strategic Goals:</w:t>
      </w:r>
    </w:p>
    <w:p>
      <w:r>
        <w:t>Adding protocols and awareness trainings concerning Beers criteria medications specifically, will improve the ‘Safety First’ policy of the facility by closing gaps that today are not explicitly closed and where risk prevention depends on individual factors in the staff leaving room for knowledge gaps or miscommunication with potentially severe consequences for residents. The proposal will address communications by explicitly requiring pharmacist and nurse to inform each other of fall risk factors per medication where applicable. Pharmacists will also inform staff if a new generic is used for Beers criteria medications to ensure awareness with the nursing staff. We will also implement mandatory trainings on Beers criteria medication and its risk factors for clinical staff and will propose efforts to revisit deprescription protocols with physicians.</w:t>
      </w:r>
    </w:p>
    <w:p>
      <w:pPr>
        <w:pStyle w:val="Heading3"/>
      </w:pPr>
      <w:r>
        <w:t>Population or Community Diagnosis:</w:t>
      </w:r>
    </w:p>
    <w:p>
      <w:r>
        <w:t>This assessment and improvement program relates to elderly adults in long term facilities that are prescribed one or more medications meeting Beers criteria for increased fall risk. Often polypharmacy or inadequate medication review for these patients leads to unnecessary fall risk and is, among elderly residents, the leading risk factor for falls.</w:t>
      </w:r>
    </w:p>
    <w:p>
      <w:pPr>
        <w:pStyle w:val="Heading3"/>
      </w:pPr>
      <w:r>
        <w:t>Link to Internal &amp; External Assessment:</w:t>
      </w:r>
    </w:p>
    <w:p>
      <w:r>
        <w:t>The assessment found a link to falls related to Beers medications and gaps in the protocols. Conversations with nurses revealed that at time patients were given generics the nurses were not familiar with enough to understand the increased fall risk. In addition, the EMR doesn’t indicate these medications as increased fall risk. There is no flag or other indicator to call out an increased fall risk due to the medication. Literature, as well as national guidelines emphasize deprescribing where possible for fall reduction. The facility doesn’t have explicit instructions on deprescribing such medications and related fall risk. The American Geriatrics Society provided a pocket guide on Beers criteria that is unknown to almost all clinical staff ([D24]). There are also free drug interaction checkers online available that clinical staff should be encouraged to use more often. ([D25])([D26])</w:t>
      </w:r>
    </w:p>
    <w:p>
      <w:pPr>
        <w:pStyle w:val="Heading3"/>
      </w:pPr>
      <w:r>
        <w:t>Aim Statement:</w:t>
      </w:r>
    </w:p>
    <w:p>
      <w:r>
        <w:t>At a minimum, this program is aiming to reduce the number of falls due to Beers criteria medication by 10% whitin three months from the end of the program. This will be achieved through comprehensive medication reviews, staff training, communication protocols, and education for residents and families.</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