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4: Metrics</w:t>
      </w:r>
    </w:p>
    <w:p>
      <w:r>
        <w:t>PART IV. METRICS</w:t>
      </w:r>
    </w:p>
    <w:p>
      <w:r>
        <w:rPr>
          <w:b/>
        </w:rPr>
        <w:t>Metric 1: Fall Incidence per 1,000 Patient-Days</w:t>
      </w:r>
      <w:r/>
      <w:r>
        <w:t>This metric will measure the number of falls per 1,000 patient-days among residents who have been prescribed Beers criteria medications. The data will be displayed as discrete counts over time (for example, 20, 18, or 14 falls per 1,000 patient-days). Baseline data was collected between February and March 2025 in the context of the Needs Assessment. Post-intervention data will be gathered again in June and October 2025 to measure the impact of the intervention. The source of this data will be the facility’s EHR incident reporting system, where incident logs will be filtered for residents in the targeted group. The population under study includes 24 residents aged 57 and older who are currently prescribed at least one medication from the Beers criteria list. The project goal is to reduce the fall rate from 20 to 14 per 1,000 patient-days by the end of October 2025. Achieving this target would reflect improved fall prevention due to enhanced medication monitoring and more effective interdisciplinary communication.</w:t>
      </w:r>
    </w:p>
    <w:p>
      <w:r>
        <w:rPr>
          <w:b/>
        </w:rPr>
        <w:t>Metric 2: Medication Review Compliance Rate</w:t>
      </w:r>
      <w:r/>
      <w:r>
        <w:t>This metric will track the percentage of residents who are on high-risk Beers criteria medications and have a documented medication review by a physician or pharmacist. Data will be reported as a percentage, calculated by dividing the number of completed reviews by the total number of eligible residents (for example, 18 out of 24 residents would equal 75%). Monitoring will take place from April to October 2025 through monthly audits. The data will be sourced from medication review documentation within the EHR, including audit logs and reconciliation notes. The target population includes all 24 residents who are currently prescribed high-risk medications. The project goal is to ensure that at least 75% of these residents have a completed and documented medication review by October 2025. This metric will demonstrate increased adherence to deprescribing protocols and a commitment to reducing medication-related fall risks.</w:t>
      </w:r>
    </w:p>
    <w:p>
      <w:r>
        <w:rPr>
          <w:b/>
        </w:rPr>
        <w:t>Metric 3: Nurse Training Compliance on Beers Criteria and Fall Risk</w:t>
      </w:r>
      <w:r/>
      <w:r>
        <w:t>This metric will assess the proportion of nursing staff who complete a structured training program on the fall risks associated with Beers criteria medications. The data will be displayed in two parts: the number and percentage of trained nurses and the results of pre- and post-training confidence surveys. These surveys will be based on a Likert scale from 1 to 5 and will measure the perceived ability of nurses to recognize and manage medication-related fall risks. The training sessions are scheduled for May 2025, with the follow-up surveys conducted in July 2025. Attendance records and completed survey forms will serve as the primary data sources. The population for this metric includes all six licensed nurses employed at the facility. The goal is to achieve at least 85% compliance with training, meaning a minimum of five out of six nurses should complete the program. Additionally, an increase in average confidence scores following training will indicate improved knowledge and preparedness.</w:t>
      </w:r>
    </w:p>
    <w:p>
      <w:r>
        <w:rPr>
          <w:b/>
        </w:rPr>
        <w:t>Metric 4: EHR Medication Flagging Implementation</w:t>
      </w:r>
      <w:r/>
      <w:r>
        <w:t>This metric will evaluate the development and use of an automated color based flagging system within the EHR and on print-outs for identifying residents prescribed high-risk medications. The metric will be presented in a binary format indicating whether the flagging system has been implemented (Yes/No), along with the results of monthly functionality spot checks. Development of this system will take place between June and July 2025, with a pilot phase scheduled for August and full implementation targeted for October 2025. The data will be collected from EHR system logs, IT implementation reports, and chart audits that verify the visibility and accuracy of the flags. This metric applies to all residents prescribed medications listed in the Beers criteria. The goal is to achieve full implementation and operational functionality by October 2025, with at least 90% of the relevant patient charts displaying appropriate flag indicators during spot checks.</w:t>
      </w:r>
    </w:p>
    <w:p>
      <w:r>
        <w:t>Collectively, these four metrics will allow for a comprehensive evaluation of the quality improvement initiative, ensuring that both clinical practices and support systems are effectively aligned to reduce medication-related falls in the long-term care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