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5: Materials</w:t>
      </w:r>
    </w:p>
    <w:p>
      <w:r>
        <w:t>PART V. MATERIALS</w:t>
      </w:r>
    </w:p>
    <w:p>
      <w:r>
        <w:t xml:space="preserve">The team has not yet drafted materials as they are still investigating the success rates of different mechanisms. They have, so far, decided to pursue a two-pronged approach. The first prong will be to create training slide decks and online training content with the IT team and respective vendors. This will also include facilitating training and Q&amp;A sessions with staff to ensure usefulness of the training materials and the assessment of current knowledge about the subject, creating a baseline for future comparison. </w:t>
      </w:r>
    </w:p>
    <w:p>
      <w:r>
        <w:t>The second prong is to work with the EHR vendor to implement mechanisms flagging heightened risks for these medications. The team has done experiments and questionnaires regarding color coding specific medications on EHR pages and printouts and change the order of output to ensure these indicators are one of the first thing nurses’ attention will be drawn to. The team is currently working on redlines to bring proposals to EHR vendor and IT team. These redlines will also be used in further staff engagement to the team’s validate assumptions before implementing.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