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6: Sustainability</w:t>
      </w:r>
    </w:p>
    <w:p>
      <w:r>
        <w:t>PART VI. SUSTAINABILITY</w:t>
      </w:r>
    </w:p>
    <w:p>
      <w:r>
        <w:t>To ensure the sustainability of the project, the nurse managers will conduct monthly monitoring of fall metrics. Mandatory quarterly refresher training sessions for all staff and onboarding modules for new staff will be created and the pharmacist will be routinely included in care planning meetings. The team will conduct an annual policy review to ensure continued compliance with Beers medication management protocols. Finally, in collaboration with the EHR vendor the team will continue to refine and enhance the medication flagging system. The project team is expecting ongoing iteration based on feedback from the respective users refining the flagging mechanisms over time. These measures will help maintain adherence and avoid compliance drift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