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 7: Limitations</w:t>
      </w:r>
    </w:p>
    <w:p>
      <w:r>
        <w:t>PART VII. LIMITATIONS</w:t>
      </w:r>
    </w:p>
    <w:p>
      <w:r>
        <w:t>One limitation of the project is the current lack of an EHR-based flagging system for high-risk medications, which necessitates collaboration with the vendor and time for development and testing. To mitigate this, the team is planning a phased rollout and pilot program. A second limitation is the time constraints faced by clinical staff, which may affect the depth of assessments and training participation. This will be addressed by providing shift-based training and integrating educational content into regular staff meetings and clinical rounds.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