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Parts_04_Purpose Statement (Superseded)</w:t>
      </w:r>
    </w:p>
    <w:p>
      <w:r>
        <w:t>The long-term care facility is aiming to be the safest facility in Kitsap county. This stretches across residents, staff, and visitors, such as families of residents. In order to achieve this goal, the facility has a wide range of security related measures in place, like fall risk protocols, using fall risk scales consistently. In preparation to this proposal, the authors have uncovered a gap in protocols that are standard or common to facilities similar in size. Patients prescribed Beers medication are not explicitly addressed by any existing fall risk protocols, despite being at a disproportionate risk of falls.</w:t>
      </w:r>
    </w:p>
    <w:p>
      <w:r>
        <w:t>The proposed project will address Beers risk related fall risks by implementing measures to raise awareness with staff and to improve deprescription protocols for this class of medications.</w:t>
      </w:r>
    </w:p>
    <w:p>
      <w:r>
        <w:t>The proposed improvement project aims to reduce the number of resident falls per 1,000 patient-days from a current rate of 20 to a rate of 14 by the end of October, 2025. As an intermediate goal, the project will reduce the number of medication-related falls by 10% within the first three months post-implementation.</w:t>
      </w:r>
    </w:p>
    <w:p>
      <w:r>
        <w:t>​</w:t>
      </w:r>
    </w:p>
    <w:p>
      <w:pPr>
        <w:pStyle w:val="Heading1"/>
      </w:pPr>
      <w:r>
        <w:t>From Needs Analysis</w:t>
      </w:r>
    </w:p>
    <w:p>
      <w:r>
        <w:t>The facility is taking safety very seriously, for their residents as well as for their staff, and for visitors like residents’ families. They are well aware of fall risks and have multiple fall risk protocols in place, making consistent use of fall risk scales. These protocols address all standard fall risk scenarios that usually apply to facilities of this type and size. The assessment team’s efforts have, though, uncovered a gap in medication handling when it comes to medications meeting the Beers criteria. Fall prevention related to those medications is not explicitly addressed and has room for improvement, particularly around the education on such medications and communication of risks between staff related to these medications.</w:t>
      </w:r>
    </w:p>
    <w:p>
      <w:r>
        <w:t>​</w:t>
      </w:r>
    </w:p>
    <w:p>
      <w:r>
        <w:t xml:space="preserve">The facility should reduce the number of falls from 20 to 14 per 1000 patient-days with a structured medication review process alone by the end of October. As a short-term implementation goal, the program should aim to reduce Beer-related falls by 10% in the first three months after implementing the program. </w:t>
      </w:r>
    </w:p>
    <w:p>
      <w:r>
        <w:t>​</w:t>
      </w:r>
    </w:p>
    <w:p>
      <w:r>
        <w:t>​</w:t>
      </w:r>
    </w:p>
    <w:p>
      <w:pPr>
        <w:pStyle w:val="Heading1"/>
      </w:pPr>
      <w:r>
        <w:t>RAW</w:t>
      </w:r>
    </w:p>
    <w:p>
      <w:pPr>
        <w:pStyle w:val="ListBullet"/>
      </w:pPr>
      <w:r>
        <w:t>Primary Purpose:</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