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Parts_06_Evaluation Plan (Superseded)</w:t>
      </w:r>
    </w:p>
    <w:p>
      <w:r>
        <w:t>Fall Incidence Rate per 1,000 Patient-Days: This metric tracks how often residents fall, using a standard rate of falls per 1,000 patient-days. A patient-day means one resident staying for one day. Right now, the facility has a fall rate of 20 per 1,000 patient-days. The goal is to reduce this number to 14 by October 2025. To measure this, we will use data from the electronic health record (EHR) system and incident reports that staff complete after each fall. We will focus on residents aged 57 and older who are prescribed medications listed in the Beers Criteria, which are known to increase fall risk.</w:t>
      </w:r>
    </w:p>
    <w:p>
      <w:r>
        <w:t>We collected baseline data from February to March 2025. We will compare this to new data collected on a monthly basis until the end of the project in October. After that, the metric will become part of ongoing sustainability efforts. The fall rate will be calculated by dividing the number of falls by the total number of resident days and multiplying by 1,000. A successful outcome will be a documented reduction to 14 falls per 1,000 patient-days. This will show that our interventions are helping to make the facility safer for residents.</w:t>
      </w:r>
    </w:p>
    <w:p>
      <w:r>
        <w:t>Medication Review Completion Rate: This metric measures how many residents on Beers Criteria medications receive a formal medication review by a pharmacist or physician. These medications are known to increase the risk of falls, so regular reviews are important. Currently, reviews only happen once a year, which is not enough to catch problems early. Our goal is to have at least 75% of residents on these medications receive a documented review by October 2025. Going forward, this review will be part of ongoing sustainability measures. We will track this using EHR medication reconciliation notes, pharmacist consultation logs, and new audit fields created specifically for this purpose. Starting in May 2025, the quality improvement nurse or audit team will conduct monthly audits. The completion rate will be calculated by dividing the number of residents with a documented review by the total number of residents on Beers medications, then multiplying by 100. If 18 out of 24 residents receive a review, we will meet our goal. This will help reduce fall risks by ensuring medications are being used safely.</w:t>
      </w:r>
    </w:p>
    <w:p>
      <w:r>
        <w:t>Nurse Training Completion and Confidence Improvement: This metric looks at how many licensed nurses complete training on fall risks related to Beers medications and whether their confidence improves after the training. At the start of the project, none of the nurses had received this type of training. Our goal is for at least 85% of them to complete the training by July 2025 and to show an increase in confidence and knowledge. We will track attendance using sign-in sheets and measure confidence using anonymous surveys given before and after the training. The surveys will use a 5-point scale to rate how confident nurses feel about identifying fall risks, understanding deprescribing, and knowing how to report concerns. The post-training survey will be given 2–4 weeks after the session to measure retained knowledge. Success will be defined as 5 out of 6 nurses completing the training and an average increase of at least 1 point in confidence scores. This will help ensure that nurses are better prepared to prevent falls.</w:t>
      </w:r>
    </w:p>
    <w:p>
      <w:r>
        <w:t>EHR Medication Flagging System Implementation: This metric tracks whether an automated system is successfully added to the EHR to flag high-risk Beers medications in resident charts. Right now, there is no system in place to alert staff about these medications, which means they have to rely on memory and judgment. Our goal is to develop and fully implement a flagging system that correctly identifies at least 90% of Beers medications by October 2025. We will use system logs from the EHR vendor and manual chart reviews by the IT and quality improvement teams to check accuracy. The system will be tested with a pilot group in August 2025, followed by full facility checks in September and October. The accuracy rate will be calculated by dividing the number of correctly flagged medications by the total number reviewed, then multiplying by 100. If 90% or more of the medications are flagged correctly, the system will be considered successful. This will help staff quickly identify medication risks and take action to prevent falls.</w:t>
      </w:r>
    </w:p>
    <w:p>
      <w:r>
        <w: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Metric</w:t>
            </w:r>
          </w:p>
        </w:tc>
        <w:tc>
          <w:tcPr>
            <w:tcW w:type="dxa" w:w="1234"/>
          </w:tcPr>
          <w:p>
            <w:r>
              <w:t>Baseline</w:t>
            </w:r>
          </w:p>
        </w:tc>
        <w:tc>
          <w:tcPr>
            <w:tcW w:type="dxa" w:w="1234"/>
          </w:tcPr>
          <w:p>
            <w:r>
              <w:t>Goal</w:t>
            </w:r>
          </w:p>
        </w:tc>
        <w:tc>
          <w:tcPr>
            <w:tcW w:type="dxa" w:w="1234"/>
          </w:tcPr>
          <w:p>
            <w:r>
              <w:t>Source</w:t>
            </w:r>
          </w:p>
        </w:tc>
        <w:tc>
          <w:tcPr>
            <w:tcW w:type="dxa" w:w="1234"/>
          </w:tcPr>
          <w:p>
            <w:r>
              <w:t>Measurement Tool</w:t>
            </w:r>
          </w:p>
        </w:tc>
        <w:tc>
          <w:tcPr>
            <w:tcW w:type="dxa" w:w="1234"/>
          </w:tcPr>
          <w:p>
            <w:r>
              <w:t>Timeline</w:t>
            </w:r>
          </w:p>
        </w:tc>
      </w:tr>
      <w:tr>
        <w:tc>
          <w:tcPr>
            <w:tcW w:type="dxa" w:w="1234"/>
          </w:tcPr>
          <w:p>
            <w:r>
              <w:t>1</w:t>
            </w:r>
          </w:p>
        </w:tc>
        <w:tc>
          <w:tcPr>
            <w:tcW w:type="dxa" w:w="1234"/>
          </w:tcPr>
          <w:p>
            <w:r>
              <w:t>Fall Incidence per 1,000 patient-days</w:t>
            </w:r>
          </w:p>
        </w:tc>
        <w:tc>
          <w:tcPr>
            <w:tcW w:type="dxa" w:w="1234"/>
          </w:tcPr>
          <w:p>
            <w:r>
              <w:t>20 falls/1,000 days</w:t>
            </w:r>
          </w:p>
        </w:tc>
        <w:tc>
          <w:tcPr>
            <w:tcW w:type="dxa" w:w="1234"/>
          </w:tcPr>
          <w:p>
            <w:r>
              <w:t>14 falls/1,000 days</w:t>
            </w:r>
          </w:p>
        </w:tc>
        <w:tc>
          <w:tcPr>
            <w:tcW w:type="dxa" w:w="1234"/>
          </w:tcPr>
          <w:p>
            <w:r>
              <w:t>EHR incident reports</w:t>
            </w:r>
          </w:p>
        </w:tc>
        <w:tc>
          <w:tcPr>
            <w:tcW w:type="dxa" w:w="1234"/>
          </w:tcPr>
          <w:p>
            <w:r>
              <w:t>Monthly aggregation</w:t>
            </w:r>
          </w:p>
        </w:tc>
        <w:tc>
          <w:tcPr>
            <w:tcW w:type="dxa" w:w="1234"/>
          </w:tcPr>
          <w:p>
            <w:r>
              <w:t>June and October 2025</w:t>
            </w:r>
          </w:p>
        </w:tc>
      </w:tr>
      <w:tr>
        <w:tc>
          <w:tcPr>
            <w:tcW w:type="dxa" w:w="1234"/>
          </w:tcPr>
          <w:p>
            <w:r>
              <w:t>2</w:t>
            </w:r>
          </w:p>
        </w:tc>
        <w:tc>
          <w:tcPr>
            <w:tcW w:type="dxa" w:w="1234"/>
          </w:tcPr>
          <w:p>
            <w:r>
              <w:t>Medication Review Completion</w:t>
            </w:r>
          </w:p>
        </w:tc>
        <w:tc>
          <w:tcPr>
            <w:tcW w:type="dxa" w:w="1234"/>
          </w:tcPr>
          <w:p>
            <w:r>
              <w:t>~0% proactive reviews</w:t>
            </w:r>
          </w:p>
        </w:tc>
        <w:tc>
          <w:tcPr>
            <w:tcW w:type="dxa" w:w="1234"/>
          </w:tcPr>
          <w:p>
            <w:r>
              <w:t>≥75% of residents</w:t>
            </w:r>
          </w:p>
        </w:tc>
        <w:tc>
          <w:tcPr>
            <w:tcW w:type="dxa" w:w="1234"/>
          </w:tcPr>
          <w:p>
            <w:r>
              <w:t>EHR chart audits</w:t>
            </w:r>
          </w:p>
        </w:tc>
        <w:tc>
          <w:tcPr>
            <w:tcW w:type="dxa" w:w="1234"/>
          </w:tcPr>
          <w:p>
            <w:r>
              <w:t>Monthly audits</w:t>
            </w:r>
          </w:p>
        </w:tc>
        <w:tc>
          <w:tcPr>
            <w:tcW w:type="dxa" w:w="1234"/>
          </w:tcPr>
          <w:p>
            <w:r>
              <w:t>May–October 2025</w:t>
            </w:r>
          </w:p>
        </w:tc>
      </w:tr>
      <w:tr>
        <w:tc>
          <w:tcPr>
            <w:tcW w:type="dxa" w:w="1234"/>
          </w:tcPr>
          <w:p>
            <w:r>
              <w:t>3</w:t>
            </w:r>
          </w:p>
        </w:tc>
        <w:tc>
          <w:tcPr>
            <w:tcW w:type="dxa" w:w="1234"/>
          </w:tcPr>
          <w:p>
            <w:r>
              <w:t>Nurse Training Completion &amp; Confidence</w:t>
            </w:r>
          </w:p>
        </w:tc>
        <w:tc>
          <w:tcPr>
            <w:tcW w:type="dxa" w:w="1234"/>
          </w:tcPr>
          <w:p>
            <w:r>
              <w:t>0% completion</w:t>
            </w:r>
          </w:p>
        </w:tc>
        <w:tc>
          <w:tcPr>
            <w:tcW w:type="dxa" w:w="1234"/>
          </w:tcPr>
          <w:p>
            <w:r>
              <w:t>≥85% completion; +1 point improvement</w:t>
            </w:r>
          </w:p>
        </w:tc>
        <w:tc>
          <w:tcPr>
            <w:tcW w:type="dxa" w:w="1234"/>
          </w:tcPr>
          <w:p>
            <w:r>
              <w:t>Attendance records, surveys</w:t>
            </w:r>
          </w:p>
        </w:tc>
        <w:tc>
          <w:tcPr>
            <w:tcW w:type="dxa" w:w="1234"/>
          </w:tcPr>
          <w:p>
            <w:r>
              <w:t>Pre-/Post-training surveys</w:t>
            </w:r>
          </w:p>
        </w:tc>
        <w:tc>
          <w:tcPr>
            <w:tcW w:type="dxa" w:w="1234"/>
          </w:tcPr>
          <w:p>
            <w:r>
              <w:t>May–July 2025</w:t>
            </w:r>
          </w:p>
        </w:tc>
      </w:tr>
      <w:tr>
        <w:tc>
          <w:tcPr>
            <w:tcW w:type="dxa" w:w="1234"/>
          </w:tcPr>
          <w:p>
            <w:r>
              <w:t>4</w:t>
            </w:r>
          </w:p>
        </w:tc>
        <w:tc>
          <w:tcPr>
            <w:tcW w:type="dxa" w:w="1234"/>
          </w:tcPr>
          <w:p>
            <w:r>
              <w:t>EHR Medication Flagging Accuracy</w:t>
            </w:r>
          </w:p>
        </w:tc>
        <w:tc>
          <w:tcPr>
            <w:tcW w:type="dxa" w:w="1234"/>
          </w:tcPr>
          <w:p>
            <w:r>
              <w:t>No system exists</w:t>
            </w:r>
          </w:p>
        </w:tc>
        <w:tc>
          <w:tcPr>
            <w:tcW w:type="dxa" w:w="1234"/>
          </w:tcPr>
          <w:p>
            <w:r>
              <w:t>≥90% accuracy</w:t>
            </w:r>
          </w:p>
        </w:tc>
        <w:tc>
          <w:tcPr>
            <w:tcW w:type="dxa" w:w="1234"/>
          </w:tcPr>
          <w:p>
            <w:r>
              <w:t>EHR system logs, chart audits</w:t>
            </w:r>
          </w:p>
        </w:tc>
        <w:tc>
          <w:tcPr>
            <w:tcW w:type="dxa" w:w="1234"/>
          </w:tcPr>
          <w:p>
            <w:r>
              <w:t>Spot checks</w:t>
            </w:r>
          </w:p>
        </w:tc>
        <w:tc>
          <w:tcPr>
            <w:tcW w:type="dxa" w:w="1234"/>
          </w:tcPr>
          <w:p>
            <w:r>
              <w:t>August–October 2025</w:t>
            </w:r>
          </w:p>
        </w:tc>
      </w:tr>
    </w:tbl>
    <w:p>
      <w:r>
        <w:t>Table 1. Overview of metrics and key facts about them</w:t>
      </w:r>
    </w:p>
    <w:p>
      <w:pPr>
        <w:pStyle w:val="Heading1"/>
      </w:pPr>
      <w:r>
        <w:t>RAW</w:t>
      </w:r>
    </w:p>
    <w:p>
      <w:pPr>
        <w:pStyle w:val="Heading2"/>
      </w:pPr>
      <w:r>
        <w:t>Metric 1: Fall Incidence Rate per 1,000 Patient-Days</w:t>
      </w:r>
    </w:p>
    <w:p>
      <w:pPr>
        <w:pStyle w:val="Heading2"/>
      </w:pPr>
      <w:r>
        <w:t>Metric 2: Medication Review Completion Rate</w:t>
      </w:r>
    </w:p>
    <w:p>
      <w:pPr>
        <w:pStyle w:val="ListBullet"/>
      </w:pPr>
      <w:r>
        <w:t>Definition: Percentage of residents on Beers Criteria medications who have had a formal, documented medication review by a pharmacist or physician.</w:t>
      </w:r>
      <w:r>
        <w:br/>
        <w:br/>
      </w:r>
      <w:r/>
    </w:p>
    <w:p>
      <w:pPr>
        <w:pStyle w:val="ListBullet"/>
      </w:pPr>
      <w:r>
        <w:t>Baseline: Medication reviews currently only occur annually per Medicare requirements; no proactive reviews triggered by fall risks (Needs Assessment).</w:t>
      </w:r>
      <w:r>
        <w:br/>
        <w:br/>
      </w:r>
      <w:r/>
    </w:p>
    <w:p>
      <w:pPr>
        <w:pStyle w:val="ListBullet"/>
      </w:pPr>
      <w:r>
        <w:t>Goal: ≥75% of residents prescribed Beers Criteria medications to have a documented medication review by October 2025 (Planning Aide).</w:t>
      </w:r>
      <w:r>
        <w:br/>
        <w:br/>
      </w:r>
      <w:r/>
    </w:p>
    <w:p>
      <w:pPr>
        <w:pStyle w:val="ListBullet"/>
      </w:pPr>
      <w:r>
        <w:t>Data Source:</w:t>
      </w:r>
      <w:r>
        <w:br/>
        <w:br/>
      </w:r>
      <w:r/>
    </w:p>
    <w:p>
      <w:pPr>
        <w:pStyle w:val="ListBullet"/>
      </w:pPr>
      <w:r>
        <w:t>Measurement Method:</w:t>
      </w:r>
      <w:r>
        <w:br/>
        <w:br/>
      </w:r>
      <w:r/>
    </w:p>
    <w:p>
      <w:pPr>
        <w:pStyle w:val="ListBullet"/>
      </w:pPr>
      <w:r>
        <w:t>Calculation:</w:t>
      </w:r>
      <w:r>
        <w:br/>
        <w:br/>
      </w:r>
      <w:r/>
    </w:p>
    <w:p>
      <w:r>
        <w:t>\text{Medication Review Completion Rate} = \left( \frac{\text{Number of residents with documented review}}{\text{Total number of residents prescribed Beers medications}} \right) \times 100 ]</w:t>
      </w:r>
    </w:p>
    <w:p>
      <w:pPr>
        <w:pStyle w:val="ListBullet"/>
      </w:pPr>
      <w:r>
        <w:t>Timeline:</w:t>
      </w:r>
      <w:r>
        <w:br/>
        <w:br/>
      </w:r>
      <w:r/>
    </w:p>
    <w:p>
      <w:pPr>
        <w:pStyle w:val="ListBullet"/>
      </w:pPr>
      <w:r>
        <w:t>Success Criteria:</w:t>
      </w:r>
      <w:r>
        <w:br/>
        <w:br/>
      </w:r>
      <w:r/>
    </w:p>
    <w:p>
      <w:pPr>
        <w:pStyle w:val="ListBullet"/>
      </w:pPr>
      <w:r>
        <w:t>Justification:</w:t>
      </w:r>
      <w:r>
        <w:br/>
        <w:br/>
      </w:r>
      <w:r/>
    </w:p>
    <w:p>
      <w:pPr>
        <w:pStyle w:val="Heading2"/>
      </w:pPr>
      <w:r>
        <w:t>Metric 3: Nurse Training Completion and Confidence Improvement</w:t>
      </w:r>
    </w:p>
    <w:p>
      <w:pPr>
        <w:pStyle w:val="ListBullet"/>
      </w:pPr>
      <w:r>
        <w:t>Definition: Percentage of licensed nursing staff who complete Beers medication fall risk training and show increased confidence post-training.</w:t>
      </w:r>
      <w:r>
        <w:br/>
        <w:br/>
      </w:r>
      <w:r/>
    </w:p>
    <w:p>
      <w:pPr>
        <w:pStyle w:val="ListBullet"/>
      </w:pPr>
      <w:r>
        <w:t>Baseline: 0% of staff have received formal Beers-specific fall risk training (Needs Assessment).</w:t>
      </w:r>
      <w:r>
        <w:br/>
        <w:br/>
      </w:r>
      <w:r/>
    </w:p>
    <w:p>
      <w:pPr>
        <w:pStyle w:val="ListBullet"/>
      </w:pPr>
      <w:r>
        <w:t>Goal:</w:t>
      </w:r>
      <w:r>
        <w:br/>
        <w:br/>
      </w:r>
      <w:r/>
    </w:p>
    <w:p>
      <w:pPr>
        <w:pStyle w:val="ListBullet"/>
      </w:pPr>
      <w:r>
        <w:t>Data Source:</w:t>
      </w:r>
      <w:r>
        <w:br/>
        <w:br/>
      </w:r>
      <w:r/>
    </w:p>
    <w:p>
      <w:pPr>
        <w:pStyle w:val="ListBullet"/>
      </w:pPr>
      <w:r>
        <w:t>Measurement Method:</w:t>
      </w:r>
      <w:r>
        <w:br/>
        <w:br/>
      </w:r>
      <w:r/>
    </w:p>
    <w:p>
      <w:pPr>
        <w:pStyle w:val="ListBullet"/>
      </w:pPr>
      <w:r>
        <w:t>Survey Design:</w:t>
      </w:r>
      <w:r>
        <w:br/>
        <w:br/>
      </w:r>
      <w:r/>
    </w:p>
    <w:p>
      <w:pPr>
        <w:pStyle w:val="ListBullet"/>
      </w:pPr>
      <w:r>
        <w:t>Success Criteria:</w:t>
      </w:r>
      <w:r>
        <w:br/>
        <w:br/>
      </w:r>
      <w:r/>
    </w:p>
    <w:p>
      <w:pPr>
        <w:pStyle w:val="ListBullet"/>
      </w:pPr>
      <w:r>
        <w:t>Timeline:</w:t>
      </w:r>
      <w:r>
        <w:br/>
        <w:br/>
      </w:r>
      <w:r/>
    </w:p>
    <w:p>
      <w:pPr>
        <w:pStyle w:val="ListBullet"/>
      </w:pPr>
      <w:r>
        <w:t>Justification:</w:t>
      </w:r>
      <w:r>
        <w:br/>
        <w:br/>
      </w:r>
      <w:r/>
    </w:p>
    <w:p>
      <w:pPr>
        <w:pStyle w:val="Heading2"/>
      </w:pPr>
      <w:r>
        <w:t>Metric 4: EHR Medication Flagging System Implementation</w:t>
      </w:r>
    </w:p>
    <w:p>
      <w:pPr>
        <w:pStyle w:val="ListBullet"/>
      </w:pPr>
      <w:r>
        <w:t>Definition: Successful development, pilot testing, and full implementation of an automated system to flag high-risk Beers medications in resident charts.</w:t>
      </w:r>
      <w:r>
        <w:br/>
        <w:br/>
      </w:r>
      <w:r/>
    </w:p>
    <w:p>
      <w:pPr>
        <w:pStyle w:val="ListBullet"/>
      </w:pPr>
      <w:r>
        <w:t>Baseline: No current EHR flagging mechanism for high-risk medications (Needs Assessment).</w:t>
      </w:r>
      <w:r>
        <w:br/>
        <w:br/>
      </w:r>
      <w:r/>
    </w:p>
    <w:p>
      <w:pPr>
        <w:pStyle w:val="ListBullet"/>
      </w:pPr>
      <w:r>
        <w:t>Goal: Achieve a ≥90% accuracy rate for appropriate flagging of Beers medications by October 2025.</w:t>
      </w:r>
      <w:r>
        <w:br/>
        <w:br/>
      </w:r>
      <w:r/>
    </w:p>
    <w:p>
      <w:pPr>
        <w:pStyle w:val="ListBullet"/>
      </w:pPr>
      <w:r>
        <w:t>Data Source:</w:t>
      </w:r>
      <w:r>
        <w:br/>
        <w:br/>
      </w:r>
      <w:r/>
    </w:p>
    <w:p>
      <w:pPr>
        <w:pStyle w:val="ListBullet"/>
      </w:pPr>
      <w:r>
        <w:t>Measurement Method:</w:t>
      </w:r>
      <w:r>
        <w:br/>
        <w:br/>
      </w:r>
      <w:r/>
    </w:p>
    <w:p>
      <w:pPr>
        <w:pStyle w:val="ListBullet"/>
      </w:pPr>
      <w:r>
        <w:t>Calculation:</w:t>
      </w:r>
      <w:r>
        <w:br/>
        <w:br/>
      </w:r>
      <w:r/>
    </w:p>
    <w:p>
      <w:r>
        <w:t>\text{Flagging Accuracy Rate} = \left( \frac{\text{Correctly flagged Beers medications}}{\text{Total number of Beers medications reviewed}} \right) \times 100 ]</w:t>
      </w:r>
    </w:p>
    <w:p>
      <w:pPr>
        <w:pStyle w:val="ListBullet"/>
      </w:pPr>
      <w:r>
        <w:t>Timeline:</w:t>
      </w:r>
      <w:r>
        <w:br/>
        <w:br/>
      </w:r>
      <w:r/>
    </w:p>
    <w:p>
      <w:pPr>
        <w:pStyle w:val="ListBullet"/>
      </w:pPr>
      <w:r>
        <w:t>Success Criteria:</w:t>
      </w:r>
      <w:r>
        <w:br/>
        <w:br/>
      </w:r>
      <w:r/>
    </w:p>
    <w:p>
      <w:pPr>
        <w:pStyle w:val="ListBullet"/>
      </w:pPr>
      <w:r>
        <w:t>Justification:</w:t>
      </w:r>
      <w:r>
        <w:br/>
        <w:br/>
      </w:r>
      <w:r/>
    </w:p>
    <w:p>
      <w:pPr>
        <w:pStyle w:val="Heading2"/>
      </w:pPr>
      <w:r>
        <w:t>Summary Table (Optional Visual You Could Add in Final Paper)</w:t>
      </w:r>
    </w:p>
    <w:p>
      <w:r>
        <w: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Metric</w:t>
            </w:r>
          </w:p>
        </w:tc>
        <w:tc>
          <w:tcPr>
            <w:tcW w:type="dxa" w:w="1234"/>
          </w:tcPr>
          <w:p>
            <w:r>
              <w:t>Baseline</w:t>
            </w:r>
          </w:p>
        </w:tc>
        <w:tc>
          <w:tcPr>
            <w:tcW w:type="dxa" w:w="1234"/>
          </w:tcPr>
          <w:p>
            <w:r>
              <w:t>Goal</w:t>
            </w:r>
          </w:p>
        </w:tc>
        <w:tc>
          <w:tcPr>
            <w:tcW w:type="dxa" w:w="1234"/>
          </w:tcPr>
          <w:p>
            <w:r>
              <w:t>Source</w:t>
            </w:r>
          </w:p>
        </w:tc>
        <w:tc>
          <w:tcPr>
            <w:tcW w:type="dxa" w:w="1234"/>
          </w:tcPr>
          <w:p>
            <w:r>
              <w:t>Measurement Tool</w:t>
            </w:r>
          </w:p>
        </w:tc>
        <w:tc>
          <w:tcPr>
            <w:tcW w:type="dxa" w:w="1234"/>
          </w:tcPr>
          <w:p>
            <w:r>
              <w:t>Timeline</w:t>
            </w:r>
          </w:p>
        </w:tc>
      </w:tr>
      <w:tr>
        <w:tc>
          <w:tcPr>
            <w:tcW w:type="dxa" w:w="1234"/>
          </w:tcPr>
          <w:p>
            <w:r>
              <w:t>1</w:t>
            </w:r>
          </w:p>
        </w:tc>
        <w:tc>
          <w:tcPr>
            <w:tcW w:type="dxa" w:w="1234"/>
          </w:tcPr>
          <w:p>
            <w:r>
              <w:t>Fall Incidence per 1,000 patient-days</w:t>
            </w:r>
          </w:p>
        </w:tc>
        <w:tc>
          <w:tcPr>
            <w:tcW w:type="dxa" w:w="1234"/>
          </w:tcPr>
          <w:p>
            <w:r>
              <w:t>20 falls/1,000 days</w:t>
            </w:r>
          </w:p>
        </w:tc>
        <w:tc>
          <w:tcPr>
            <w:tcW w:type="dxa" w:w="1234"/>
          </w:tcPr>
          <w:p>
            <w:r>
              <w:t>14 falls/1,000 days</w:t>
            </w:r>
          </w:p>
        </w:tc>
        <w:tc>
          <w:tcPr>
            <w:tcW w:type="dxa" w:w="1234"/>
          </w:tcPr>
          <w:p>
            <w:r>
              <w:t>EHR incident reports</w:t>
            </w:r>
          </w:p>
        </w:tc>
        <w:tc>
          <w:tcPr>
            <w:tcW w:type="dxa" w:w="1234"/>
          </w:tcPr>
          <w:p>
            <w:r>
              <w:t>Monthly aggregation</w:t>
            </w:r>
          </w:p>
        </w:tc>
        <w:tc>
          <w:tcPr>
            <w:tcW w:type="dxa" w:w="1234"/>
          </w:tcPr>
          <w:p>
            <w:r>
              <w:t>June and October 2025</w:t>
            </w:r>
          </w:p>
        </w:tc>
      </w:tr>
      <w:tr>
        <w:tc>
          <w:tcPr>
            <w:tcW w:type="dxa" w:w="1234"/>
          </w:tcPr>
          <w:p>
            <w:r>
              <w:t>2</w:t>
            </w:r>
          </w:p>
        </w:tc>
        <w:tc>
          <w:tcPr>
            <w:tcW w:type="dxa" w:w="1234"/>
          </w:tcPr>
          <w:p>
            <w:r>
              <w:t>Medication Review Completion</w:t>
            </w:r>
          </w:p>
        </w:tc>
        <w:tc>
          <w:tcPr>
            <w:tcW w:type="dxa" w:w="1234"/>
          </w:tcPr>
          <w:p>
            <w:r>
              <w:t>~0% proactive reviews</w:t>
            </w:r>
          </w:p>
        </w:tc>
        <w:tc>
          <w:tcPr>
            <w:tcW w:type="dxa" w:w="1234"/>
          </w:tcPr>
          <w:p>
            <w:r>
              <w:t>≥75% of residents</w:t>
            </w:r>
          </w:p>
        </w:tc>
        <w:tc>
          <w:tcPr>
            <w:tcW w:type="dxa" w:w="1234"/>
          </w:tcPr>
          <w:p>
            <w:r>
              <w:t>EHR chart audits</w:t>
            </w:r>
          </w:p>
        </w:tc>
        <w:tc>
          <w:tcPr>
            <w:tcW w:type="dxa" w:w="1234"/>
          </w:tcPr>
          <w:p>
            <w:r>
              <w:t>Monthly audits</w:t>
            </w:r>
          </w:p>
        </w:tc>
        <w:tc>
          <w:tcPr>
            <w:tcW w:type="dxa" w:w="1234"/>
          </w:tcPr>
          <w:p>
            <w:r>
              <w:t>May–October 2025</w:t>
            </w:r>
          </w:p>
        </w:tc>
      </w:tr>
      <w:tr>
        <w:tc>
          <w:tcPr>
            <w:tcW w:type="dxa" w:w="1234"/>
          </w:tcPr>
          <w:p>
            <w:r>
              <w:t>3</w:t>
            </w:r>
          </w:p>
        </w:tc>
        <w:tc>
          <w:tcPr>
            <w:tcW w:type="dxa" w:w="1234"/>
          </w:tcPr>
          <w:p>
            <w:r>
              <w:t>Nurse Training Completion &amp; Confidence</w:t>
            </w:r>
          </w:p>
        </w:tc>
        <w:tc>
          <w:tcPr>
            <w:tcW w:type="dxa" w:w="1234"/>
          </w:tcPr>
          <w:p>
            <w:r>
              <w:t>0% completion</w:t>
            </w:r>
          </w:p>
        </w:tc>
        <w:tc>
          <w:tcPr>
            <w:tcW w:type="dxa" w:w="1234"/>
          </w:tcPr>
          <w:p>
            <w:r>
              <w:t>≥85% completion; +1 point improvement</w:t>
            </w:r>
          </w:p>
        </w:tc>
        <w:tc>
          <w:tcPr>
            <w:tcW w:type="dxa" w:w="1234"/>
          </w:tcPr>
          <w:p>
            <w:r>
              <w:t>Attendance records, surveys</w:t>
            </w:r>
          </w:p>
        </w:tc>
        <w:tc>
          <w:tcPr>
            <w:tcW w:type="dxa" w:w="1234"/>
          </w:tcPr>
          <w:p>
            <w:r>
              <w:t>Pre-/Post-training surveys</w:t>
            </w:r>
          </w:p>
        </w:tc>
        <w:tc>
          <w:tcPr>
            <w:tcW w:type="dxa" w:w="1234"/>
          </w:tcPr>
          <w:p>
            <w:r>
              <w:t>May–July 2025</w:t>
            </w:r>
          </w:p>
        </w:tc>
      </w:tr>
      <w:tr>
        <w:tc>
          <w:tcPr>
            <w:tcW w:type="dxa" w:w="1234"/>
          </w:tcPr>
          <w:p>
            <w:r>
              <w:t>4</w:t>
            </w:r>
          </w:p>
        </w:tc>
        <w:tc>
          <w:tcPr>
            <w:tcW w:type="dxa" w:w="1234"/>
          </w:tcPr>
          <w:p>
            <w:r>
              <w:t>EHR Medication Flagging Accuracy</w:t>
            </w:r>
          </w:p>
        </w:tc>
        <w:tc>
          <w:tcPr>
            <w:tcW w:type="dxa" w:w="1234"/>
          </w:tcPr>
          <w:p>
            <w:r>
              <w:t>No system exists</w:t>
            </w:r>
          </w:p>
        </w:tc>
        <w:tc>
          <w:tcPr>
            <w:tcW w:type="dxa" w:w="1234"/>
          </w:tcPr>
          <w:p>
            <w:r>
              <w:t>≥90% accuracy</w:t>
            </w:r>
          </w:p>
        </w:tc>
        <w:tc>
          <w:tcPr>
            <w:tcW w:type="dxa" w:w="1234"/>
          </w:tcPr>
          <w:p>
            <w:r>
              <w:t>EHR system logs, chart audits</w:t>
            </w:r>
          </w:p>
        </w:tc>
        <w:tc>
          <w:tcPr>
            <w:tcW w:type="dxa" w:w="1234"/>
          </w:tcPr>
          <w:p>
            <w:r>
              <w:t>Spot checks</w:t>
            </w:r>
          </w:p>
        </w:tc>
        <w:tc>
          <w:tcPr>
            <w:tcW w:type="dxa" w:w="1234"/>
          </w:tcPr>
          <w:p>
            <w:r>
              <w:t>August–October 2025</w:t>
            </w:r>
          </w:p>
        </w:tc>
      </w:tr>
    </w:tbl>
    <w:p>
      <w:r>
        <w:t>​</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