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w:t>
      </w:r>
    </w:p>
    <w:p>
      <w:r>
        <w:t>​</w:t>
      </w:r>
    </w:p>
    <w:p>
      <w:pPr>
        <w:pStyle w:val="Heading2"/>
      </w:pPr>
      <w:r>
        <w:t>CGPT - Response 01</w:t>
      </w:r>
    </w:p>
    <w:p>
      <w:r>
        <w:t>Perfect — thanks for the clarification.</w:t>
      </w:r>
      <w:r/>
      <w:r>
        <w:t xml:space="preserve"> You want </w:t>
      </w:r>
      <w:r>
        <w:rPr>
          <w:b/>
        </w:rPr>
        <w:t>real presentation notes</w:t>
      </w:r>
      <w:r>
        <w:t xml:space="preserve"> that </w:t>
      </w:r>
      <w:r>
        <w:rPr>
          <w:b/>
        </w:rPr>
        <w:t>explain the bullet point content</w:t>
      </w:r>
      <w:r>
        <w:t xml:space="preserve"> in full —</w:t>
      </w:r>
      <w:r/>
      <w:r>
        <w:rPr>
          <w:b/>
        </w:rPr>
        <w:t>not</w:t>
      </w:r>
      <w:r>
        <w:t xml:space="preserve"> "say this" instructions, but </w:t>
      </w:r>
      <w:r>
        <w:rPr>
          <w:b/>
        </w:rPr>
        <w:t>actual speaking material</w:t>
      </w:r>
      <w:r>
        <w:t>:</w:t>
      </w:r>
    </w:p>
    <w:p>
      <w:pPr>
        <w:pStyle w:val="ListBullet"/>
      </w:pPr>
      <w:r>
        <w:t>Background info</w:t>
      </w:r>
      <w:r>
        <w:br/>
        <w:br/>
      </w:r>
      <w:r/>
    </w:p>
    <w:p>
      <w:pPr>
        <w:pStyle w:val="ListBullet"/>
      </w:pPr>
      <w:r>
        <w:t>Data details</w:t>
      </w:r>
      <w:r>
        <w:br/>
        <w:br/>
      </w:r>
      <w:r/>
    </w:p>
    <w:p>
      <w:pPr>
        <w:pStyle w:val="ListBullet"/>
      </w:pPr>
      <w:r>
        <w:t>Context to flesh out the bullet naturally during the presentation.</w:t>
      </w:r>
      <w:r>
        <w:br/>
        <w:br/>
      </w:r>
      <w:r/>
    </w:p>
    <w:p>
      <w:r>
        <w:t xml:space="preserve">I'll rebuild it properly — </w:t>
      </w:r>
      <w:r>
        <w:rPr>
          <w:b/>
        </w:rPr>
        <w:t>each slide</w:t>
      </w:r>
      <w:r>
        <w:t xml:space="preserve">, </w:t>
      </w:r>
      <w:r>
        <w:rPr>
          <w:b/>
        </w:rPr>
        <w:t>bullet-by-bullet</w:t>
      </w:r>
      <w:r>
        <w:t xml:space="preserve">, with </w:t>
      </w:r>
      <w:r>
        <w:rPr>
          <w:b/>
        </w:rPr>
        <w:t>real content-rich speaking notes</w:t>
      </w:r>
      <w:r>
        <w:t xml:space="preserve"> matching the bullets.</w:t>
      </w:r>
    </w:p>
    <w:p>
      <w:pPr>
        <w:pStyle w:val="Heading1"/>
      </w:pPr>
      <w:r>
        <w:t>Fall Risk Reduction Project Presentation (Corrected with Full Context Notes)</w:t>
      </w:r>
    </w:p>
    <w:p>
      <w:pPr>
        <w:pStyle w:val="Heading2"/>
      </w:pPr>
      <w:r>
        <w:t>Slide 1 – Title Slide</w:t>
      </w:r>
    </w:p>
    <w:p>
      <w:pPr>
        <w:pStyle w:val="ListBullet"/>
      </w:pPr>
      <w:r>
        <w:t>Improving Fall Risk Reduction Through Enhanced Medication Management</w:t>
      </w:r>
      <w:r>
        <w:br/>
        <w:br/>
      </w:r>
      <w:r/>
    </w:p>
    <w:p>
      <w:pPr>
        <w:pStyle w:val="ListBullet"/>
      </w:pPr>
      <w:r>
        <w:t>Juliet Dierks, RN, RRT, BSc</w:t>
      </w:r>
      <w:r>
        <w:br/>
        <w:br/>
      </w:r>
      <w:r/>
    </w:p>
    <w:p>
      <w:pPr>
        <w:pStyle w:val="ListBullet"/>
      </w:pPr>
      <w:r>
        <w:t>Pacific Lutheran University – GNUR 531</w:t>
      </w:r>
      <w:r>
        <w:br/>
        <w:br/>
      </w:r>
      <w:r/>
    </w:p>
    <w:p>
      <w:r>
        <w:rPr>
          <w:b/>
        </w:rPr>
        <w:t>Presentation Notes:</w:t>
      </w:r>
    </w:p>
    <w:p>
      <w:pPr>
        <w:pStyle w:val="ListBullet"/>
      </w:pPr>
      <w:r>
        <w:t>This quality improvement project focuses on reducing fall risks among elderly long-term care residents by improving medication management practices.</w:t>
      </w:r>
      <w:r>
        <w:br/>
        <w:br/>
      </w:r>
      <w:r/>
    </w:p>
    <w:p>
      <w:pPr>
        <w:pStyle w:val="ListBullet"/>
      </w:pPr>
      <w:r>
        <w:t>It was conducted as part of my coursework for GNUR 531 at Pacific Lutheran University.</w:t>
      </w:r>
      <w:r>
        <w:br/>
        <w:br/>
      </w:r>
      <w:r/>
    </w:p>
    <w:p>
      <w:pPr>
        <w:pStyle w:val="Heading2"/>
      </w:pPr>
      <w:r>
        <w:t>Slide 2 – The Underlying Issue</w:t>
      </w:r>
    </w:p>
    <w:p>
      <w:pPr>
        <w:pStyle w:val="ListBullet"/>
      </w:pPr>
      <w:r>
        <w:t>Falls are the leading cause of injury in older adults (CDC, 2024).</w:t>
      </w:r>
      <w:r>
        <w:br/>
        <w:br/>
      </w:r>
      <w:r/>
    </w:p>
    <w:p>
      <w:pPr>
        <w:pStyle w:val="ListBullet"/>
      </w:pPr>
      <w:r>
        <w:t>80% of facility falls linked to Beers Criteria medications (Needs Assessment).</w:t>
      </w:r>
      <w:r>
        <w:br/>
        <w:br/>
      </w:r>
      <w:r/>
    </w:p>
    <w:p>
      <w:pPr>
        <w:pStyle w:val="ListBullet"/>
      </w:pPr>
      <w:r>
        <w:t>Lack of structured medication review protocols.</w:t>
      </w:r>
      <w:r>
        <w:br/>
        <w:br/>
      </w:r>
      <w:r/>
    </w:p>
    <w:p>
      <w:pPr>
        <w:pStyle w:val="ListBullet"/>
      </w:pPr>
      <w:r>
        <w:t>Staff knowledge gaps about medication-induced fall risks.</w:t>
      </w:r>
      <w:r>
        <w:br/>
        <w:br/>
      </w:r>
      <w:r/>
    </w:p>
    <w:p>
      <w:pPr>
        <w:pStyle w:val="ListBullet"/>
      </w:pPr>
      <w:r>
        <w:t>Growing rates of fall-related deaths in Kitsap County.</w:t>
      </w:r>
      <w:r>
        <w:br/>
        <w:br/>
      </w:r>
      <w:r/>
    </w:p>
    <w:p>
      <w:r>
        <w:rPr>
          <w:b/>
        </w:rPr>
        <w:t>Presentation Notes (per bullet):</w:t>
      </w:r>
    </w:p>
    <w:p>
      <w:pPr>
        <w:pStyle w:val="ListBullet"/>
      </w:pPr>
      <w:r>
        <w:t>Falls are the leading cause of injury: According to the CDC (2024), more than 14 million adults aged 65 and older report falls each year, and falls remain the leading cause of injury and death in this population.</w:t>
      </w:r>
      <w:r>
        <w:br/>
        <w:br/>
      </w:r>
      <w:r/>
    </w:p>
    <w:p>
      <w:pPr>
        <w:pStyle w:val="ListBullet"/>
      </w:pPr>
      <w:r>
        <w:t>80% of facility falls linked to Beers Criteria medications: Our facility’s Needs Assessment found that approximately 80% of reported falls occurred in residents prescribed high-risk medications classified by the Beers Criteria.</w:t>
      </w:r>
      <w:r>
        <w:br/>
        <w:br/>
      </w:r>
      <w:r/>
    </w:p>
    <w:p>
      <w:pPr>
        <w:pStyle w:val="ListBullet"/>
      </w:pPr>
      <w:r>
        <w:t>Lack of structured medication review protocols: Before this project, no regular, systematic medication reviews occurred beyond the annual Medicare-required reviews, meaning risks were often undetected.</w:t>
      </w:r>
      <w:r>
        <w:br/>
        <w:br/>
      </w:r>
      <w:r/>
    </w:p>
    <w:p>
      <w:pPr>
        <w:pStyle w:val="ListBullet"/>
      </w:pPr>
      <w:r>
        <w:t>Staff knowledge gaps: Surveys conducted during the Needs Assessment revealed that 67% of nurses and 74% of CNAs felt underprepared to recognize medication-induced fall risks.</w:t>
      </w:r>
      <w:r>
        <w:br/>
        <w:br/>
      </w:r>
      <w:r/>
    </w:p>
    <w:p>
      <w:pPr>
        <w:pStyle w:val="ListBullet"/>
      </w:pPr>
      <w:r>
        <w:t>Growing fall-related deaths in Kitsap County: Local health data show that Kitsap County’s elderly fall death rate rose from 66 per 100,000 in 2020 to 96 per 100,000 in 2021 (Kitsap Public Health District, 2022).</w:t>
      </w:r>
      <w:r>
        <w:br/>
        <w:br/>
      </w:r>
      <w:r/>
    </w:p>
    <w:p>
      <w:pPr>
        <w:pStyle w:val="Heading2"/>
      </w:pPr>
      <w:r>
        <w:t>Slide 3 – The Setting</w:t>
      </w:r>
    </w:p>
    <w:p>
      <w:pPr>
        <w:pStyle w:val="ListBullet"/>
      </w:pPr>
      <w:r>
        <w:t>120-bed long-term care facility in rural Kitsap County, WA.</w:t>
      </w:r>
      <w:r>
        <w:br/>
        <w:br/>
      </w:r>
      <w:r/>
    </w:p>
    <w:p>
      <w:pPr>
        <w:pStyle w:val="ListBullet"/>
      </w:pPr>
      <w:r>
        <w:t>Residents aged 57–90 years, mostly Medicare beneficiaries.</w:t>
      </w:r>
      <w:r>
        <w:br/>
        <w:br/>
      </w:r>
      <w:r/>
    </w:p>
    <w:p>
      <w:pPr>
        <w:pStyle w:val="ListBullet"/>
      </w:pPr>
      <w:r>
        <w:t>Staff includes nurses, CNAs, physicians, and a pharmacist.</w:t>
      </w:r>
      <w:r>
        <w:br/>
        <w:br/>
      </w:r>
      <w:r/>
    </w:p>
    <w:p>
      <w:pPr>
        <w:pStyle w:val="ListBullet"/>
      </w:pPr>
      <w:r>
        <w:t>No active EHR medication flagging system in place.</w:t>
      </w:r>
      <w:r>
        <w:br/>
        <w:br/>
      </w:r>
      <w:r/>
    </w:p>
    <w:p>
      <w:pPr>
        <w:pStyle w:val="ListBullet"/>
      </w:pPr>
      <w:r>
        <w:t>High rate of medication-related falls compared to county averages.</w:t>
      </w:r>
      <w:r>
        <w:br/>
        <w:br/>
      </w:r>
      <w:r/>
    </w:p>
    <w:p>
      <w:r>
        <w:rPr>
          <w:b/>
        </w:rPr>
        <w:t>Presentation Notes (per bullet):</w:t>
      </w:r>
    </w:p>
    <w:p>
      <w:pPr>
        <w:pStyle w:val="ListBullet"/>
      </w:pPr>
      <w:r>
        <w:t>120-bed long-term care facility: The project setting was a large rural facility drawing residents from multiple counties including Kitsap, Pierce, and Mason.</w:t>
      </w:r>
      <w:r>
        <w:br/>
        <w:br/>
      </w:r>
      <w:r/>
    </w:p>
    <w:p>
      <w:pPr>
        <w:pStyle w:val="ListBullet"/>
      </w:pPr>
      <w:r>
        <w:t>Residents aged 57–90 years: Most residents are older adults with chronic conditions requiring complex medication regimens; many are wheelchair-bound or cognitively impaired.</w:t>
      </w:r>
      <w:r>
        <w:br/>
        <w:br/>
      </w:r>
      <w:r/>
    </w:p>
    <w:p>
      <w:pPr>
        <w:pStyle w:val="ListBullet"/>
      </w:pPr>
      <w:r>
        <w:t>Staff includes nurses, CNAs, physicians, and a pharmacist: The clinical team consisted of six licensed nurses, three physicians, one pharmacist, and approximately 20 CNAs.</w:t>
      </w:r>
      <w:r>
        <w:br/>
        <w:br/>
      </w:r>
      <w:r/>
    </w:p>
    <w:p>
      <w:pPr>
        <w:pStyle w:val="ListBullet"/>
      </w:pPr>
      <w:r>
        <w:t>No active EHR flagging system: The facility had no electronic prompts to alert staff about medications associated with fall risk, creating reliance solely on memory or manual review.</w:t>
      </w:r>
      <w:r>
        <w:br/>
        <w:br/>
      </w:r>
      <w:r/>
    </w:p>
    <w:p>
      <w:pPr>
        <w:pStyle w:val="ListBullet"/>
      </w:pPr>
      <w:r>
        <w:t>High rate of medication-related falls: Compared to local benchmarks, the facility had a 5% higher fall rate, heavily attributed to inappropriate medication use (Needs Assessment).</w:t>
      </w:r>
      <w:r>
        <w:br/>
        <w:br/>
      </w:r>
      <w:r/>
    </w:p>
    <w:p>
      <w:pPr>
        <w:pStyle w:val="Heading2"/>
      </w:pPr>
      <w:r>
        <w:t>Slide 4 – Focus Group: Clinical Staff</w:t>
      </w:r>
    </w:p>
    <w:p>
      <w:pPr>
        <w:pStyle w:val="ListBullet"/>
      </w:pPr>
      <w:r>
        <w:t>Primary intervention targets: Nurses, CNAs, Pharmacists, Physicians.</w:t>
      </w:r>
      <w:r>
        <w:br/>
        <w:br/>
      </w:r>
      <w:r/>
    </w:p>
    <w:p>
      <w:pPr>
        <w:pStyle w:val="ListBullet"/>
      </w:pPr>
      <w:r>
        <w:t>Nurses administer and monitor medications daily.</w:t>
      </w:r>
      <w:r>
        <w:br/>
        <w:br/>
      </w:r>
      <w:r/>
    </w:p>
    <w:p>
      <w:pPr>
        <w:pStyle w:val="ListBullet"/>
      </w:pPr>
      <w:r>
        <w:t>CNAs observe resident mobility and report changes.</w:t>
      </w:r>
      <w:r>
        <w:br/>
        <w:br/>
      </w:r>
      <w:r/>
    </w:p>
    <w:p>
      <w:pPr>
        <w:pStyle w:val="ListBullet"/>
      </w:pPr>
      <w:r>
        <w:t>Pharmacists review medications but not routinely integrated.</w:t>
      </w:r>
      <w:r>
        <w:br/>
        <w:br/>
      </w:r>
      <w:r/>
    </w:p>
    <w:p>
      <w:pPr>
        <w:pStyle w:val="ListBullet"/>
      </w:pPr>
      <w:r>
        <w:t>Physicians needed standardized deprescribing guidance.</w:t>
      </w:r>
      <w:r>
        <w:br/>
        <w:br/>
      </w:r>
      <w:r/>
    </w:p>
    <w:p>
      <w:r>
        <w:rPr>
          <w:b/>
        </w:rPr>
        <w:t>Presentation Notes (per bullet):</w:t>
      </w:r>
    </w:p>
    <w:p>
      <w:pPr>
        <w:pStyle w:val="ListBullet"/>
      </w:pPr>
      <w:r>
        <w:t>Primary intervention targets: The project focused on changing staff practices — not directly modifying resident behavior — because staff actions around medication management were the key to fall prevention.</w:t>
      </w:r>
      <w:r>
        <w:br/>
        <w:br/>
      </w:r>
      <w:r/>
    </w:p>
    <w:p>
      <w:pPr>
        <w:pStyle w:val="ListBullet"/>
      </w:pPr>
      <w:r>
        <w:t>Nurses administer and monitor medications daily: Nurses play a frontline role by administering medications, assessing resident responses, and being the first to notice adverse effects.</w:t>
      </w:r>
      <w:r>
        <w:br/>
        <w:br/>
      </w:r>
      <w:r/>
    </w:p>
    <w:p>
      <w:pPr>
        <w:pStyle w:val="ListBullet"/>
      </w:pPr>
      <w:r>
        <w:t>CNAs observe resident mobility: CNAs often witness first-hand if a resident becomes unsteady or disoriented, but previously lacked training in linking these symptoms to medication side effects.</w:t>
      </w:r>
      <w:r>
        <w:br/>
        <w:br/>
      </w:r>
      <w:r/>
    </w:p>
    <w:p>
      <w:pPr>
        <w:pStyle w:val="ListBullet"/>
      </w:pPr>
      <w:r>
        <w:t>Pharmacists review medications but not routinely integrated: Although a pharmacist was employed, involvement was limited to once-yearly reviews, missing opportunities for timely deprescribing.</w:t>
      </w:r>
      <w:r>
        <w:br/>
        <w:br/>
      </w:r>
      <w:r/>
    </w:p>
    <w:p>
      <w:pPr>
        <w:pStyle w:val="ListBullet"/>
      </w:pPr>
      <w:r>
        <w:t>Physicians needed deprescribing guidance: Physicians reported frustration at the lack of tools for systematically identifying and discontinuing high-risk medications during regular rounds (Needs Assessment).</w:t>
      </w:r>
      <w:r>
        <w:br/>
        <w:br/>
      </w:r>
      <w:r/>
    </w:p>
    <w:p>
      <w:pPr>
        <w:pStyle w:val="Heading2"/>
      </w:pPr>
      <w:r>
        <w:t>Slide 5 – Solutions Implemented</w:t>
      </w:r>
    </w:p>
    <w:p>
      <w:pPr>
        <w:pStyle w:val="ListBullet"/>
      </w:pPr>
      <w:r>
        <w:t>Developed structured staff training on Beers medications.</w:t>
      </w:r>
      <w:r>
        <w:br/>
        <w:br/>
      </w:r>
      <w:r/>
    </w:p>
    <w:p>
      <w:pPr>
        <w:pStyle w:val="ListBullet"/>
      </w:pPr>
      <w:r>
        <w:t>Created quick reference handouts and EHR "how-to" guides.</w:t>
      </w:r>
      <w:r>
        <w:br/>
        <w:br/>
      </w:r>
      <w:r/>
    </w:p>
    <w:p>
      <w:pPr>
        <w:pStyle w:val="ListBullet"/>
      </w:pPr>
      <w:r>
        <w:t>Standardized medication review process with pharmacist integration.</w:t>
      </w:r>
      <w:r>
        <w:br/>
        <w:br/>
      </w:r>
      <w:r/>
    </w:p>
    <w:p>
      <w:pPr>
        <w:pStyle w:val="ListBullet"/>
      </w:pPr>
      <w:r>
        <w:t>Built and implemented EHR-based medication flagging system.</w:t>
      </w:r>
      <w:r>
        <w:br/>
        <w:br/>
      </w:r>
      <w:r/>
    </w:p>
    <w:p>
      <w:pPr>
        <w:pStyle w:val="ListBullet"/>
      </w:pPr>
      <w:r>
        <w:t>Conducted monthly audits of medication review compliance.</w:t>
      </w:r>
      <w:r>
        <w:br/>
        <w:br/>
      </w:r>
      <w:r/>
    </w:p>
    <w:p>
      <w:r>
        <w:rPr>
          <w:b/>
        </w:rPr>
        <w:t>Presentation Notes (per bullet):</w:t>
      </w:r>
    </w:p>
    <w:p>
      <w:pPr>
        <w:pStyle w:val="ListBullet"/>
      </w:pPr>
      <w:r>
        <w:t>Structured staff training: Training sessions educated nurses, CNAs, and physicians on identifying, managing, and advocating around Beers Criteria medication risks.</w:t>
      </w:r>
      <w:r>
        <w:br/>
        <w:br/>
      </w:r>
      <w:r/>
    </w:p>
    <w:p>
      <w:pPr>
        <w:pStyle w:val="ListBullet"/>
      </w:pPr>
      <w:r>
        <w:t>Quick reference handouts and EHR guides: Materials included pocket cards for CNAs and laminated guides for medication recognition, ensuring quick access during clinical duties.</w:t>
      </w:r>
      <w:r>
        <w:br/>
        <w:br/>
      </w:r>
      <w:r/>
    </w:p>
    <w:p>
      <w:pPr>
        <w:pStyle w:val="ListBullet"/>
      </w:pPr>
      <w:r>
        <w:t>Standardized medication review process: A checklist system ensured that every Beers medication was systematically reviewed during care planning, not just at annual reviews.</w:t>
      </w:r>
      <w:r>
        <w:br/>
        <w:br/>
      </w:r>
      <w:r/>
    </w:p>
    <w:p>
      <w:pPr>
        <w:pStyle w:val="ListBullet"/>
      </w:pPr>
      <w:r>
        <w:t>Built and implemented EHR flagging: Collaborating with IT, we embedded real-time color-coded alerts in the medication administration and ordering screens to make risks visible.</w:t>
      </w:r>
      <w:r>
        <w:br/>
        <w:br/>
      </w:r>
      <w:r/>
    </w:p>
    <w:p>
      <w:pPr>
        <w:pStyle w:val="ListBullet"/>
      </w:pPr>
      <w:r>
        <w:t>Monthly audits: Compliance monitoring was conducted to ensure that medication reviews were completed consistently, reinforcing accountability and best practices.</w:t>
      </w:r>
      <w:r>
        <w:br/>
        <w:br/>
      </w:r>
      <w:r/>
    </w:p>
    <w:p>
      <w:pPr>
        <w:pStyle w:val="Heading2"/>
      </w:pPr>
      <w:r>
        <w:t>Slide 6 – Metrics Measured</w:t>
      </w:r>
    </w:p>
    <w:p>
      <w:pPr>
        <w:pStyle w:val="ListBullet"/>
      </w:pPr>
      <w:r>
        <w:t>Fall incidence per 1,000 patient-days.</w:t>
      </w:r>
      <w:r>
        <w:br/>
        <w:br/>
      </w:r>
      <w:r/>
    </w:p>
    <w:p>
      <w:pPr>
        <w:pStyle w:val="ListBullet"/>
      </w:pPr>
      <w:r>
        <w:t>Medication review completion rate.</w:t>
      </w:r>
      <w:r>
        <w:br/>
        <w:br/>
      </w:r>
      <w:r/>
    </w:p>
    <w:p>
      <w:pPr>
        <w:pStyle w:val="ListBullet"/>
      </w:pPr>
      <w:r>
        <w:t>Staff training completion and confidence improvement.</w:t>
      </w:r>
      <w:r>
        <w:br/>
        <w:br/>
      </w:r>
      <w:r/>
    </w:p>
    <w:p>
      <w:pPr>
        <w:pStyle w:val="ListBullet"/>
      </w:pPr>
      <w:r>
        <w:t>Accuracy of EHR medication flagging system.</w:t>
      </w:r>
      <w:r>
        <w:br/>
        <w:br/>
      </w:r>
      <w:r/>
    </w:p>
    <w:p>
      <w:r>
        <w:rPr>
          <w:b/>
        </w:rPr>
        <w:t>Presentation Notes (per bullet):</w:t>
      </w:r>
    </w:p>
    <w:p>
      <w:pPr>
        <w:pStyle w:val="ListBullet"/>
      </w:pPr>
      <w:r>
        <w:t>Fall incidence: We tracked the number of falls standardized per 1,000 patient-days, aiming to see a downward trend post-intervention.</w:t>
      </w:r>
      <w:r>
        <w:br/>
        <w:br/>
      </w:r>
      <w:r/>
    </w:p>
    <w:p>
      <w:pPr>
        <w:pStyle w:val="ListBullet"/>
      </w:pPr>
      <w:r>
        <w:t>Medication review completion rate: This metric measured how many residents on high-risk medications received formal pharmacist or physician review and documentation.</w:t>
      </w:r>
      <w:r>
        <w:br/>
        <w:br/>
      </w:r>
      <w:r/>
    </w:p>
    <w:p>
      <w:pPr>
        <w:pStyle w:val="ListBullet"/>
      </w:pPr>
      <w:r>
        <w:t>Staff training completion and confidence: We used pre- and post-training surveys to quantify changes in staff confidence and competence around medication-related fall risks.</w:t>
      </w:r>
      <w:r>
        <w:br/>
        <w:br/>
      </w:r>
      <w:r/>
    </w:p>
    <w:p>
      <w:pPr>
        <w:pStyle w:val="ListBullet"/>
      </w:pPr>
      <w:r>
        <w:t>EHR flagging system accuracy: Monthly chart audits were conducted to ensure that medications listed on the Beers Criteria were appropriately flagged in the electronic system.</w:t>
      </w:r>
      <w:r>
        <w:br/>
        <w:br/>
      </w:r>
      <w:r/>
    </w:p>
    <w:p>
      <w:pPr>
        <w:pStyle w:val="Heading2"/>
      </w:pPr>
      <w:r>
        <w:t>Slide 7 – Project Goals</w:t>
      </w:r>
    </w:p>
    <w:p>
      <w:pPr>
        <w:pStyle w:val="ListBullet"/>
      </w:pPr>
      <w:r>
        <w:t>Reduce falls from 20 to 14 per 1,000 patient-days by October 2025.</w:t>
      </w:r>
      <w:r>
        <w:br/>
        <w:br/>
      </w:r>
      <w:r/>
    </w:p>
    <w:p>
      <w:pPr>
        <w:pStyle w:val="ListBullet"/>
      </w:pPr>
      <w:r>
        <w:t>Achieve ≥75% medication review compliance.</w:t>
      </w:r>
      <w:r>
        <w:br/>
        <w:br/>
      </w:r>
      <w:r/>
    </w:p>
    <w:p>
      <w:pPr>
        <w:pStyle w:val="ListBullet"/>
      </w:pPr>
      <w:r>
        <w:t>Train ≥85% of nursing staff with improved confidence scores.</w:t>
      </w:r>
      <w:r>
        <w:br/>
        <w:br/>
      </w:r>
      <w:r/>
    </w:p>
    <w:p>
      <w:pPr>
        <w:pStyle w:val="ListBullet"/>
      </w:pPr>
      <w:r>
        <w:t>Successfully implement EHR flagging system with ≥90% accuracy.</w:t>
      </w:r>
      <w:r>
        <w:br/>
        <w:br/>
      </w:r>
      <w:r/>
    </w:p>
    <w:p>
      <w:r>
        <w:rPr>
          <w:b/>
        </w:rPr>
        <w:t>Presentation Notes (per bullet):</w:t>
      </w:r>
    </w:p>
    <w:p>
      <w:pPr>
        <w:pStyle w:val="ListBullet"/>
      </w:pPr>
      <w:r>
        <w:t>Reduce falls: Our quantitative goal was to decrease the fall incidence rate by about 30%, improving safety for high-risk residents.</w:t>
      </w:r>
      <w:r>
        <w:br/>
        <w:br/>
      </w:r>
      <w:r/>
    </w:p>
    <w:p>
      <w:pPr>
        <w:pStyle w:val="ListBullet"/>
      </w:pPr>
      <w:r>
        <w:t>Medication review compliance: Ensuring at least three-fourths of at-risk residents had current medication reviews would close a major patient safety gap.</w:t>
      </w:r>
      <w:r>
        <w:br/>
        <w:br/>
      </w:r>
      <w:r/>
    </w:p>
    <w:p>
      <w:pPr>
        <w:pStyle w:val="ListBullet"/>
      </w:pPr>
      <w:r>
        <w:t>Train nursing staff: We aimed to have nearly all nursing staff trained, with not just attendance but a documented boost in knowledge and clinical confidence.</w:t>
      </w:r>
      <w:r>
        <w:br/>
        <w:br/>
      </w:r>
      <w:r/>
    </w:p>
    <w:p>
      <w:pPr>
        <w:pStyle w:val="ListBullet"/>
      </w:pPr>
      <w:r>
        <w:t>EHR flagging system accuracy: Ensuring that nearly all Beers medications were electronically flagged was critical for sustained visibility and risk mitigation.</w:t>
      </w:r>
      <w:r>
        <w:br/>
        <w:br/>
      </w:r>
      <w:r/>
    </w:p>
    <w:p>
      <w:pPr>
        <w:pStyle w:val="Heading2"/>
      </w:pPr>
      <w:r>
        <w:t>Slide 8 – Project Timeline</w:t>
      </w:r>
    </w:p>
    <w:p>
      <w:pPr>
        <w:pStyle w:val="ListBullet"/>
      </w:pPr>
      <w:r>
        <w:t>February–March 2025: Baseline data collection.</w:t>
      </w:r>
      <w:r>
        <w:br/>
        <w:br/>
      </w:r>
      <w:r/>
    </w:p>
    <w:p>
      <w:pPr>
        <w:pStyle w:val="ListBullet"/>
      </w:pPr>
      <w:r>
        <w:t>April 2025: Develop training and workflows.</w:t>
      </w:r>
      <w:r>
        <w:br/>
        <w:br/>
      </w:r>
      <w:r/>
    </w:p>
    <w:p>
      <w:pPr>
        <w:pStyle w:val="ListBullet"/>
      </w:pPr>
      <w:r>
        <w:t>May 2025: Deliver staff education.</w:t>
      </w:r>
      <w:r>
        <w:br/>
        <w:br/>
      </w:r>
      <w:r/>
    </w:p>
    <w:p>
      <w:pPr>
        <w:pStyle w:val="ListBullet"/>
      </w:pPr>
      <w:r>
        <w:t>June–July 2025: Build EHR flagging system.</w:t>
      </w:r>
      <w:r>
        <w:br/>
        <w:br/>
      </w:r>
      <w:r/>
    </w:p>
    <w:p>
      <w:pPr>
        <w:pStyle w:val="ListBullet"/>
      </w:pPr>
      <w:r>
        <w:t>August 2025: Pilot EHR implementation.</w:t>
      </w:r>
      <w:r>
        <w:br/>
        <w:br/>
      </w:r>
      <w:r/>
    </w:p>
    <w:p>
      <w:pPr>
        <w:pStyle w:val="ListBullet"/>
      </w:pPr>
      <w:r>
        <w:t>October 2025: Full rollout and final evaluation.</w:t>
      </w:r>
      <w:r>
        <w:br/>
        <w:br/>
      </w:r>
      <w:r/>
    </w:p>
    <w:p>
      <w:r>
        <w:rPr>
          <w:b/>
        </w:rPr>
        <w:t>Presentation Notes (per bullet):</w:t>
      </w:r>
    </w:p>
    <w:p>
      <w:pPr>
        <w:pStyle w:val="ListBullet"/>
      </w:pPr>
      <w:r>
        <w:t>Baseline data collection: We started by understanding where gaps existed, analyzing incident reports and staff surveys.</w:t>
      </w:r>
      <w:r>
        <w:br/>
        <w:br/>
      </w:r>
      <w:r/>
    </w:p>
    <w:p>
      <w:pPr>
        <w:pStyle w:val="ListBullet"/>
      </w:pPr>
      <w:r>
        <w:t>Develop training and workflows: Materials and SOPs were created based on national guidelines and localized findings.</w:t>
      </w:r>
      <w:r>
        <w:br/>
        <w:br/>
      </w:r>
      <w:r/>
    </w:p>
    <w:p>
      <w:pPr>
        <w:pStyle w:val="ListBullet"/>
      </w:pPr>
      <w:r>
        <w:t>Deliver staff education: Training rolled out in May, with both in-person and digital options to reach all shifts.</w:t>
      </w:r>
      <w:r>
        <w:br/>
        <w:br/>
      </w:r>
      <w:r/>
    </w:p>
    <w:p>
      <w:pPr>
        <w:pStyle w:val="ListBullet"/>
      </w:pPr>
      <w:r>
        <w:t>Build EHR system: Programming of medication alerts took place mid-year, requiring collaboration between clinicians and IT.</w:t>
      </w:r>
      <w:r>
        <w:br/>
        <w:br/>
      </w:r>
      <w:r/>
    </w:p>
    <w:p>
      <w:pPr>
        <w:pStyle w:val="ListBullet"/>
      </w:pPr>
      <w:r>
        <w:t>Pilot EHR: A test phase in August allowed troubleshooting before full deployment.</w:t>
      </w:r>
      <w:r>
        <w:br/>
        <w:br/>
      </w:r>
      <w:r/>
    </w:p>
    <w:p>
      <w:pPr>
        <w:pStyle w:val="ListBullet"/>
      </w:pPr>
      <w:r>
        <w:t>Full rollout and evaluation: The final phase aimed for complete system use and data analysis by the end of October.</w:t>
      </w:r>
      <w:r>
        <w:br/>
        <w:br/>
      </w:r>
      <w:r/>
    </w:p>
    <w:p>
      <w:pPr>
        <w:pStyle w:val="Heading2"/>
      </w:pPr>
      <w:r>
        <w:t>Slide 9 – Closing</w:t>
      </w:r>
    </w:p>
    <w:p>
      <w:pPr>
        <w:pStyle w:val="ListBullet"/>
      </w:pPr>
      <w:r>
        <w:t>Fall risk is preventable with better medication management.</w:t>
      </w:r>
      <w:r>
        <w:br/>
        <w:br/>
      </w:r>
      <w:r/>
    </w:p>
    <w:p>
      <w:pPr>
        <w:pStyle w:val="ListBullet"/>
      </w:pPr>
      <w:r>
        <w:t>Clinical staff are the key to safer resident outcomes.</w:t>
      </w:r>
      <w:r>
        <w:br/>
        <w:br/>
      </w:r>
      <w:r/>
    </w:p>
    <w:p>
      <w:pPr>
        <w:pStyle w:val="ListBullet"/>
      </w:pPr>
      <w:r>
        <w:t>Structured interventions and systems change are sustainable.</w:t>
      </w:r>
      <w:r>
        <w:br/>
        <w:br/>
      </w:r>
      <w:r/>
    </w:p>
    <w:p>
      <w:pPr>
        <w:pStyle w:val="ListBullet"/>
      </w:pPr>
      <w:r>
        <w:t>Project builds a replicable model for other facilities.</w:t>
      </w:r>
      <w:r>
        <w:br/>
        <w:br/>
      </w:r>
      <w:r/>
    </w:p>
    <w:p>
      <w:r>
        <w:rPr>
          <w:b/>
        </w:rPr>
        <w:t>Presentation Notes (per bullet):</w:t>
      </w:r>
    </w:p>
    <w:p>
      <w:pPr>
        <w:pStyle w:val="ListBullet"/>
      </w:pPr>
      <w:r>
        <w:t>Fall risk is preventable: While aging itself is a fall risk, proper medication management can greatly reduce unnecessary injuries.</w:t>
      </w:r>
      <w:r>
        <w:br/>
        <w:br/>
      </w:r>
      <w:r/>
    </w:p>
    <w:p>
      <w:pPr>
        <w:pStyle w:val="ListBullet"/>
      </w:pPr>
      <w:r>
        <w:t>Clinical staff are key: Empowering nurses, CNAs, physicians, and pharmacists builds a proactive, safety-oriented culture.</w:t>
      </w:r>
      <w:r>
        <w:br/>
        <w:br/>
      </w:r>
      <w:r/>
    </w:p>
    <w:p>
      <w:pPr>
        <w:pStyle w:val="ListBullet"/>
      </w:pPr>
      <w:r>
        <w:t>Structured interventions are sustainable: EHR flags, standardized reviews, and ongoing training ensure the changes last beyond the initial project.</w:t>
      </w:r>
      <w:r>
        <w:br/>
        <w:br/>
      </w:r>
      <w:r/>
    </w:p>
    <w:p>
      <w:pPr>
        <w:pStyle w:val="ListBullet"/>
      </w:pPr>
      <w:r>
        <w:t>Replicable model: The approach used in this project could be easily adapted to other long-term care facilities facing similar fall risks.</w:t>
      </w:r>
      <w:r>
        <w:br/>
        <w:br/>
      </w:r>
      <w:r/>
    </w:p>
    <w:p>
      <w:r>
        <w:t>​</w:t>
      </w:r>
    </w:p>
    <w:p>
      <w:r>
        <w:t>​</w:t>
      </w:r>
    </w:p>
    <w:p>
      <w:pPr>
        <w:pStyle w:val="Heading1"/>
      </w:pPr>
      <w:r>
        <w:t>Timing Analysis:</w:t>
      </w:r>
    </w:p>
    <w:p>
      <w:r>
        <w:t xml:space="preserve"> </w:t>
      </w:r>
      <w:r>
        <w:rPr>
          <w:b/>
        </w:rPr>
        <w:t>this structure and amount of content will naturally fall between 5 and 7 minutes</w:t>
      </w:r>
      <w:r>
        <w:t xml:space="preserve"> when presented at a normal, professional speaking pace.</w:t>
      </w:r>
      <w:r/>
      <w:r>
        <w:t xml:space="preserve"> Let’s walk through exactly why:</w:t>
      </w:r>
    </w:p>
    <w:p>
      <w:pPr>
        <w:pStyle w:val="ListBullet"/>
      </w:pPr>
      <w:r>
        <w:t>Average natural speaking rate for presentations:</w:t>
      </w:r>
      <w:r>
        <w:br/>
        <w:br/>
      </w:r>
      <w:r/>
    </w:p>
    <w:p>
      <w:pPr>
        <w:pStyle w:val="ListBullet"/>
      </w:pPr>
      <w:r>
        <w:t>Each slide’s bullet content + speaking notes:</w:t>
      </w:r>
      <w:r>
        <w:br/>
        <w:br/>
      </w:r>
      <w:r/>
    </w:p>
    <w:p>
      <w:pPr>
        <w:pStyle w:val="ListBullet"/>
      </w:pPr>
      <w:r>
        <w:t>Slide-by-slide estimated speaking time:</w:t>
      </w:r>
      <w:r>
        <w:br/>
        <w:br/>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Slide</w:t>
            </w:r>
          </w:p>
        </w:tc>
        <w:tc>
          <w:tcPr>
            <w:tcW w:type="dxa" w:w="1728"/>
          </w:tcPr>
          <w:p>
            <w:r>
              <w:t>Content</w:t>
            </w:r>
          </w:p>
        </w:tc>
        <w:tc>
          <w:tcPr>
            <w:tcW w:type="dxa" w:w="1728"/>
          </w:tcPr>
          <w:p>
            <w:r>
              <w:t>Est. Words</w:t>
            </w:r>
          </w:p>
        </w:tc>
        <w:tc>
          <w:tcPr>
            <w:tcW w:type="dxa" w:w="1728"/>
          </w:tcPr>
          <w:p>
            <w:r>
              <w:t>Est. Time</w:t>
            </w:r>
          </w:p>
        </w:tc>
      </w:tr>
      <w:tr>
        <w:tc>
          <w:tcPr>
            <w:tcW w:type="dxa" w:w="1728"/>
          </w:tcPr>
          <w:p>
            <w:r>
              <w:t>1</w:t>
            </w:r>
          </w:p>
        </w:tc>
        <w:tc>
          <w:tcPr>
            <w:tcW w:type="dxa" w:w="1728"/>
          </w:tcPr>
          <w:p>
            <w:r>
              <w:t>1 – Title Slide</w:t>
            </w:r>
          </w:p>
        </w:tc>
        <w:tc>
          <w:tcPr>
            <w:tcW w:type="dxa" w:w="1728"/>
          </w:tcPr>
          <w:p>
            <w:r>
              <w:t>Very brief intro</w:t>
            </w:r>
          </w:p>
        </w:tc>
        <w:tc>
          <w:tcPr>
            <w:tcW w:type="dxa" w:w="1728"/>
          </w:tcPr>
          <w:p>
            <w:r>
              <w:t>~20 words</w:t>
            </w:r>
          </w:p>
        </w:tc>
        <w:tc>
          <w:tcPr>
            <w:tcW w:type="dxa" w:w="1728"/>
          </w:tcPr>
          <w:p>
            <w:r>
              <w:t>~15–20 sec</w:t>
            </w:r>
          </w:p>
        </w:tc>
      </w:tr>
      <w:tr>
        <w:tc>
          <w:tcPr>
            <w:tcW w:type="dxa" w:w="1728"/>
          </w:tcPr>
          <w:p>
            <w:r>
              <w:t>2</w:t>
            </w:r>
          </w:p>
        </w:tc>
        <w:tc>
          <w:tcPr>
            <w:tcW w:type="dxa" w:w="1728"/>
          </w:tcPr>
          <w:p>
            <w:r>
              <w:t>2 – Underlying Issue</w:t>
            </w:r>
          </w:p>
        </w:tc>
        <w:tc>
          <w:tcPr>
            <w:tcW w:type="dxa" w:w="1728"/>
          </w:tcPr>
          <w:p>
            <w:r>
              <w:t>5 bullets, full notes</w:t>
            </w:r>
          </w:p>
        </w:tc>
        <w:tc>
          <w:tcPr>
            <w:tcW w:type="dxa" w:w="1728"/>
          </w:tcPr>
          <w:p>
            <w:r>
              <w:t>~110 words</w:t>
            </w:r>
          </w:p>
        </w:tc>
        <w:tc>
          <w:tcPr>
            <w:tcW w:type="dxa" w:w="1728"/>
          </w:tcPr>
          <w:p>
            <w:r>
              <w:t>~1 min</w:t>
            </w:r>
          </w:p>
        </w:tc>
      </w:tr>
      <w:tr>
        <w:tc>
          <w:tcPr>
            <w:tcW w:type="dxa" w:w="1728"/>
          </w:tcPr>
          <w:p>
            <w:r>
              <w:t>3</w:t>
            </w:r>
          </w:p>
        </w:tc>
        <w:tc>
          <w:tcPr>
            <w:tcW w:type="dxa" w:w="1728"/>
          </w:tcPr>
          <w:p>
            <w:r>
              <w:t>3 – Setting</w:t>
            </w:r>
          </w:p>
        </w:tc>
        <w:tc>
          <w:tcPr>
            <w:tcW w:type="dxa" w:w="1728"/>
          </w:tcPr>
          <w:p>
            <w:r>
              <w:t>5 bullets, full notes</w:t>
            </w:r>
          </w:p>
        </w:tc>
        <w:tc>
          <w:tcPr>
            <w:tcW w:type="dxa" w:w="1728"/>
          </w:tcPr>
          <w:p>
            <w:r>
              <w:t>~100 words</w:t>
            </w:r>
          </w:p>
        </w:tc>
        <w:tc>
          <w:tcPr>
            <w:tcW w:type="dxa" w:w="1728"/>
          </w:tcPr>
          <w:p>
            <w:r>
              <w:t>~50 sec</w:t>
            </w:r>
          </w:p>
        </w:tc>
      </w:tr>
      <w:tr>
        <w:tc>
          <w:tcPr>
            <w:tcW w:type="dxa" w:w="1728"/>
          </w:tcPr>
          <w:p>
            <w:r>
              <w:t>4</w:t>
            </w:r>
          </w:p>
        </w:tc>
        <w:tc>
          <w:tcPr>
            <w:tcW w:type="dxa" w:w="1728"/>
          </w:tcPr>
          <w:p>
            <w:r>
              <w:t>4 – Focus Group</w:t>
            </w:r>
          </w:p>
        </w:tc>
        <w:tc>
          <w:tcPr>
            <w:tcW w:type="dxa" w:w="1728"/>
          </w:tcPr>
          <w:p>
            <w:r>
              <w:t>5 bullets, full notes</w:t>
            </w:r>
          </w:p>
        </w:tc>
        <w:tc>
          <w:tcPr>
            <w:tcW w:type="dxa" w:w="1728"/>
          </w:tcPr>
          <w:p>
            <w:r>
              <w:t>~110 words</w:t>
            </w:r>
          </w:p>
        </w:tc>
        <w:tc>
          <w:tcPr>
            <w:tcW w:type="dxa" w:w="1728"/>
          </w:tcPr>
          <w:p>
            <w:r>
              <w:t>~1 min</w:t>
            </w:r>
          </w:p>
        </w:tc>
      </w:tr>
      <w:tr>
        <w:tc>
          <w:tcPr>
            <w:tcW w:type="dxa" w:w="1728"/>
          </w:tcPr>
          <w:p>
            <w:r>
              <w:t>5</w:t>
            </w:r>
          </w:p>
        </w:tc>
        <w:tc>
          <w:tcPr>
            <w:tcW w:type="dxa" w:w="1728"/>
          </w:tcPr>
          <w:p>
            <w:r>
              <w:t>5 – Solutions Implemented</w:t>
            </w:r>
          </w:p>
        </w:tc>
        <w:tc>
          <w:tcPr>
            <w:tcW w:type="dxa" w:w="1728"/>
          </w:tcPr>
          <w:p>
            <w:r>
              <w:t>5 bullets, full notes</w:t>
            </w:r>
          </w:p>
        </w:tc>
        <w:tc>
          <w:tcPr>
            <w:tcW w:type="dxa" w:w="1728"/>
          </w:tcPr>
          <w:p>
            <w:r>
              <w:t>~120 words</w:t>
            </w:r>
          </w:p>
        </w:tc>
        <w:tc>
          <w:tcPr>
            <w:tcW w:type="dxa" w:w="1728"/>
          </w:tcPr>
          <w:p>
            <w:r>
              <w:t>~1 min</w:t>
            </w:r>
          </w:p>
        </w:tc>
      </w:tr>
      <w:tr>
        <w:tc>
          <w:tcPr>
            <w:tcW w:type="dxa" w:w="1728"/>
          </w:tcPr>
          <w:p>
            <w:r>
              <w:t>6</w:t>
            </w:r>
          </w:p>
        </w:tc>
        <w:tc>
          <w:tcPr>
            <w:tcW w:type="dxa" w:w="1728"/>
          </w:tcPr>
          <w:p>
            <w:r>
              <w:t>6 – Metrics Measured</w:t>
            </w:r>
          </w:p>
        </w:tc>
        <w:tc>
          <w:tcPr>
            <w:tcW w:type="dxa" w:w="1728"/>
          </w:tcPr>
          <w:p>
            <w:r>
              <w:t>4 bullets, full notes</w:t>
            </w:r>
          </w:p>
        </w:tc>
        <w:tc>
          <w:tcPr>
            <w:tcW w:type="dxa" w:w="1728"/>
          </w:tcPr>
          <w:p>
            <w:r>
              <w:t>~90 words</w:t>
            </w:r>
          </w:p>
        </w:tc>
        <w:tc>
          <w:tcPr>
            <w:tcW w:type="dxa" w:w="1728"/>
          </w:tcPr>
          <w:p>
            <w:r>
              <w:t>~45 sec</w:t>
            </w:r>
          </w:p>
        </w:tc>
      </w:tr>
      <w:tr>
        <w:tc>
          <w:tcPr>
            <w:tcW w:type="dxa" w:w="1728"/>
          </w:tcPr>
          <w:p>
            <w:r>
              <w:t>7</w:t>
            </w:r>
          </w:p>
        </w:tc>
        <w:tc>
          <w:tcPr>
            <w:tcW w:type="dxa" w:w="1728"/>
          </w:tcPr>
          <w:p>
            <w:r>
              <w:t>7 – Project Goals</w:t>
            </w:r>
          </w:p>
        </w:tc>
        <w:tc>
          <w:tcPr>
            <w:tcW w:type="dxa" w:w="1728"/>
          </w:tcPr>
          <w:p>
            <w:r>
              <w:t>4 bullets, full notes</w:t>
            </w:r>
          </w:p>
        </w:tc>
        <w:tc>
          <w:tcPr>
            <w:tcW w:type="dxa" w:w="1728"/>
          </w:tcPr>
          <w:p>
            <w:r>
              <w:t>~90 words</w:t>
            </w:r>
          </w:p>
        </w:tc>
        <w:tc>
          <w:tcPr>
            <w:tcW w:type="dxa" w:w="1728"/>
          </w:tcPr>
          <w:p>
            <w:r>
              <w:t>~45 sec</w:t>
            </w:r>
          </w:p>
        </w:tc>
      </w:tr>
      <w:tr>
        <w:tc>
          <w:tcPr>
            <w:tcW w:type="dxa" w:w="1728"/>
          </w:tcPr>
          <w:p>
            <w:r>
              <w:t>8</w:t>
            </w:r>
          </w:p>
        </w:tc>
        <w:tc>
          <w:tcPr>
            <w:tcW w:type="dxa" w:w="1728"/>
          </w:tcPr>
          <w:p>
            <w:r>
              <w:t>8 – Timeline</w:t>
            </w:r>
          </w:p>
        </w:tc>
        <w:tc>
          <w:tcPr>
            <w:tcW w:type="dxa" w:w="1728"/>
          </w:tcPr>
          <w:p>
            <w:r>
              <w:t>6 bullets, short per bullet</w:t>
            </w:r>
          </w:p>
        </w:tc>
        <w:tc>
          <w:tcPr>
            <w:tcW w:type="dxa" w:w="1728"/>
          </w:tcPr>
          <w:p>
            <w:r>
              <w:t>~90 words</w:t>
            </w:r>
          </w:p>
        </w:tc>
        <w:tc>
          <w:tcPr>
            <w:tcW w:type="dxa" w:w="1728"/>
          </w:tcPr>
          <w:p>
            <w:r>
              <w:t>~45 sec</w:t>
            </w:r>
          </w:p>
        </w:tc>
      </w:tr>
      <w:tr>
        <w:tc>
          <w:tcPr>
            <w:tcW w:type="dxa" w:w="1728"/>
          </w:tcPr>
          <w:p>
            <w:r>
              <w:t>9</w:t>
            </w:r>
          </w:p>
        </w:tc>
        <w:tc>
          <w:tcPr>
            <w:tcW w:type="dxa" w:w="1728"/>
          </w:tcPr>
          <w:p>
            <w:r>
              <w:t>9 – Closing</w:t>
            </w:r>
          </w:p>
        </w:tc>
        <w:tc>
          <w:tcPr>
            <w:tcW w:type="dxa" w:w="1728"/>
          </w:tcPr>
          <w:p>
            <w:r>
              <w:t>4 bullets, full notes</w:t>
            </w:r>
          </w:p>
        </w:tc>
        <w:tc>
          <w:tcPr>
            <w:tcW w:type="dxa" w:w="1728"/>
          </w:tcPr>
          <w:p>
            <w:r>
              <w:t>~90 words</w:t>
            </w:r>
          </w:p>
        </w:tc>
        <w:tc>
          <w:tcPr>
            <w:tcW w:type="dxa" w:w="1728"/>
          </w:tcPr>
          <w:p>
            <w:r>
              <w:t>~45 sec</w:t>
            </w:r>
          </w:p>
        </w:tc>
      </w:tr>
    </w:tbl>
    <w:p>
      <w:pPr>
        <w:pStyle w:val="Heading1"/>
      </w:pPr>
      <w:r>
        <w:t>Total Time Estimate:</w:t>
      </w:r>
    </w:p>
    <w:p>
      <w:pPr>
        <w:pStyle w:val="ListBullet"/>
      </w:pPr>
      <w:r>
        <w:t>Total Words: ~720–750 words</w:t>
      </w:r>
      <w:r>
        <w:br/>
        <w:br/>
      </w:r>
      <w:r/>
    </w:p>
    <w:p>
      <w:pPr>
        <w:pStyle w:val="ListBullet"/>
      </w:pPr>
      <w:r>
        <w:t>Total Time Speaking: ~6 minutes and 10 seconds</w:t>
      </w:r>
      <w:r>
        <w:br/>
        <w:br/>
      </w:r>
      <w:r/>
    </w:p>
    <w:p>
      <w:pPr>
        <w:pStyle w:val="ListBullet"/>
      </w:pPr>
      <w:r>
        <w:t>If you pause briefly once or twice (say, after Slide 4 and Slide 7), it will comfortably hit about 6:15 to 6:30 — right in the middle of the target range.</w:t>
      </w:r>
      <w:r>
        <w:br/>
        <w:br/>
      </w:r>
      <w:r/>
    </w:p>
    <w:p>
      <w:pPr>
        <w:pStyle w:val="ListBullet"/>
      </w:pPr>
      <w:r>
        <w:t>You have some natural flexibility:</w:t>
      </w:r>
      <w:r>
        <w:br/>
        <w:br/>
      </w:r>
      <w:r/>
    </w:p>
    <w:p>
      <w:pPr>
        <w:pStyle w:val="ListBullet"/>
      </w:pPr>
      <w:r>
        <w:t>If you feel yourself rushing: slow a little (you'll still stay under 7 minutes).</w:t>
      </w:r>
      <w:r>
        <w:br/>
        <w:br/>
      </w:r>
      <w:r/>
    </w:p>
    <w:p>
      <w:pPr>
        <w:pStyle w:val="ListBullet"/>
      </w:pPr>
      <w:r>
        <w:t>If you feel yourself dragging: you can tighten by slightly shortening bullets during speaking.</w:t>
      </w:r>
      <w:r>
        <w:br/>
        <w:br/>
      </w:r>
      <w:r/>
    </w:p>
    <w:p>
      <w:pPr>
        <w:pStyle w:val="Heading1"/>
      </w:pPr>
      <w:r>
        <w:t>Quick Tip for Rehearsal:</w:t>
      </w:r>
    </w:p>
    <w:p>
      <w:r>
        <w:t>When you rehearse:</w:t>
      </w:r>
    </w:p>
    <w:p>
      <w:pPr>
        <w:pStyle w:val="ListBullet"/>
      </w:pPr>
      <w:r>
        <w:t>Try to aim for ~30–45 seconds per slide.</w:t>
      </w:r>
      <w:r>
        <w:br/>
        <w:br/>
      </w:r>
      <w:r/>
    </w:p>
    <w:p>
      <w:pPr>
        <w:pStyle w:val="ListBullet"/>
      </w:pPr>
      <w:r>
        <w:t>Plan a tiny pause (~2–3 seconds) after major slides like "Solutions Implemented" and "Metrics Measured" to breathe and let the audience catch up mentally.</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