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Discussion TEMPLATE</w:t>
      </w:r>
    </w:p>
    <w:p>
      <w:pPr>
        <w:pStyle w:val="Heading2"/>
      </w:pPr>
      <w:r>
        <w:t>Scenario</w:t>
      </w:r>
    </w:p>
    <w:p>
      <w:pPr>
        <w:pStyle w:val="Heading2"/>
      </w:pPr>
      <w:r>
        <w:t>Questions</w:t>
      </w:r>
    </w:p>
    <w:p>
      <w:pPr>
        <w:pStyle w:val="Heading3"/>
      </w:pPr>
      <w:r>
        <w:t>general</w:t>
      </w:r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Q1:</w:t>
      </w:r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Q2:</w:t>
      </w:r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Q3:</w:t>
      </w:r>
    </w:p>
    <w:p>
      <w:pPr>
        <w:pStyle w:val="ListBullet"/>
      </w:pPr>
      <w:r>
        <w:t>​</w:t>
      </w:r>
      <w:r>
        <w:br/>
        <w:br/>
      </w:r>
      <w:r/>
    </w:p>
    <w:p>
      <w:pPr>
        <w:pStyle w:val="Heading2"/>
      </w:pPr>
      <w:r>
        <w:t>Text</w:t>
      </w:r>
    </w:p>
    <w:p>
      <w:pPr>
        <w:pStyle w:val="Heading3"/>
      </w:pPr>
      <w:r>
        <w:t>Q1:</w:t>
      </w:r>
    </w:p>
    <w:p>
      <w:pPr>
        <w:pStyle w:val="Heading3"/>
      </w:pPr>
      <w:r>
        <w:t>Q2:</w:t>
      </w:r>
    </w:p>
    <w:p>
      <w:pPr>
        <w:pStyle w:val="Heading3"/>
      </w:pPr>
      <w:r>
        <w:t>Q3:</w:t>
      </w:r>
    </w:p>
    <w:p>
      <w:r>
        <w:t>​</w:t>
      </w:r>
    </w:p>
    <w:p>
      <w:r>
        <w:t>​</w:t>
      </w:r>
    </w:p>
    <w:p>
      <w:r>
        <w:t>​</w:t>
      </w:r>
    </w:p>
    <w:p>
      <w:r>
        <w:rPr>
          <w:b/>
        </w:rPr>
        <w:t>Sources:</w:t>
      </w:r>
      <w:r/>
      <w:r>
        <w:t xml:space="preserve"> </w:t>
      </w:r>
      <w:r/>
      <w:r>
        <w:t>Berger, K. S. (2016). Invitation to the life span. New York, NY: Worth Publishers.</w:t>
      </w:r>
    </w:p>
    <w:p>
      <w:r>
        <w:t xml:space="preserve">Whitney, E. N., &amp; Rolfes, S. R. (2013). </w:t>
      </w:r>
      <w:r>
        <w:rPr>
          <w:i/>
        </w:rPr>
        <w:t>Understanding nutrition</w:t>
      </w:r>
      <w:r>
        <w:t>. Australia: Wadsworth, Cengage Learning.</w:t>
      </w:r>
    </w:p>
    <w:p>
      <w:r>
        <w:t>​</w:t>
      </w:r>
    </w:p>
    <w:p>
      <w:pPr>
        <w:pStyle w:val="Heading2"/>
      </w:pPr>
      <w:r>
        <w:t>Responses</w:t>
      </w:r>
    </w:p>
    <w:p>
      <w:r>
        <w:t>​</w:t>
      </w:r>
    </w:p>
    <w:p>
      <w:r>
        <w:rPr>
          <w:b/>
        </w:rPr>
        <w:t>Response</w:t>
      </w:r>
    </w:p>
    <w:p>
      <w:r>
        <w:t>​</w:t>
      </w:r>
    </w:p>
    <w:p>
      <w:r>
        <w:t>​</w:t>
      </w:r>
    </w:p>
    <w:p>
      <w:r>
        <w:rPr>
          <w:b/>
        </w:rPr>
        <w:t>Response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