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Closing Paragraph</w:t>
      </w:r>
    </w:p>
    <w:p>
      <w:r>
        <w:t>This exercise was an interesting experience for me. While I was visiting Ghana with my husband and children in 2018, we had gone to try and find the village and were amazingly successful. I had not seen Auntie Sewhar in over 30 years and was amazed and deeply moved to see her in good health still living in the same house my mother and her mother had lived. I had not expected this. When this interview came up I spent quite some time pondering whom to interview given that my parents have both passed away. I finally realized, that it would be a great opportunity for me to learn more about this woman that I had not been in contact with for so long before last year. The interview then was an emotional rollercoaster, as it of course involved my mother and her life as well, whose passing I am still processing. During the interview I sometimes wished I had chosen differently, but in hindsight I am grateful I had done it just they way I did.</w:t>
      </w:r>
    </w:p>
    <w:p>
      <w:r>
        <w:t>While my mother was alive, she had told me stories about her upbringing in the village and I was amazed how similar Auntie Sewhar’s responses were. Sometimes I felt like I could hear my mother through her. I had heard about Auntie Sewhar having had miscarriages, but I was not aware, how many there were including a stillborn child. I can’t fathom the tragedy she had been going through in her life and it was amazing for me to see how strong she had come out of this. While the interview wasn’t too long ago, I can’t say it has actively changed my path, but I can say that I have learned from this to always look for the silver lining in everything. My mother had taught me to never question life and always seek the positive. Auntie Sewhar’s story taught me that this runs in the family and that it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