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 xml:space="preserve">On my mother’s side of my family, there are only a few people left at a higher age while I have no contact to my father’s side of the family. The person I chose to interview is my aunt, Auntie Sewhar. She is my late mother’s youngest sister. Her full name is Sewhar Aboagye and she is currently 74 years old. She still lives in the village of </w:t>
      </w:r>
      <w:r>
        <w:t>Asakraka in the Kwahu region of West Africa Ghana</w:t>
      </w:r>
      <w:r>
        <w:t xml:space="preserve"> in which my mother and her siblings grew up. Our interview took place via facetime and phone conversations. I had to translate our conversation, as she only speaks the local Akan language, Twi. While translating I tried to stay as closely to the nature of her expressions as possible.</w:t>
      </w:r>
    </w:p>
    <w:p>
      <w:r>
        <w:t>The phone number under which she can usually be reached is +</w:t>
      </w:r>
      <w:r>
        <w:t>233-20-044-9703</w:t>
      </w:r>
      <w:r>
        <w:t>. Because of the language barrier, Eugenia picks up the phone most of the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