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N404 LuteTank - Health access for underserved communities</w:t>
      </w:r>
    </w:p>
    <w:p>
      <w:r>
        <w:t>​</w:t>
      </w:r>
    </w:p>
    <w:p>
      <w:r>
        <w:t>Hi, my name is Juliet Dierks and I would like to introduce to you a few ideas I have to improve health care access for underserved populations</w:t>
      </w:r>
    </w:p>
    <w:p>
      <w:r>
        <w:t>​</w:t>
      </w:r>
    </w:p>
    <w:p>
      <w:r>
        <w:t xml:space="preserve">Many clients in underserved populations receive poor health care because they either can’t afford care or live in areas in which affordable health care is of poor quality. In these areas often only basic care is available, access to specialists is rare and often health care staff in these facilities is underpaid or underqualified. These facilities often also see high degrees of biases due to the lack of appropriate training of staff. This is especially true where racial stereotypes come to play, like the assumption that black people’s skin is thicker and they are less susceptible to pain. It is important to improve the quality of staff in these facilities by improving their education and anti-bias training and to find means to improve compensation to attract qualified personnel. </w:t>
      </w:r>
    </w:p>
    <w:p>
      <w:r>
        <w:t>​</w:t>
      </w:r>
    </w:p>
    <w:p>
      <w:r>
        <w:t>I propose that we make changes to the way how continued education credits are managed for certified health care staff. Where every provider will need to collect a certain number of CEUs over a few years, we should add a requirement that they will also have to spend a certain amount of time on staff in health care facilities in underserved communities or work with clients from underserved communities. This can be either on staff in a hospital, a nursing home, hospice care, clinics, or other facilities. In order to be productive, this time should be at least two weeks of full time hours in a span of three years. This way the organizational burden will be limited but they will still be able to share their knowledge with staff in these facilities and, at the same time, take some of the experiences with these underserved populations into their facilities.</w:t>
      </w:r>
    </w:p>
    <w:p>
      <w:r>
        <w:t>I also propose that we publicly subsidize staffing in facilities serving underserved communities to help attract talent and higher qualified staff. While this will require government contributions and budgeting on their part, it will also reduce cost as the consequences of poor health care for the social system can’t be underestimated. In 2002, uncompensated cost for medical services to uninsured was estimated to be $35 billion annually across government contributions and donations. This number is estimated to have gone up sharply since. Some of these cost can be saved by providing better care earlier and use the money for this care.</w:t>
      </w:r>
    </w:p>
    <w:p>
      <w:r>
        <w:t>​</w:t>
      </w:r>
    </w:p>
    <w:p>
      <w:r>
        <w:t>Another issue for underserved communities often is transportation. While it seems easy to suggest using a taxi or a bus where a vehicle often is not available, the cost of such a ride on a strained budget often is not affordable. I propose to establish transportation programs with local carriers, for example taxi companies or public transportation companies, but also services like uber and lyft, to provide clients with vouchers for transportation to allow them to reach their respective health care facilities. This can be particularly helpful where longer distances must be bridged, for example to reach specialists in different areas or cities.</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