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 lineup</w:t>
      </w:r>
    </w:p>
    <w:p>
      <w:pPr>
        <w:pStyle w:val="Heading2"/>
      </w:pPr>
      <w:r>
        <w:t>Topics to fix</w:t>
      </w:r>
    </w:p>
    <w:p>
      <w:pPr>
        <w:pStyle w:val="Heading3"/>
      </w:pPr>
      <w:r>
        <w:t>Multiple Intake processes per domain</w:t>
      </w:r>
    </w:p>
    <w:p>
      <w:r>
        <w:t>Domains today are addressed by multiple dev teams by region. This produced multiple intake processes. This is confusing for stakeholders and teams and we must create cohesive intake mechanisms:</w:t>
      </w:r>
    </w:p>
    <w:p>
      <w:pPr>
        <w:pStyle w:val="Heading4"/>
      </w:pPr>
      <w:r>
        <w:t>One intake per domain</w:t>
      </w:r>
    </w:p>
    <w:p>
      <w:r>
        <w:t>Consolidate the intake processes per domain and unify into one intake process per domain with additional consideration for regional differences. This will lead to independent intake processes by domain. Risk is that stakeholders might not always be able to distinguish between domains and intake is done for the wrong domains with hardly a way to transfer the requests between domains</w:t>
      </w:r>
    </w:p>
    <w:p>
      <w:pPr>
        <w:pStyle w:val="Heading4"/>
      </w:pPr>
      <w:r>
        <w:t>One central intake</w:t>
      </w:r>
    </w:p>
    <w:p>
      <w:r>
        <w:t>Consolidate all intake processes into one accounting for regional and domain differences. This will be hard to implement when there are inconsolable differences between domains.</w:t>
      </w:r>
    </w:p>
    <w:p>
      <w:pPr>
        <w:pStyle w:val="Heading4"/>
      </w:pPr>
      <w:r>
        <w:t>Multiple (few) intakes</w:t>
      </w:r>
    </w:p>
    <w:p>
      <w:r>
        <w:t>Mix between the prior two where we follow the single intake principle and only deviate into a separate intake if we can’t overcome domain specific differences.</w:t>
      </w:r>
    </w:p>
    <w:p>
      <w:pPr>
        <w:pStyle w:val="Heading3"/>
      </w:pPr>
      <w:r>
        <w:t>Engineering team overlap</w:t>
      </w:r>
    </w:p>
    <w:p>
      <w:r>
        <w:t xml:space="preserve">Multiple domains are implemented and addressed by the same dev teams. TPMs working on a specific domain might work with the same dev teams as other domains’ TPMs. Possible solutions: </w:t>
      </w:r>
    </w:p>
    <w:p>
      <w:pPr>
        <w:pStyle w:val="Heading4"/>
      </w:pPr>
      <w:r>
        <w:t>Find a solution in process and tools</w:t>
      </w:r>
    </w:p>
    <w:p>
      <w:r>
        <w:t>Establish processes, Sprint mechanisms, and Tools and templates through which the TPMs collaborate to appear as one to the dev teams regardless of the domains covered. This could mean sprint loading loads work for multiple domains at once.</w:t>
      </w:r>
    </w:p>
    <w:p>
      <w:pPr>
        <w:pStyle w:val="Heading4"/>
      </w:pPr>
      <w:r>
        <w:t>Align TPMs with dev teams across multiple domains</w:t>
      </w:r>
    </w:p>
    <w:p>
      <w:r>
        <w:t>Where a dev team is addressing multiple domains, one TPM will cover all the domains. Risk is overload for the TPM as they now cover multiple domains. Consequence is impossible load balancing.</w:t>
      </w:r>
    </w:p>
    <w:p>
      <w:pPr>
        <w:pStyle w:val="Heading3"/>
      </w:pPr>
      <w:r>
        <w:t>Multitude of tools</w:t>
      </w:r>
    </w:p>
    <w:p>
      <w:pPr>
        <w:pStyle w:val="Heading3"/>
      </w:pPr>
      <w:r>
        <w:t>Multitude of processes (other than intake)</w:t>
      </w:r>
    </w:p>
    <w:p>
      <w:pPr>
        <w:pStyle w:val="Heading3"/>
      </w:pPr>
      <w:r>
        <w:t>Knowledge transfer</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