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1B365D"/>
          <w:sz w:val="52"/>
        </w:rPr>
        <w:t>DEMOERP ENTERPRISE API PROJECT</w:t>
      </w:r>
    </w:p>
    <w:p>
      <w:pPr>
        <w:spacing w:after="800"/>
        <w:jc w:val="center"/>
      </w:pPr>
      <w:r>
        <w:rPr>
          <w:color w:val="4F81BD"/>
          <w:sz w:val="32"/>
        </w:rPr>
        <w:t>Comprehensive Integration Test Plan (v4.0)</w:t>
      </w:r>
    </w:p>
    <w:p>
      <w:pPr>
        <w:spacing w:before="4000"/>
        <w:jc w:val="center"/>
      </w:pPr>
      <w:r>
        <w:rPr>
          <w:b/>
        </w:rPr>
        <w:t>Prepared for: Portfolio Presentation &amp; Technical Interview</w:t>
        <w:br/>
      </w:r>
      <w:r>
        <w:t>Roles Addressed: Technical Data Analyst / Software Developer</w:t>
        <w:br/>
        <w:t>Date: July 09, 2026</w:t>
        <w:br/>
        <w:t>Version: 4.7-Enterprise</w:t>
      </w:r>
    </w:p>
    <w:p>
      <w:r>
        <w:br w:type="page"/>
      </w:r>
    </w:p>
    <w:p>
      <w:pPr>
        <w:keepNext/>
        <w:spacing w:before="360" w:after="120"/>
      </w:pPr>
      <w:r>
        <w:rPr>
          <w:rFonts w:ascii="Calibri" w:hAnsi="Calibri"/>
          <w:b/>
          <w:color w:val="1B365D"/>
          <w:sz w:val="36"/>
        </w:rPr>
        <w:t>Table of Contents</w:t>
      </w:r>
    </w:p>
    <w:p>
      <w:pPr>
        <w:spacing w:after="120" w:line="276" w:lineRule="auto"/>
      </w:pPr>
      <w:r>
        <w:rPr>
          <w:b w:val="0"/>
        </w:rPr>
        <w:t>1. Executive Summary</w:t>
        <w:br/>
        <w:t>2. Business Objectives</w:t>
        <w:br/>
        <w:t>3. Functional Requirements</w:t>
        <w:br/>
        <w:t>4. Non-functional Requirements</w:t>
        <w:br/>
        <w:t>5. Technology Stack</w:t>
        <w:br/>
        <w:t>6. Architecture &amp; System Topography</w:t>
        <w:br/>
        <w:t>7. Database Design &amp; Integrity Constraints</w:t>
        <w:br/>
        <w:t>8. Security Design &amp; Threat Mitigation</w:t>
        <w:br/>
        <w:t>9. Enterprise Business Rules</w:t>
        <w:br/>
        <w:t>10. Authentication Matrix</w:t>
        <w:br/>
        <w:t>11. Authorization Matrix</w:t>
        <w:br/>
        <w:t>12. Input Data Validation</w:t>
        <w:br/>
        <w:t>13. Global Error Handling Strategy</w:t>
        <w:br/>
        <w:t>14. Testing Strategy &amp; Automation Framework</w:t>
        <w:br/>
        <w:t>15. Future Improvements &amp; Technical Roadmap</w:t>
        <w:br/>
        <w:t>16. Lessons Learned</w:t>
      </w:r>
    </w:p>
    <w:p>
      <w:r>
        <w:br w:type="page"/>
      </w:r>
    </w:p>
    <w:p>
      <w:pPr>
        <w:keepNext/>
        <w:spacing w:before="360" w:after="120"/>
      </w:pPr>
      <w:r>
        <w:rPr>
          <w:rFonts w:ascii="Calibri" w:hAnsi="Calibri"/>
          <w:b/>
          <w:color w:val="1B365D"/>
          <w:sz w:val="36"/>
        </w:rPr>
        <w:t>1. Executive Summary</w:t>
      </w:r>
    </w:p>
    <w:p>
      <w:pPr>
        <w:spacing w:after="120" w:line="276" w:lineRule="auto"/>
      </w:pPr>
      <w:r>
        <w:rPr>
          <w:b w:val="0"/>
        </w:rPr>
        <w:t>This Integration Test Plan serves as a comprehensive technical guide for validating the DemoERP Customer Management API. Designed to fulfill strict enterprise QA engineering standards, this plan bridges the gap between software development and data analysis. It details the complete integration testing framework, data consistency checks, and role-based access control (RBAC) validations implemented to guarantee high availability, security, and strict contract conformance for Milestone 4.7.</w:t>
      </w:r>
    </w:p>
    <w:p>
      <w:pPr>
        <w:keepNext/>
        <w:spacing w:before="360" w:after="120"/>
      </w:pPr>
      <w:r>
        <w:rPr>
          <w:rFonts w:ascii="Calibri" w:hAnsi="Calibri"/>
          <w:b/>
          <w:color w:val="1B365D"/>
          <w:sz w:val="36"/>
        </w:rPr>
        <w:t>2. Business Objectives</w:t>
      </w:r>
    </w:p>
    <w:p>
      <w:pPr>
        <w:spacing w:after="120" w:line="276" w:lineRule="auto"/>
      </w:pPr>
      <w:r>
        <w:rPr>
          <w:b w:val="0"/>
        </w:rPr>
        <w:t>The principal business and engineering objectives include:</w:t>
      </w:r>
    </w:p>
    <w:p>
      <w:pPr>
        <w:pStyle w:val="ListBullet"/>
      </w:pPr>
      <w:r>
        <w:rPr>
          <w:b/>
        </w:rPr>
        <w:t xml:space="preserve">Data Quality Assurance: </w:t>
      </w:r>
      <w:r>
        <w:t>Eliminate duplicate entries, data conflicts, and malformed telemetry during high-throughput CRM sync operations.</w:t>
      </w:r>
    </w:p>
    <w:p>
      <w:pPr>
        <w:pStyle w:val="ListBullet"/>
      </w:pPr>
      <w:r>
        <w:rPr>
          <w:b/>
        </w:rPr>
        <w:t xml:space="preserve">Security Compliance: </w:t>
      </w:r>
      <w:r>
        <w:t>Ensure multi-tenant isolation and granular data sovereignty using structured JSON Web Tokens (JWT).</w:t>
      </w:r>
    </w:p>
    <w:p>
      <w:pPr>
        <w:pStyle w:val="ListBullet"/>
      </w:pPr>
      <w:r>
        <w:rPr>
          <w:b/>
        </w:rPr>
        <w:t xml:space="preserve">Contract Adherence: </w:t>
      </w:r>
      <w:r>
        <w:t>Enforce deterministic REST endpoint behaviors, mapping correct HTTP response status codes strictly to business rule outcomes.</w:t>
      </w:r>
    </w:p>
    <w:p>
      <w:pPr>
        <w:keepNext/>
        <w:spacing w:before="360" w:after="120"/>
      </w:pPr>
      <w:r>
        <w:rPr>
          <w:rFonts w:ascii="Calibri" w:hAnsi="Calibri"/>
          <w:b/>
          <w:color w:val="1B365D"/>
          <w:sz w:val="36"/>
        </w:rPr>
        <w:t>3. Functional Requirements</w:t>
      </w:r>
    </w:p>
    <w:p>
      <w:pPr>
        <w:spacing w:after="120" w:line="276" w:lineRule="auto"/>
      </w:pPr>
      <w:r>
        <w:rPr>
          <w:b w:val="0"/>
        </w:rPr>
        <w:t>The following matrix summarizes the business requirements covered by this integration plan: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50" w:type="dxa"/>
              <w:right w:w="150" w:type="dxa"/>
            </w:tcMar>
          </w:tcPr>
          <w:p>
            <w:pPr>
              <w:jc w:val="left"/>
            </w:pPr>
            <w:r>
              <w:rPr>
                <w:b/>
                <w:color w:val="FFFFFF"/>
                <w:sz w:val="20"/>
              </w:rPr>
              <w:t>ID</w:t>
            </w:r>
          </w:p>
        </w:tc>
        <w:tc>
          <w:tcPr>
            <w:tcW w:type="dxa" w:w="2340"/>
            <w:shd w:fill="1B365D"/>
            <w:tcMar>
              <w:top w:w="100" w:type="dxa"/>
              <w:bottom w:w="100" w:type="dxa"/>
              <w:left w:w="150" w:type="dxa"/>
              <w:right w:w="150" w:type="dxa"/>
            </w:tcMar>
          </w:tcPr>
          <w:p>
            <w:pPr>
              <w:jc w:val="left"/>
            </w:pPr>
            <w:r>
              <w:rPr>
                <w:b/>
                <w:color w:val="FFFFFF"/>
                <w:sz w:val="20"/>
              </w:rPr>
              <w:t>Domain</w:t>
            </w:r>
          </w:p>
        </w:tc>
        <w:tc>
          <w:tcPr>
            <w:tcW w:type="dxa" w:w="2340"/>
            <w:shd w:fill="1B365D"/>
            <w:tcMar>
              <w:top w:w="100" w:type="dxa"/>
              <w:bottom w:w="100" w:type="dxa"/>
              <w:left w:w="150" w:type="dxa"/>
              <w:right w:w="150" w:type="dxa"/>
            </w:tcMar>
          </w:tcPr>
          <w:p>
            <w:pPr>
              <w:jc w:val="left"/>
            </w:pPr>
            <w:r>
              <w:rPr>
                <w:b/>
                <w:color w:val="FFFFFF"/>
                <w:sz w:val="20"/>
              </w:rPr>
              <w:t>Requirement Statement</w:t>
            </w:r>
          </w:p>
        </w:tc>
        <w:tc>
          <w:tcPr>
            <w:tcW w:type="dxa" w:w="2340"/>
            <w:shd w:fill="1B365D"/>
            <w:tcMar>
              <w:top w:w="100" w:type="dxa"/>
              <w:bottom w:w="100" w:type="dxa"/>
              <w:left w:w="150" w:type="dxa"/>
              <w:right w:w="150" w:type="dxa"/>
            </w:tcMar>
          </w:tcPr>
          <w:p>
            <w:pPr>
              <w:jc w:val="left"/>
            </w:pPr>
            <w:r>
              <w:rPr>
                <w:b/>
                <w:color w:val="FFFFFF"/>
                <w:sz w:val="20"/>
              </w:rPr>
              <w:t>Priority</w:t>
            </w:r>
          </w:p>
        </w:tc>
      </w:tr>
      <w:tr>
        <w:tc>
          <w:tcPr>
            <w:tcW w:type="dxa" w:w="2340"/>
            <w:shd w:fill="FFFFFF"/>
            <w:tcMar>
              <w:top w:w="100" w:type="dxa"/>
              <w:bottom w:w="100" w:type="dxa"/>
              <w:left w:w="150" w:type="dxa"/>
              <w:right w:w="150" w:type="dxa"/>
            </w:tcMar>
          </w:tcPr>
          <w:p>
            <w:r>
              <w:rPr>
                <w:color w:val="333333"/>
                <w:sz w:val="20"/>
              </w:rPr>
              <w:t>BR-AUTH</w:t>
            </w:r>
          </w:p>
        </w:tc>
        <w:tc>
          <w:tcPr>
            <w:tcW w:type="dxa" w:w="2340"/>
            <w:shd w:fill="FFFFFF"/>
            <w:tcMar>
              <w:top w:w="100" w:type="dxa"/>
              <w:bottom w:w="100" w:type="dxa"/>
              <w:left w:w="150" w:type="dxa"/>
              <w:right w:w="150" w:type="dxa"/>
            </w:tcMar>
          </w:tcPr>
          <w:p>
            <w:r>
              <w:rPr>
                <w:color w:val="333333"/>
                <w:sz w:val="20"/>
              </w:rPr>
              <w:t>Authentication</w:t>
            </w:r>
          </w:p>
        </w:tc>
        <w:tc>
          <w:tcPr>
            <w:tcW w:type="dxa" w:w="2340"/>
            <w:shd w:fill="FFFFFF"/>
            <w:tcMar>
              <w:top w:w="100" w:type="dxa"/>
              <w:bottom w:w="100" w:type="dxa"/>
              <w:left w:w="150" w:type="dxa"/>
              <w:right w:w="150" w:type="dxa"/>
            </w:tcMar>
          </w:tcPr>
          <w:p>
            <w:r>
              <w:rPr>
                <w:color w:val="333333"/>
                <w:sz w:val="20"/>
              </w:rPr>
              <w:t>The login endpoint shall authenticate valid credentials and reject invalid or malformed requests.</w:t>
            </w:r>
          </w:p>
        </w:tc>
        <w:tc>
          <w:tcPr>
            <w:tcW w:type="dxa" w:w="2340"/>
            <w:shd w:fill="FFFFFF"/>
            <w:tcMar>
              <w:top w:w="100" w:type="dxa"/>
              <w:bottom w:w="100" w:type="dxa"/>
              <w:left w:w="150" w:type="dxa"/>
              <w:right w:w="150" w:type="dxa"/>
            </w:tcMar>
          </w:tcPr>
          <w:p>
            <w:r>
              <w:rPr>
                <w:color w:val="333333"/>
                <w:sz w:val="20"/>
              </w:rPr>
              <w:t>High</w:t>
            </w:r>
          </w:p>
        </w:tc>
      </w:tr>
      <w:tr>
        <w:tc>
          <w:tcPr>
            <w:tcW w:type="dxa" w:w="2340"/>
            <w:shd w:fill="F2F4F7"/>
            <w:tcMar>
              <w:top w:w="100" w:type="dxa"/>
              <w:bottom w:w="100" w:type="dxa"/>
              <w:left w:w="150" w:type="dxa"/>
              <w:right w:w="150" w:type="dxa"/>
            </w:tcMar>
          </w:tcPr>
          <w:p>
            <w:r>
              <w:rPr>
                <w:color w:val="333333"/>
                <w:sz w:val="20"/>
              </w:rPr>
              <w:t>BR-SEC</w:t>
            </w:r>
          </w:p>
        </w:tc>
        <w:tc>
          <w:tcPr>
            <w:tcW w:type="dxa" w:w="2340"/>
            <w:shd w:fill="F2F4F7"/>
            <w:tcMar>
              <w:top w:w="100" w:type="dxa"/>
              <w:bottom w:w="100" w:type="dxa"/>
              <w:left w:w="150" w:type="dxa"/>
              <w:right w:w="150" w:type="dxa"/>
            </w:tcMar>
          </w:tcPr>
          <w:p>
            <w:r>
              <w:rPr>
                <w:color w:val="333333"/>
                <w:sz w:val="20"/>
              </w:rPr>
              <w:t>Authorization</w:t>
            </w:r>
          </w:p>
        </w:tc>
        <w:tc>
          <w:tcPr>
            <w:tcW w:type="dxa" w:w="2340"/>
            <w:shd w:fill="F2F4F7"/>
            <w:tcMar>
              <w:top w:w="100" w:type="dxa"/>
              <w:bottom w:w="100" w:type="dxa"/>
              <w:left w:w="150" w:type="dxa"/>
              <w:right w:w="150" w:type="dxa"/>
            </w:tcMar>
          </w:tcPr>
          <w:p>
            <w:r>
              <w:rPr>
                <w:color w:val="333333"/>
                <w:sz w:val="20"/>
              </w:rPr>
              <w:t>Protected endpoints shall require a valid JWT. Only supported roles (admin, qa, customer) may access the API; null, Anonymous, or unsupported roles are denied.</w:t>
            </w:r>
          </w:p>
        </w:tc>
        <w:tc>
          <w:tcPr>
            <w:tcW w:type="dxa" w:w="2340"/>
            <w:shd w:fill="F2F4F7"/>
            <w:tcMar>
              <w:top w:w="100" w:type="dxa"/>
              <w:bottom w:w="100" w:type="dxa"/>
              <w:left w:w="150" w:type="dxa"/>
              <w:right w:w="150" w:type="dxa"/>
            </w:tcMar>
          </w:tcPr>
          <w:p>
            <w:r>
              <w:rPr>
                <w:color w:val="333333"/>
                <w:sz w:val="20"/>
              </w:rPr>
              <w:t>Critical</w:t>
            </w:r>
          </w:p>
        </w:tc>
      </w:tr>
      <w:tr>
        <w:tc>
          <w:tcPr>
            <w:tcW w:type="dxa" w:w="2340"/>
            <w:shd w:fill="FFFFFF"/>
            <w:tcMar>
              <w:top w:w="100" w:type="dxa"/>
              <w:bottom w:w="100" w:type="dxa"/>
              <w:left w:w="150" w:type="dxa"/>
              <w:right w:w="150" w:type="dxa"/>
            </w:tcMar>
          </w:tcPr>
          <w:p>
            <w:r>
              <w:rPr>
                <w:color w:val="333333"/>
                <w:sz w:val="20"/>
              </w:rPr>
              <w:t>BR-GET</w:t>
            </w:r>
          </w:p>
        </w:tc>
        <w:tc>
          <w:tcPr>
            <w:tcW w:type="dxa" w:w="2340"/>
            <w:shd w:fill="FFFFFF"/>
            <w:tcMar>
              <w:top w:w="100" w:type="dxa"/>
              <w:bottom w:w="100" w:type="dxa"/>
              <w:left w:w="150" w:type="dxa"/>
              <w:right w:w="150" w:type="dxa"/>
            </w:tcMar>
          </w:tcPr>
          <w:p>
            <w:r>
              <w:rPr>
                <w:color w:val="333333"/>
                <w:sz w:val="20"/>
              </w:rPr>
              <w:t>Customer Retrieval</w:t>
            </w:r>
          </w:p>
        </w:tc>
        <w:tc>
          <w:tcPr>
            <w:tcW w:type="dxa" w:w="2340"/>
            <w:shd w:fill="FFFFFF"/>
            <w:tcMar>
              <w:top w:w="100" w:type="dxa"/>
              <w:bottom w:w="100" w:type="dxa"/>
              <w:left w:w="150" w:type="dxa"/>
              <w:right w:w="150" w:type="dxa"/>
            </w:tcMar>
          </w:tcPr>
          <w:p>
            <w:r>
              <w:rPr>
                <w:color w:val="333333"/>
                <w:sz w:val="20"/>
              </w:rPr>
              <w:t>Admin can read any customer; QA can read customers within assignment/ownership rules; customer can read only own record.</w:t>
            </w:r>
          </w:p>
        </w:tc>
        <w:tc>
          <w:tcPr>
            <w:tcW w:type="dxa" w:w="2340"/>
            <w:shd w:fill="FFFFFF"/>
            <w:tcMar>
              <w:top w:w="100" w:type="dxa"/>
              <w:bottom w:w="100" w:type="dxa"/>
              <w:left w:w="150" w:type="dxa"/>
              <w:right w:w="150" w:type="dxa"/>
            </w:tcMar>
          </w:tcPr>
          <w:p>
            <w:r>
              <w:rPr>
                <w:color w:val="333333"/>
                <w:sz w:val="20"/>
              </w:rPr>
              <w:t>Critical</w:t>
            </w:r>
          </w:p>
        </w:tc>
      </w:tr>
      <w:tr>
        <w:tc>
          <w:tcPr>
            <w:tcW w:type="dxa" w:w="2340"/>
            <w:shd w:fill="F2F4F7"/>
            <w:tcMar>
              <w:top w:w="100" w:type="dxa"/>
              <w:bottom w:w="100" w:type="dxa"/>
              <w:left w:w="150" w:type="dxa"/>
              <w:right w:w="150" w:type="dxa"/>
            </w:tcMar>
          </w:tcPr>
          <w:p>
            <w:r>
              <w:rPr>
                <w:color w:val="333333"/>
                <w:sz w:val="20"/>
              </w:rPr>
              <w:t>BR-UPD</w:t>
            </w:r>
          </w:p>
        </w:tc>
        <w:tc>
          <w:tcPr>
            <w:tcW w:type="dxa" w:w="2340"/>
            <w:shd w:fill="F2F4F7"/>
            <w:tcMar>
              <w:top w:w="100" w:type="dxa"/>
              <w:bottom w:w="100" w:type="dxa"/>
              <w:left w:w="150" w:type="dxa"/>
              <w:right w:w="150" w:type="dxa"/>
            </w:tcMar>
          </w:tcPr>
          <w:p>
            <w:r>
              <w:rPr>
                <w:color w:val="333333"/>
                <w:sz w:val="20"/>
              </w:rPr>
              <w:t>Customer Update</w:t>
            </w:r>
          </w:p>
        </w:tc>
        <w:tc>
          <w:tcPr>
            <w:tcW w:type="dxa" w:w="2340"/>
            <w:shd w:fill="F2F4F7"/>
            <w:tcMar>
              <w:top w:w="100" w:type="dxa"/>
              <w:bottom w:w="100" w:type="dxa"/>
              <w:left w:w="150" w:type="dxa"/>
              <w:right w:w="150" w:type="dxa"/>
            </w:tcMar>
          </w:tcPr>
          <w:p>
            <w:r>
              <w:rPr>
                <w:color w:val="333333"/>
                <w:sz w:val="20"/>
              </w:rPr>
              <w:t>Admin can update any customer; QA only permitted assigned customers; customer only own profile. Validation failures return 400.</w:t>
            </w:r>
          </w:p>
        </w:tc>
        <w:tc>
          <w:tcPr>
            <w:tcW w:type="dxa" w:w="2340"/>
            <w:shd w:fill="F2F4F7"/>
            <w:tcMar>
              <w:top w:w="100" w:type="dxa"/>
              <w:bottom w:w="100" w:type="dxa"/>
              <w:left w:w="150" w:type="dxa"/>
              <w:right w:w="150" w:type="dxa"/>
            </w:tcMar>
          </w:tcPr>
          <w:p>
            <w:r>
              <w:rPr>
                <w:color w:val="333333"/>
                <w:sz w:val="20"/>
              </w:rPr>
              <w:t>Critical</w:t>
            </w:r>
          </w:p>
        </w:tc>
      </w:tr>
      <w:tr>
        <w:tc>
          <w:tcPr>
            <w:tcW w:type="dxa" w:w="2340"/>
            <w:shd w:fill="FFFFFF"/>
            <w:tcMar>
              <w:top w:w="100" w:type="dxa"/>
              <w:bottom w:w="100" w:type="dxa"/>
              <w:left w:w="150" w:type="dxa"/>
              <w:right w:w="150" w:type="dxa"/>
            </w:tcMar>
          </w:tcPr>
          <w:p>
            <w:r>
              <w:rPr>
                <w:color w:val="333333"/>
                <w:sz w:val="20"/>
              </w:rPr>
              <w:t>BR-DEL</w:t>
            </w:r>
          </w:p>
        </w:tc>
        <w:tc>
          <w:tcPr>
            <w:tcW w:type="dxa" w:w="2340"/>
            <w:shd w:fill="FFFFFF"/>
            <w:tcMar>
              <w:top w:w="100" w:type="dxa"/>
              <w:bottom w:w="100" w:type="dxa"/>
              <w:left w:w="150" w:type="dxa"/>
              <w:right w:w="150" w:type="dxa"/>
            </w:tcMar>
          </w:tcPr>
          <w:p>
            <w:r>
              <w:rPr>
                <w:color w:val="333333"/>
                <w:sz w:val="20"/>
              </w:rPr>
              <w:t>Customer Delete</w:t>
            </w:r>
          </w:p>
        </w:tc>
        <w:tc>
          <w:tcPr>
            <w:tcW w:type="dxa" w:w="2340"/>
            <w:shd w:fill="FFFFFF"/>
            <w:tcMar>
              <w:top w:w="100" w:type="dxa"/>
              <w:bottom w:w="100" w:type="dxa"/>
              <w:left w:w="150" w:type="dxa"/>
              <w:right w:w="150" w:type="dxa"/>
            </w:tcMar>
          </w:tcPr>
          <w:p>
            <w:r>
              <w:rPr>
                <w:color w:val="333333"/>
                <w:sz w:val="20"/>
              </w:rPr>
              <w:t>Delete follows role-based access rules and respects not-found/soft-delete behavior.</w:t>
            </w:r>
          </w:p>
        </w:tc>
        <w:tc>
          <w:tcPr>
            <w:tcW w:type="dxa" w:w="2340"/>
            <w:shd w:fill="FFFFFF"/>
            <w:tcMar>
              <w:top w:w="100" w:type="dxa"/>
              <w:bottom w:w="100" w:type="dxa"/>
              <w:left w:w="150" w:type="dxa"/>
              <w:right w:w="150" w:type="dxa"/>
            </w:tcMar>
          </w:tcPr>
          <w:p>
            <w:r>
              <w:rPr>
                <w:color w:val="333333"/>
                <w:sz w:val="20"/>
              </w:rPr>
              <w:t>High</w:t>
            </w:r>
          </w:p>
        </w:tc>
      </w:tr>
      <w:tr>
        <w:tc>
          <w:tcPr>
            <w:tcW w:type="dxa" w:w="2340"/>
            <w:shd w:fill="F2F4F7"/>
            <w:tcMar>
              <w:top w:w="100" w:type="dxa"/>
              <w:bottom w:w="100" w:type="dxa"/>
              <w:left w:w="150" w:type="dxa"/>
              <w:right w:w="150" w:type="dxa"/>
            </w:tcMar>
          </w:tcPr>
          <w:p>
            <w:r>
              <w:rPr>
                <w:color w:val="333333"/>
                <w:sz w:val="20"/>
              </w:rPr>
              <w:t>BR-SYNC</w:t>
            </w:r>
          </w:p>
        </w:tc>
        <w:tc>
          <w:tcPr>
            <w:tcW w:type="dxa" w:w="2340"/>
            <w:shd w:fill="F2F4F7"/>
            <w:tcMar>
              <w:top w:w="100" w:type="dxa"/>
              <w:bottom w:w="100" w:type="dxa"/>
              <w:left w:w="150" w:type="dxa"/>
              <w:right w:w="150" w:type="dxa"/>
            </w:tcMar>
          </w:tcPr>
          <w:p>
            <w:r>
              <w:rPr>
                <w:color w:val="333333"/>
                <w:sz w:val="20"/>
              </w:rPr>
              <w:t>Customer Sync/Create</w:t>
            </w:r>
          </w:p>
        </w:tc>
        <w:tc>
          <w:tcPr>
            <w:tcW w:type="dxa" w:w="2340"/>
            <w:shd w:fill="F2F4F7"/>
            <w:tcMar>
              <w:top w:w="100" w:type="dxa"/>
              <w:bottom w:w="100" w:type="dxa"/>
              <w:left w:w="150" w:type="dxa"/>
              <w:right w:w="150" w:type="dxa"/>
            </w:tcMar>
          </w:tcPr>
          <w:p>
            <w:r>
              <w:rPr>
                <w:color w:val="333333"/>
                <w:sz w:val="20"/>
              </w:rPr>
              <w:t>Sync creates or updates according to contract, prevents duplicates/conflicts, and enforces authorization/validation rules.</w:t>
            </w:r>
          </w:p>
        </w:tc>
        <w:tc>
          <w:tcPr>
            <w:tcW w:type="dxa" w:w="2340"/>
            <w:shd w:fill="F2F4F7"/>
            <w:tcMar>
              <w:top w:w="100" w:type="dxa"/>
              <w:bottom w:w="100" w:type="dxa"/>
              <w:left w:w="150" w:type="dxa"/>
              <w:right w:w="150" w:type="dxa"/>
            </w:tcMar>
          </w:tcPr>
          <w:p>
            <w:r>
              <w:rPr>
                <w:color w:val="333333"/>
                <w:sz w:val="20"/>
              </w:rPr>
              <w:t>Critical</w:t>
            </w:r>
          </w:p>
        </w:tc>
      </w:tr>
    </w:tbl>
    <w:p>
      <w:pPr>
        <w:keepNext/>
        <w:spacing w:before="360" w:after="120"/>
      </w:pPr>
      <w:r>
        <w:rPr>
          <w:rFonts w:ascii="Calibri" w:hAnsi="Calibri"/>
          <w:b/>
          <w:color w:val="1B365D"/>
          <w:sz w:val="36"/>
        </w:rPr>
        <w:t>4. Non-functional Requirements</w:t>
      </w:r>
    </w:p>
    <w:p>
      <w:pPr>
        <w:spacing w:after="120" w:line="276" w:lineRule="auto"/>
      </w:pPr>
      <w:r>
        <w:rPr>
          <w:b w:val="0"/>
        </w:rPr>
        <w:t>• Performance: API endpoints must respond within 200ms under standard operational loads.</w:t>
      </w:r>
    </w:p>
    <w:p>
      <w:pPr>
        <w:spacing w:after="120" w:line="276" w:lineRule="auto"/>
      </w:pPr>
      <w:r>
        <w:rPr>
          <w:b w:val="0"/>
        </w:rPr>
        <w:t>• Reliability: Graceful degraded operation during relational database connection pooling stress.</w:t>
      </w:r>
    </w:p>
    <w:p>
      <w:pPr>
        <w:spacing w:after="120" w:line="276" w:lineRule="auto"/>
      </w:pPr>
      <w:r>
        <w:rPr>
          <w:b w:val="0"/>
        </w:rPr>
        <w:t>• Observability: Structured JSON logging across all components for automated ingestion by SIEM/data analysis pipelines.</w:t>
      </w:r>
    </w:p>
    <w:p>
      <w:pPr>
        <w:keepNext/>
        <w:spacing w:before="360" w:after="120"/>
      </w:pPr>
      <w:r>
        <w:rPr>
          <w:rFonts w:ascii="Calibri" w:hAnsi="Calibri"/>
          <w:b/>
          <w:color w:val="1B365D"/>
          <w:sz w:val="36"/>
        </w:rPr>
        <w:t>5. Technology Stack</w:t>
      </w:r>
    </w:p>
    <w:p>
      <w:pPr>
        <w:spacing w:after="120" w:line="276" w:lineRule="auto"/>
      </w:pPr>
      <w:r>
        <w:rPr>
          <w:b w:val="0"/>
        </w:rPr>
        <w:t>• Backend Engine: .NET Core / C# Ecosystem</w:t>
      </w:r>
    </w:p>
    <w:p>
      <w:pPr>
        <w:spacing w:after="120" w:line="276" w:lineRule="auto"/>
      </w:pPr>
      <w:r>
        <w:rPr>
          <w:b w:val="0"/>
        </w:rPr>
        <w:t>• Data Layer: Entity Framework Core with Microsoft SQL Server / PostgreSQL</w:t>
      </w:r>
    </w:p>
    <w:p>
      <w:pPr>
        <w:spacing w:after="120" w:line="276" w:lineRule="auto"/>
      </w:pPr>
      <w:r>
        <w:rPr>
          <w:b w:val="0"/>
        </w:rPr>
        <w:t>• Testing Ecosystem: xUnit, FluentAssertions, and Moq frameworks</w:t>
      </w:r>
    </w:p>
    <w:p>
      <w:pPr>
        <w:spacing w:after="120" w:line="276" w:lineRule="auto"/>
      </w:pPr>
      <w:r>
        <w:rPr>
          <w:b w:val="0"/>
        </w:rPr>
        <w:t>• Identity Management: Microsoft.AspNetCore.Authentication.JwtBearer</w:t>
      </w:r>
    </w:p>
    <w:p>
      <w:pPr>
        <w:keepNext/>
        <w:spacing w:before="360" w:after="120"/>
      </w:pPr>
      <w:r>
        <w:rPr>
          <w:rFonts w:ascii="Calibri" w:hAnsi="Calibri"/>
          <w:b/>
          <w:color w:val="1B365D"/>
          <w:sz w:val="36"/>
        </w:rPr>
        <w:t>6. Architecture &amp; System Topography</w:t>
      </w:r>
    </w:p>
    <w:p>
      <w:pPr>
        <w:spacing w:after="120" w:line="276" w:lineRule="auto"/>
      </w:pPr>
      <w:r>
        <w:rPr>
          <w:b w:val="0"/>
        </w:rPr>
        <w:t>The system follows an N-Tier architecture pattern optimized for continuous integration and data transparency:</w:t>
      </w:r>
    </w:p>
    <w:p>
      <w:pPr>
        <w:spacing w:after="120" w:line="276" w:lineRule="auto"/>
      </w:pPr>
      <w:r>
        <w:rPr>
          <w:b w:val="0"/>
        </w:rPr>
        <w:t>[Client / API Consumer] -&gt; [API Controllers / Routing] -&gt; [Validation Filters] -&gt; [Business Logic Layer] -&gt; [Data Repository Layer] -&gt; [SQL Database Engine]</w:t>
      </w:r>
    </w:p>
    <w:p>
      <w:pPr>
        <w:keepNext/>
        <w:spacing w:before="360" w:after="120"/>
      </w:pPr>
      <w:r>
        <w:rPr>
          <w:rFonts w:ascii="Calibri" w:hAnsi="Calibri"/>
          <w:b/>
          <w:color w:val="1B365D"/>
          <w:sz w:val="36"/>
        </w:rPr>
        <w:t>7. Database Design &amp; Integrity Constraints</w:t>
      </w:r>
    </w:p>
    <w:p>
      <w:pPr>
        <w:spacing w:after="120" w:line="276" w:lineRule="auto"/>
      </w:pPr>
      <w:r>
        <w:rPr>
          <w:b w:val="0"/>
        </w:rPr>
        <w:t>Data integrity is maintained through relational constraints, foreign key mappings, and strict Soft-Delete architecture via an IsDeleted bit column. Indexes are assigned to high-frequency query fields including Customer Natural Keys, CRM GUIDs, and Assigned QA User IDs.</w:t>
      </w:r>
    </w:p>
    <w:p>
      <w:pPr>
        <w:keepNext/>
        <w:spacing w:before="360" w:after="120"/>
      </w:pPr>
      <w:r>
        <w:rPr>
          <w:rFonts w:ascii="Calibri" w:hAnsi="Calibri"/>
          <w:b/>
          <w:color w:val="1B365D"/>
          <w:sz w:val="36"/>
        </w:rPr>
        <w:t>8. Security Design &amp; Threat Mitigation</w:t>
      </w:r>
    </w:p>
    <w:p>
      <w:pPr>
        <w:spacing w:after="120" w:line="276" w:lineRule="auto"/>
      </w:pPr>
      <w:r>
        <w:rPr>
          <w:b w:val="0"/>
        </w:rPr>
        <w:t>Threat mitigation focuses on structural input sanitization, cross-site scripting (XSS) prevention through strict object mapping, and cryptographic security using HMAC-SHA256 signatures for token verification. Anonymous access is strictly rejected across all domain endpoints, save for the explicit authorization token creation route.</w:t>
      </w:r>
    </w:p>
    <w:p>
      <w:pPr>
        <w:keepNext/>
        <w:spacing w:before="360" w:after="120"/>
      </w:pPr>
      <w:r>
        <w:rPr>
          <w:rFonts w:ascii="Calibri" w:hAnsi="Calibri"/>
          <w:b/>
          <w:color w:val="1B365D"/>
          <w:sz w:val="36"/>
        </w:rPr>
        <w:t>9. Enterprise Business Rules</w:t>
      </w:r>
    </w:p>
    <w:p>
      <w:pPr>
        <w:spacing w:after="120" w:line="276" w:lineRule="auto"/>
      </w:pPr>
      <w:r>
        <w:rPr>
          <w:b w:val="0"/>
        </w:rPr>
        <w:t>• Ownership Rules: QA operators are constrained strictly to records explicitly assigned within their regional rule scopes.</w:t>
      </w:r>
    </w:p>
    <w:p>
      <w:pPr>
        <w:spacing w:after="120" w:line="276" w:lineRule="auto"/>
      </w:pPr>
      <w:r>
        <w:rPr>
          <w:b w:val="0"/>
        </w:rPr>
        <w:t>• Sync Resolution: When duplicate incoming records map against an active or soft-deleted profile, conflict resolution pipelines trigger deterministic state merges or return 409 Conflict flags.</w:t>
      </w:r>
    </w:p>
    <w:p>
      <w:pPr>
        <w:keepNext/>
        <w:spacing w:before="360" w:after="120"/>
      </w:pPr>
      <w:r>
        <w:rPr>
          <w:rFonts w:ascii="Calibri" w:hAnsi="Calibri"/>
          <w:b/>
          <w:color w:val="1B365D"/>
          <w:sz w:val="36"/>
        </w:rPr>
        <w:t>10. Authentication Matrix</w:t>
      </w:r>
    </w:p>
    <w:p>
      <w:pPr>
        <w:spacing w:after="120" w:line="276" w:lineRule="auto"/>
      </w:pPr>
      <w:r>
        <w:rPr>
          <w:b w:val="0"/>
        </w:rPr>
        <w:t>Authentication requires an Authorization header using the 'Bearer {JWT}' scheme. Tokens must contain explicit Issuer, Audience, Expiration Timestamp, and unique Identity Provider claims to be verified as authentic.</w:t>
      </w:r>
    </w:p>
    <w:p>
      <w:pPr>
        <w:keepNext/>
        <w:spacing w:before="360" w:after="120"/>
      </w:pPr>
      <w:r>
        <w:rPr>
          <w:rFonts w:ascii="Calibri" w:hAnsi="Calibri"/>
          <w:b/>
          <w:color w:val="1B365D"/>
          <w:sz w:val="36"/>
        </w:rPr>
        <w:t>11. Authorization Matrix</w:t>
      </w:r>
    </w:p>
    <w:p>
      <w:pPr>
        <w:spacing w:after="120" w:line="276" w:lineRule="auto"/>
      </w:pPr>
      <w:r>
        <w:rPr>
          <w:b w:val="0"/>
        </w:rPr>
        <w:t>The following live authorization matrix outlines role access control limitations: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50" w:type="dxa"/>
              <w:right w:w="150" w:type="dxa"/>
            </w:tcMar>
          </w:tcPr>
          <w:p>
            <w:pPr>
              <w:jc w:val="left"/>
            </w:pPr>
            <w:r>
              <w:rPr>
                <w:b/>
                <w:color w:val="FFFFFF"/>
                <w:sz w:val="20"/>
              </w:rPr>
              <w:t>Endpoint</w:t>
            </w:r>
          </w:p>
        </w:tc>
        <w:tc>
          <w:tcPr>
            <w:tcW w:type="dxa" w:w="2340"/>
            <w:shd w:fill="1B365D"/>
            <w:tcMar>
              <w:top w:w="100" w:type="dxa"/>
              <w:bottom w:w="100" w:type="dxa"/>
              <w:left w:w="150" w:type="dxa"/>
              <w:right w:w="150" w:type="dxa"/>
            </w:tcMar>
          </w:tcPr>
          <w:p>
            <w:pPr>
              <w:jc w:val="left"/>
            </w:pPr>
            <w:r>
              <w:rPr>
                <w:b/>
                <w:color w:val="FFFFFF"/>
                <w:sz w:val="20"/>
              </w:rPr>
              <w:t>Role</w:t>
            </w:r>
          </w:p>
        </w:tc>
        <w:tc>
          <w:tcPr>
            <w:tcW w:type="dxa" w:w="2340"/>
            <w:shd w:fill="1B365D"/>
            <w:tcMar>
              <w:top w:w="100" w:type="dxa"/>
              <w:bottom w:w="100" w:type="dxa"/>
              <w:left w:w="150" w:type="dxa"/>
              <w:right w:w="150" w:type="dxa"/>
            </w:tcMar>
          </w:tcPr>
          <w:p>
            <w:pPr>
              <w:jc w:val="left"/>
            </w:pPr>
            <w:r>
              <w:rPr>
                <w:b/>
                <w:color w:val="FFFFFF"/>
                <w:sz w:val="20"/>
              </w:rPr>
              <w:t>Access Rule</w:t>
            </w:r>
          </w:p>
        </w:tc>
        <w:tc>
          <w:tcPr>
            <w:tcW w:type="dxa" w:w="2340"/>
            <w:shd w:fill="1B365D"/>
            <w:tcMar>
              <w:top w:w="100" w:type="dxa"/>
              <w:bottom w:w="100" w:type="dxa"/>
              <w:left w:w="150" w:type="dxa"/>
              <w:right w:w="150" w:type="dxa"/>
            </w:tcMar>
          </w:tcPr>
          <w:p>
            <w:pPr>
              <w:jc w:val="left"/>
            </w:pPr>
            <w:r>
              <w:rPr>
                <w:b/>
                <w:color w:val="FFFFFF"/>
                <w:sz w:val="20"/>
              </w:rPr>
              <w:t>Notes</w:t>
            </w:r>
          </w:p>
        </w:tc>
      </w:tr>
      <w:tr>
        <w:tc>
          <w:tcPr>
            <w:tcW w:type="dxa" w:w="2340"/>
            <w:shd w:fill="FFFFFF"/>
            <w:tcMar>
              <w:top w:w="100" w:type="dxa"/>
              <w:bottom w:w="100" w:type="dxa"/>
              <w:left w:w="150" w:type="dxa"/>
              <w:right w:w="150" w:type="dxa"/>
            </w:tcMar>
          </w:tcPr>
          <w:p>
            <w:r>
              <w:rPr>
                <w:color w:val="333333"/>
                <w:sz w:val="20"/>
              </w:rPr>
              <w:t>/api/auth/login</w:t>
            </w:r>
          </w:p>
        </w:tc>
        <w:tc>
          <w:tcPr>
            <w:tcW w:type="dxa" w:w="2340"/>
            <w:shd w:fill="FFFFFF"/>
            <w:tcMar>
              <w:top w:w="100" w:type="dxa"/>
              <w:bottom w:w="100" w:type="dxa"/>
              <w:left w:w="150" w:type="dxa"/>
              <w:right w:w="150" w:type="dxa"/>
            </w:tcMar>
          </w:tcPr>
          <w:p>
            <w:r>
              <w:rPr>
                <w:color w:val="333333"/>
                <w:sz w:val="20"/>
              </w:rPr>
              <w:t>Anonymous</w:t>
            </w:r>
          </w:p>
        </w:tc>
        <w:tc>
          <w:tcPr>
            <w:tcW w:type="dxa" w:w="2340"/>
            <w:shd w:fill="FFFFFF"/>
            <w:tcMar>
              <w:top w:w="100" w:type="dxa"/>
              <w:bottom w:w="100" w:type="dxa"/>
              <w:left w:w="150" w:type="dxa"/>
              <w:right w:w="150" w:type="dxa"/>
            </w:tcMar>
          </w:tcPr>
          <w:p>
            <w:r>
              <w:rPr>
                <w:color w:val="333333"/>
                <w:sz w:val="20"/>
              </w:rPr>
              <w:t>Allowed</w:t>
            </w:r>
          </w:p>
        </w:tc>
        <w:tc>
          <w:tcPr>
            <w:tcW w:type="dxa" w:w="2340"/>
            <w:shd w:fill="FFFFFF"/>
            <w:tcMar>
              <w:top w:w="100" w:type="dxa"/>
              <w:bottom w:w="100" w:type="dxa"/>
              <w:left w:w="150" w:type="dxa"/>
              <w:right w:w="150" w:type="dxa"/>
            </w:tcMar>
          </w:tcPr>
          <w:p>
            <w:r>
              <w:rPr>
                <w:color w:val="333333"/>
                <w:sz w:val="20"/>
              </w:rPr>
              <w:t>Login endpoint</w:t>
            </w:r>
          </w:p>
        </w:tc>
      </w:tr>
      <w:tr>
        <w:tc>
          <w:tcPr>
            <w:tcW w:type="dxa" w:w="2340"/>
            <w:shd w:fill="F2F4F7"/>
            <w:tcMar>
              <w:top w:w="100" w:type="dxa"/>
              <w:bottom w:w="100" w:type="dxa"/>
              <w:left w:w="150" w:type="dxa"/>
              <w:right w:w="150" w:type="dxa"/>
            </w:tcMar>
          </w:tcPr>
          <w:p>
            <w:r>
              <w:rPr>
                <w:color w:val="333333"/>
                <w:sz w:val="20"/>
              </w:rPr>
              <w:t>/api/customers/{id}</w:t>
            </w:r>
          </w:p>
        </w:tc>
        <w:tc>
          <w:tcPr>
            <w:tcW w:type="dxa" w:w="2340"/>
            <w:shd w:fill="F2F4F7"/>
            <w:tcMar>
              <w:top w:w="100" w:type="dxa"/>
              <w:bottom w:w="100" w:type="dxa"/>
              <w:left w:w="150" w:type="dxa"/>
              <w:right w:w="150" w:type="dxa"/>
            </w:tcMar>
          </w:tcPr>
          <w:p>
            <w:r>
              <w:rPr>
                <w:color w:val="333333"/>
                <w:sz w:val="20"/>
              </w:rPr>
              <w:t>Admin</w:t>
            </w:r>
          </w:p>
        </w:tc>
        <w:tc>
          <w:tcPr>
            <w:tcW w:type="dxa" w:w="2340"/>
            <w:shd w:fill="F2F4F7"/>
            <w:tcMar>
              <w:top w:w="100" w:type="dxa"/>
              <w:bottom w:w="100" w:type="dxa"/>
              <w:left w:w="150" w:type="dxa"/>
              <w:right w:w="150" w:type="dxa"/>
            </w:tcMar>
          </w:tcPr>
          <w:p>
            <w:r>
              <w:rPr>
                <w:color w:val="333333"/>
                <w:sz w:val="20"/>
              </w:rPr>
              <w:t>Allow any customer</w:t>
            </w:r>
          </w:p>
        </w:tc>
        <w:tc>
          <w:tcPr>
            <w:tcW w:type="dxa" w:w="2340"/>
            <w:shd w:fill="F2F4F7"/>
            <w:tcMar>
              <w:top w:w="100" w:type="dxa"/>
              <w:bottom w:w="100" w:type="dxa"/>
              <w:left w:w="150" w:type="dxa"/>
              <w:right w:w="150" w:type="dxa"/>
            </w:tcMar>
          </w:tcPr>
          <w:p>
            <w:r>
              <w:rPr>
                <w:color w:val="333333"/>
                <w:sz w:val="20"/>
              </w:rPr>
              <w:t>Read</w:t>
            </w:r>
          </w:p>
        </w:tc>
      </w:tr>
      <w:tr>
        <w:tc>
          <w:tcPr>
            <w:tcW w:type="dxa" w:w="2340"/>
            <w:shd w:fill="FFFFFF"/>
            <w:tcMar>
              <w:top w:w="100" w:type="dxa"/>
              <w:bottom w:w="100" w:type="dxa"/>
              <w:left w:w="150" w:type="dxa"/>
              <w:right w:w="150" w:type="dxa"/>
            </w:tcMar>
          </w:tcPr>
          <w:p>
            <w:r>
              <w:rPr>
                <w:color w:val="333333"/>
                <w:sz w:val="20"/>
              </w:rPr>
              <w:t>/api/customers/{id}</w:t>
            </w:r>
          </w:p>
        </w:tc>
        <w:tc>
          <w:tcPr>
            <w:tcW w:type="dxa" w:w="2340"/>
            <w:shd w:fill="FFFFFF"/>
            <w:tcMar>
              <w:top w:w="100" w:type="dxa"/>
              <w:bottom w:w="100" w:type="dxa"/>
              <w:left w:w="150" w:type="dxa"/>
              <w:right w:w="150" w:type="dxa"/>
            </w:tcMar>
          </w:tcPr>
          <w:p>
            <w:r>
              <w:rPr>
                <w:color w:val="333333"/>
                <w:sz w:val="20"/>
              </w:rPr>
              <w:t>QA</w:t>
            </w:r>
          </w:p>
        </w:tc>
        <w:tc>
          <w:tcPr>
            <w:tcW w:type="dxa" w:w="2340"/>
            <w:shd w:fill="FFFFFF"/>
            <w:tcMar>
              <w:top w:w="100" w:type="dxa"/>
              <w:bottom w:w="100" w:type="dxa"/>
              <w:left w:w="150" w:type="dxa"/>
              <w:right w:w="150" w:type="dxa"/>
            </w:tcMar>
          </w:tcPr>
          <w:p>
            <w:r>
              <w:rPr>
                <w:color w:val="333333"/>
                <w:sz w:val="20"/>
              </w:rPr>
              <w:t>Allow assigned/owned customers only</w:t>
            </w:r>
          </w:p>
        </w:tc>
        <w:tc>
          <w:tcPr>
            <w:tcW w:type="dxa" w:w="2340"/>
            <w:shd w:fill="FFFFFF"/>
            <w:tcMar>
              <w:top w:w="100" w:type="dxa"/>
              <w:bottom w:w="100" w:type="dxa"/>
              <w:left w:w="150" w:type="dxa"/>
              <w:right w:w="150" w:type="dxa"/>
            </w:tcMar>
          </w:tcPr>
          <w:p>
            <w:r>
              <w:rPr>
                <w:color w:val="333333"/>
                <w:sz w:val="20"/>
              </w:rPr>
              <w:t>Read</w:t>
            </w:r>
          </w:p>
        </w:tc>
      </w:tr>
      <w:tr>
        <w:tc>
          <w:tcPr>
            <w:tcW w:type="dxa" w:w="2340"/>
            <w:shd w:fill="F2F4F7"/>
            <w:tcMar>
              <w:top w:w="100" w:type="dxa"/>
              <w:bottom w:w="100" w:type="dxa"/>
              <w:left w:w="150" w:type="dxa"/>
              <w:right w:w="150" w:type="dxa"/>
            </w:tcMar>
          </w:tcPr>
          <w:p>
            <w:r>
              <w:rPr>
                <w:color w:val="333333"/>
                <w:sz w:val="20"/>
              </w:rPr>
              <w:t>/api/customers/{id}</w:t>
            </w:r>
          </w:p>
        </w:tc>
        <w:tc>
          <w:tcPr>
            <w:tcW w:type="dxa" w:w="2340"/>
            <w:shd w:fill="F2F4F7"/>
            <w:tcMar>
              <w:top w:w="100" w:type="dxa"/>
              <w:bottom w:w="100" w:type="dxa"/>
              <w:left w:w="150" w:type="dxa"/>
              <w:right w:w="150" w:type="dxa"/>
            </w:tcMar>
          </w:tcPr>
          <w:p>
            <w:r>
              <w:rPr>
                <w:color w:val="333333"/>
                <w:sz w:val="20"/>
              </w:rPr>
              <w:t>Customer</w:t>
            </w:r>
          </w:p>
        </w:tc>
        <w:tc>
          <w:tcPr>
            <w:tcW w:type="dxa" w:w="2340"/>
            <w:shd w:fill="F2F4F7"/>
            <w:tcMar>
              <w:top w:w="100" w:type="dxa"/>
              <w:bottom w:w="100" w:type="dxa"/>
              <w:left w:w="150" w:type="dxa"/>
              <w:right w:w="150" w:type="dxa"/>
            </w:tcMar>
          </w:tcPr>
          <w:p>
            <w:r>
              <w:rPr>
                <w:color w:val="333333"/>
                <w:sz w:val="20"/>
              </w:rPr>
              <w:t>Allow own record only</w:t>
            </w:r>
          </w:p>
        </w:tc>
        <w:tc>
          <w:tcPr>
            <w:tcW w:type="dxa" w:w="2340"/>
            <w:shd w:fill="F2F4F7"/>
            <w:tcMar>
              <w:top w:w="100" w:type="dxa"/>
              <w:bottom w:w="100" w:type="dxa"/>
              <w:left w:w="150" w:type="dxa"/>
              <w:right w:w="150" w:type="dxa"/>
            </w:tcMar>
          </w:tcPr>
          <w:p>
            <w:r>
              <w:rPr>
                <w:color w:val="333333"/>
                <w:sz w:val="20"/>
              </w:rPr>
              <w:t>Read</w:t>
            </w:r>
          </w:p>
        </w:tc>
      </w:tr>
      <w:tr>
        <w:tc>
          <w:tcPr>
            <w:tcW w:type="dxa" w:w="2340"/>
            <w:shd w:fill="FFFFFF"/>
            <w:tcMar>
              <w:top w:w="100" w:type="dxa"/>
              <w:bottom w:w="100" w:type="dxa"/>
              <w:left w:w="150" w:type="dxa"/>
              <w:right w:w="150" w:type="dxa"/>
            </w:tcMar>
          </w:tcPr>
          <w:p>
            <w:r>
              <w:rPr>
                <w:color w:val="333333"/>
                <w:sz w:val="20"/>
              </w:rPr>
              <w:t>/api/customers/{id}</w:t>
            </w:r>
          </w:p>
        </w:tc>
        <w:tc>
          <w:tcPr>
            <w:tcW w:type="dxa" w:w="2340"/>
            <w:shd w:fill="FFFFFF"/>
            <w:tcMar>
              <w:top w:w="100" w:type="dxa"/>
              <w:bottom w:w="100" w:type="dxa"/>
              <w:left w:w="150" w:type="dxa"/>
              <w:right w:w="150" w:type="dxa"/>
            </w:tcMar>
          </w:tcPr>
          <w:p>
            <w:r>
              <w:rPr>
                <w:color w:val="333333"/>
                <w:sz w:val="20"/>
              </w:rPr>
              <w:t>Null/Anonymous/Unsupported role</w:t>
            </w:r>
          </w:p>
        </w:tc>
        <w:tc>
          <w:tcPr>
            <w:tcW w:type="dxa" w:w="2340"/>
            <w:shd w:fill="FFFFFF"/>
            <w:tcMar>
              <w:top w:w="100" w:type="dxa"/>
              <w:bottom w:w="100" w:type="dxa"/>
              <w:left w:w="150" w:type="dxa"/>
              <w:right w:w="150" w:type="dxa"/>
            </w:tcMar>
          </w:tcPr>
          <w:p>
            <w:r>
              <w:rPr>
                <w:color w:val="333333"/>
                <w:sz w:val="20"/>
              </w:rPr>
              <w:t>Deny (403)</w:t>
            </w:r>
          </w:p>
        </w:tc>
        <w:tc>
          <w:tcPr>
            <w:tcW w:type="dxa" w:w="2340"/>
            <w:shd w:fill="FFFFFF"/>
            <w:tcMar>
              <w:top w:w="100" w:type="dxa"/>
              <w:bottom w:w="100" w:type="dxa"/>
              <w:left w:w="150" w:type="dxa"/>
              <w:right w:w="150" w:type="dxa"/>
            </w:tcMar>
          </w:tcPr>
          <w:p>
            <w:r>
              <w:rPr>
                <w:color w:val="333333"/>
                <w:sz w:val="20"/>
              </w:rPr>
              <w:t>Read</w:t>
            </w:r>
          </w:p>
        </w:tc>
      </w:tr>
      <w:tr>
        <w:tc>
          <w:tcPr>
            <w:tcW w:type="dxa" w:w="2340"/>
            <w:shd w:fill="F2F4F7"/>
            <w:tcMar>
              <w:top w:w="100" w:type="dxa"/>
              <w:bottom w:w="100" w:type="dxa"/>
              <w:left w:w="150" w:type="dxa"/>
              <w:right w:w="150" w:type="dxa"/>
            </w:tcMar>
          </w:tcPr>
          <w:p>
            <w:r>
              <w:rPr>
                <w:color w:val="333333"/>
                <w:sz w:val="20"/>
              </w:rPr>
              <w:t>PUT /api/customers/{id}</w:t>
            </w:r>
          </w:p>
        </w:tc>
        <w:tc>
          <w:tcPr>
            <w:tcW w:type="dxa" w:w="2340"/>
            <w:shd w:fill="F2F4F7"/>
            <w:tcMar>
              <w:top w:w="100" w:type="dxa"/>
              <w:bottom w:w="100" w:type="dxa"/>
              <w:left w:w="150" w:type="dxa"/>
              <w:right w:w="150" w:type="dxa"/>
            </w:tcMar>
          </w:tcPr>
          <w:p>
            <w:r>
              <w:rPr>
                <w:color w:val="333333"/>
                <w:sz w:val="20"/>
              </w:rPr>
              <w:t>Admin</w:t>
            </w:r>
          </w:p>
        </w:tc>
        <w:tc>
          <w:tcPr>
            <w:tcW w:type="dxa" w:w="2340"/>
            <w:shd w:fill="F2F4F7"/>
            <w:tcMar>
              <w:top w:w="100" w:type="dxa"/>
              <w:bottom w:w="100" w:type="dxa"/>
              <w:left w:w="150" w:type="dxa"/>
              <w:right w:w="150" w:type="dxa"/>
            </w:tcMar>
          </w:tcPr>
          <w:p>
            <w:r>
              <w:rPr>
                <w:color w:val="333333"/>
                <w:sz w:val="20"/>
              </w:rPr>
              <w:t>Allow any customer</w:t>
            </w:r>
          </w:p>
        </w:tc>
        <w:tc>
          <w:tcPr>
            <w:tcW w:type="dxa" w:w="2340"/>
            <w:shd w:fill="F2F4F7"/>
            <w:tcMar>
              <w:top w:w="100" w:type="dxa"/>
              <w:bottom w:w="100" w:type="dxa"/>
              <w:left w:w="150" w:type="dxa"/>
              <w:right w:w="150" w:type="dxa"/>
            </w:tcMar>
          </w:tcPr>
          <w:p>
            <w:r>
              <w:rPr>
                <w:color w:val="333333"/>
                <w:sz w:val="20"/>
              </w:rPr>
              <w:t>Update</w:t>
            </w:r>
          </w:p>
        </w:tc>
      </w:tr>
      <w:tr>
        <w:tc>
          <w:tcPr>
            <w:tcW w:type="dxa" w:w="2340"/>
            <w:shd w:fill="FFFFFF"/>
            <w:tcMar>
              <w:top w:w="100" w:type="dxa"/>
              <w:bottom w:w="100" w:type="dxa"/>
              <w:left w:w="150" w:type="dxa"/>
              <w:right w:w="150" w:type="dxa"/>
            </w:tcMar>
          </w:tcPr>
          <w:p>
            <w:r>
              <w:rPr>
                <w:color w:val="333333"/>
                <w:sz w:val="20"/>
              </w:rPr>
              <w:t>PUT /api/customers/{id}</w:t>
            </w:r>
          </w:p>
        </w:tc>
        <w:tc>
          <w:tcPr>
            <w:tcW w:type="dxa" w:w="2340"/>
            <w:shd w:fill="FFFFFF"/>
            <w:tcMar>
              <w:top w:w="100" w:type="dxa"/>
              <w:bottom w:w="100" w:type="dxa"/>
              <w:left w:w="150" w:type="dxa"/>
              <w:right w:w="150" w:type="dxa"/>
            </w:tcMar>
          </w:tcPr>
          <w:p>
            <w:r>
              <w:rPr>
                <w:color w:val="333333"/>
                <w:sz w:val="20"/>
              </w:rPr>
              <w:t>QA</w:t>
            </w:r>
          </w:p>
        </w:tc>
        <w:tc>
          <w:tcPr>
            <w:tcW w:type="dxa" w:w="2340"/>
            <w:shd w:fill="FFFFFF"/>
            <w:tcMar>
              <w:top w:w="100" w:type="dxa"/>
              <w:bottom w:w="100" w:type="dxa"/>
              <w:left w:w="150" w:type="dxa"/>
              <w:right w:w="150" w:type="dxa"/>
            </w:tcMar>
          </w:tcPr>
          <w:p>
            <w:r>
              <w:rPr>
                <w:color w:val="333333"/>
                <w:sz w:val="20"/>
              </w:rPr>
              <w:t>Allow assigned/owned customers only</w:t>
            </w:r>
          </w:p>
        </w:tc>
        <w:tc>
          <w:tcPr>
            <w:tcW w:type="dxa" w:w="2340"/>
            <w:shd w:fill="FFFFFF"/>
            <w:tcMar>
              <w:top w:w="100" w:type="dxa"/>
              <w:bottom w:w="100" w:type="dxa"/>
              <w:left w:w="150" w:type="dxa"/>
              <w:right w:w="150" w:type="dxa"/>
            </w:tcMar>
          </w:tcPr>
          <w:p>
            <w:r>
              <w:rPr>
                <w:color w:val="333333"/>
                <w:sz w:val="20"/>
              </w:rPr>
              <w:t>Update</w:t>
            </w:r>
          </w:p>
        </w:tc>
      </w:tr>
      <w:tr>
        <w:tc>
          <w:tcPr>
            <w:tcW w:type="dxa" w:w="2340"/>
            <w:shd w:fill="F2F4F7"/>
            <w:tcMar>
              <w:top w:w="100" w:type="dxa"/>
              <w:bottom w:w="100" w:type="dxa"/>
              <w:left w:w="150" w:type="dxa"/>
              <w:right w:w="150" w:type="dxa"/>
            </w:tcMar>
          </w:tcPr>
          <w:p>
            <w:r>
              <w:rPr>
                <w:color w:val="333333"/>
                <w:sz w:val="20"/>
              </w:rPr>
              <w:t>PUT /api/customers/{id}</w:t>
            </w:r>
          </w:p>
        </w:tc>
        <w:tc>
          <w:tcPr>
            <w:tcW w:type="dxa" w:w="2340"/>
            <w:shd w:fill="F2F4F7"/>
            <w:tcMar>
              <w:top w:w="100" w:type="dxa"/>
              <w:bottom w:w="100" w:type="dxa"/>
              <w:left w:w="150" w:type="dxa"/>
              <w:right w:w="150" w:type="dxa"/>
            </w:tcMar>
          </w:tcPr>
          <w:p>
            <w:r>
              <w:rPr>
                <w:color w:val="333333"/>
                <w:sz w:val="20"/>
              </w:rPr>
              <w:t>Customer</w:t>
            </w:r>
          </w:p>
        </w:tc>
        <w:tc>
          <w:tcPr>
            <w:tcW w:type="dxa" w:w="2340"/>
            <w:shd w:fill="F2F4F7"/>
            <w:tcMar>
              <w:top w:w="100" w:type="dxa"/>
              <w:bottom w:w="100" w:type="dxa"/>
              <w:left w:w="150" w:type="dxa"/>
              <w:right w:w="150" w:type="dxa"/>
            </w:tcMar>
          </w:tcPr>
          <w:p>
            <w:r>
              <w:rPr>
                <w:color w:val="333333"/>
                <w:sz w:val="20"/>
              </w:rPr>
              <w:t>Allow own record only</w:t>
            </w:r>
          </w:p>
        </w:tc>
        <w:tc>
          <w:tcPr>
            <w:tcW w:type="dxa" w:w="2340"/>
            <w:shd w:fill="F2F4F7"/>
            <w:tcMar>
              <w:top w:w="100" w:type="dxa"/>
              <w:bottom w:w="100" w:type="dxa"/>
              <w:left w:w="150" w:type="dxa"/>
              <w:right w:w="150" w:type="dxa"/>
            </w:tcMar>
          </w:tcPr>
          <w:p>
            <w:r>
              <w:rPr>
                <w:color w:val="333333"/>
                <w:sz w:val="20"/>
              </w:rPr>
              <w:t>Update</w:t>
            </w:r>
          </w:p>
        </w:tc>
      </w:tr>
      <w:tr>
        <w:tc>
          <w:tcPr>
            <w:tcW w:type="dxa" w:w="2340"/>
            <w:shd w:fill="FFFFFF"/>
            <w:tcMar>
              <w:top w:w="100" w:type="dxa"/>
              <w:bottom w:w="100" w:type="dxa"/>
              <w:left w:w="150" w:type="dxa"/>
              <w:right w:w="150" w:type="dxa"/>
            </w:tcMar>
          </w:tcPr>
          <w:p>
            <w:r>
              <w:rPr>
                <w:color w:val="333333"/>
                <w:sz w:val="20"/>
              </w:rPr>
              <w:t>PUT /api/customers/{id}</w:t>
            </w:r>
          </w:p>
        </w:tc>
        <w:tc>
          <w:tcPr>
            <w:tcW w:type="dxa" w:w="2340"/>
            <w:shd w:fill="FFFFFF"/>
            <w:tcMar>
              <w:top w:w="100" w:type="dxa"/>
              <w:bottom w:w="100" w:type="dxa"/>
              <w:left w:w="150" w:type="dxa"/>
              <w:right w:w="150" w:type="dxa"/>
            </w:tcMar>
          </w:tcPr>
          <w:p>
            <w:r>
              <w:rPr>
                <w:color w:val="333333"/>
                <w:sz w:val="20"/>
              </w:rPr>
              <w:t>Null/Anonymous/Unsupported role</w:t>
            </w:r>
          </w:p>
        </w:tc>
        <w:tc>
          <w:tcPr>
            <w:tcW w:type="dxa" w:w="2340"/>
            <w:shd w:fill="FFFFFF"/>
            <w:tcMar>
              <w:top w:w="100" w:type="dxa"/>
              <w:bottom w:w="100" w:type="dxa"/>
              <w:left w:w="150" w:type="dxa"/>
              <w:right w:w="150" w:type="dxa"/>
            </w:tcMar>
          </w:tcPr>
          <w:p>
            <w:r>
              <w:rPr>
                <w:color w:val="333333"/>
                <w:sz w:val="20"/>
              </w:rPr>
              <w:t>Deny (403)</w:t>
            </w:r>
          </w:p>
        </w:tc>
        <w:tc>
          <w:tcPr>
            <w:tcW w:type="dxa" w:w="2340"/>
            <w:shd w:fill="FFFFFF"/>
            <w:tcMar>
              <w:top w:w="100" w:type="dxa"/>
              <w:bottom w:w="100" w:type="dxa"/>
              <w:left w:w="150" w:type="dxa"/>
              <w:right w:w="150" w:type="dxa"/>
            </w:tcMar>
          </w:tcPr>
          <w:p>
            <w:r>
              <w:rPr>
                <w:color w:val="333333"/>
                <w:sz w:val="20"/>
              </w:rPr>
              <w:t>Update</w:t>
            </w:r>
          </w:p>
        </w:tc>
      </w:tr>
      <w:tr>
        <w:tc>
          <w:tcPr>
            <w:tcW w:type="dxa" w:w="2340"/>
            <w:shd w:fill="F2F4F7"/>
            <w:tcMar>
              <w:top w:w="100" w:type="dxa"/>
              <w:bottom w:w="100" w:type="dxa"/>
              <w:left w:w="150" w:type="dxa"/>
              <w:right w:w="150" w:type="dxa"/>
            </w:tcMar>
          </w:tcPr>
          <w:p>
            <w:r>
              <w:rPr>
                <w:color w:val="333333"/>
                <w:sz w:val="20"/>
              </w:rPr>
              <w:t>DELETE /api/customers/{id}</w:t>
            </w:r>
          </w:p>
        </w:tc>
        <w:tc>
          <w:tcPr>
            <w:tcW w:type="dxa" w:w="2340"/>
            <w:shd w:fill="F2F4F7"/>
            <w:tcMar>
              <w:top w:w="100" w:type="dxa"/>
              <w:bottom w:w="100" w:type="dxa"/>
              <w:left w:w="150" w:type="dxa"/>
              <w:right w:w="150" w:type="dxa"/>
            </w:tcMar>
          </w:tcPr>
          <w:p>
            <w:r>
              <w:rPr>
                <w:color w:val="333333"/>
                <w:sz w:val="20"/>
              </w:rPr>
              <w:t>Admin</w:t>
            </w:r>
          </w:p>
        </w:tc>
        <w:tc>
          <w:tcPr>
            <w:tcW w:type="dxa" w:w="2340"/>
            <w:shd w:fill="F2F4F7"/>
            <w:tcMar>
              <w:top w:w="100" w:type="dxa"/>
              <w:bottom w:w="100" w:type="dxa"/>
              <w:left w:w="150" w:type="dxa"/>
              <w:right w:w="150" w:type="dxa"/>
            </w:tcMar>
          </w:tcPr>
          <w:p>
            <w:r>
              <w:rPr>
                <w:color w:val="333333"/>
                <w:sz w:val="20"/>
              </w:rPr>
              <w:t>Allow any customer</w:t>
            </w:r>
          </w:p>
        </w:tc>
        <w:tc>
          <w:tcPr>
            <w:tcW w:type="dxa" w:w="2340"/>
            <w:shd w:fill="F2F4F7"/>
            <w:tcMar>
              <w:top w:w="100" w:type="dxa"/>
              <w:bottom w:w="100" w:type="dxa"/>
              <w:left w:w="150" w:type="dxa"/>
              <w:right w:w="150" w:type="dxa"/>
            </w:tcMar>
          </w:tcPr>
          <w:p>
            <w:r>
              <w:rPr>
                <w:color w:val="333333"/>
                <w:sz w:val="20"/>
              </w:rPr>
              <w:t>Delete</w:t>
            </w:r>
          </w:p>
        </w:tc>
      </w:tr>
      <w:tr>
        <w:tc>
          <w:tcPr>
            <w:tcW w:type="dxa" w:w="2340"/>
            <w:shd w:fill="FFFFFF"/>
            <w:tcMar>
              <w:top w:w="100" w:type="dxa"/>
              <w:bottom w:w="100" w:type="dxa"/>
              <w:left w:w="150" w:type="dxa"/>
              <w:right w:w="150" w:type="dxa"/>
            </w:tcMar>
          </w:tcPr>
          <w:p>
            <w:r>
              <w:rPr>
                <w:color w:val="333333"/>
                <w:sz w:val="20"/>
              </w:rPr>
              <w:t>DELETE /api/customers/{id}</w:t>
            </w:r>
          </w:p>
        </w:tc>
        <w:tc>
          <w:tcPr>
            <w:tcW w:type="dxa" w:w="2340"/>
            <w:shd w:fill="FFFFFF"/>
            <w:tcMar>
              <w:top w:w="100" w:type="dxa"/>
              <w:bottom w:w="100" w:type="dxa"/>
              <w:left w:w="150" w:type="dxa"/>
              <w:right w:w="150" w:type="dxa"/>
            </w:tcMar>
          </w:tcPr>
          <w:p>
            <w:r>
              <w:rPr>
                <w:color w:val="333333"/>
                <w:sz w:val="20"/>
              </w:rPr>
              <w:t>QA</w:t>
            </w:r>
          </w:p>
        </w:tc>
        <w:tc>
          <w:tcPr>
            <w:tcW w:type="dxa" w:w="2340"/>
            <w:shd w:fill="FFFFFF"/>
            <w:tcMar>
              <w:top w:w="100" w:type="dxa"/>
              <w:bottom w:w="100" w:type="dxa"/>
              <w:left w:w="150" w:type="dxa"/>
              <w:right w:w="150" w:type="dxa"/>
            </w:tcMar>
          </w:tcPr>
          <w:p>
            <w:r>
              <w:rPr>
                <w:color w:val="333333"/>
                <w:sz w:val="20"/>
              </w:rPr>
              <w:t>Allow assigned/owned customers only</w:t>
            </w:r>
          </w:p>
        </w:tc>
        <w:tc>
          <w:tcPr>
            <w:tcW w:type="dxa" w:w="2340"/>
            <w:shd w:fill="FFFFFF"/>
            <w:tcMar>
              <w:top w:w="100" w:type="dxa"/>
              <w:bottom w:w="100" w:type="dxa"/>
              <w:left w:w="150" w:type="dxa"/>
              <w:right w:w="150" w:type="dxa"/>
            </w:tcMar>
          </w:tcPr>
          <w:p>
            <w:r>
              <w:rPr>
                <w:color w:val="333333"/>
                <w:sz w:val="20"/>
              </w:rPr>
              <w:t>Delete</w:t>
            </w:r>
          </w:p>
        </w:tc>
      </w:tr>
      <w:tr>
        <w:tc>
          <w:tcPr>
            <w:tcW w:type="dxa" w:w="2340"/>
            <w:shd w:fill="F2F4F7"/>
            <w:tcMar>
              <w:top w:w="100" w:type="dxa"/>
              <w:bottom w:w="100" w:type="dxa"/>
              <w:left w:w="150" w:type="dxa"/>
              <w:right w:w="150" w:type="dxa"/>
            </w:tcMar>
          </w:tcPr>
          <w:p>
            <w:r>
              <w:rPr>
                <w:color w:val="333333"/>
                <w:sz w:val="20"/>
              </w:rPr>
              <w:t>DELETE /api/customers/{id}</w:t>
            </w:r>
          </w:p>
        </w:tc>
        <w:tc>
          <w:tcPr>
            <w:tcW w:type="dxa" w:w="2340"/>
            <w:shd w:fill="F2F4F7"/>
            <w:tcMar>
              <w:top w:w="100" w:type="dxa"/>
              <w:bottom w:w="100" w:type="dxa"/>
              <w:left w:w="150" w:type="dxa"/>
              <w:right w:w="150" w:type="dxa"/>
            </w:tcMar>
          </w:tcPr>
          <w:p>
            <w:r>
              <w:rPr>
                <w:color w:val="333333"/>
                <w:sz w:val="20"/>
              </w:rPr>
              <w:t>Customer</w:t>
            </w:r>
          </w:p>
        </w:tc>
        <w:tc>
          <w:tcPr>
            <w:tcW w:type="dxa" w:w="2340"/>
            <w:shd w:fill="F2F4F7"/>
            <w:tcMar>
              <w:top w:w="100" w:type="dxa"/>
              <w:bottom w:w="100" w:type="dxa"/>
              <w:left w:w="150" w:type="dxa"/>
              <w:right w:w="150" w:type="dxa"/>
            </w:tcMar>
          </w:tcPr>
          <w:p>
            <w:r>
              <w:rPr>
                <w:color w:val="333333"/>
                <w:sz w:val="20"/>
              </w:rPr>
              <w:t>Deny other customers; own-record behavior per contract</w:t>
            </w:r>
          </w:p>
        </w:tc>
        <w:tc>
          <w:tcPr>
            <w:tcW w:type="dxa" w:w="2340"/>
            <w:shd w:fill="F2F4F7"/>
            <w:tcMar>
              <w:top w:w="100" w:type="dxa"/>
              <w:bottom w:w="100" w:type="dxa"/>
              <w:left w:w="150" w:type="dxa"/>
              <w:right w:w="150" w:type="dxa"/>
            </w:tcMar>
          </w:tcPr>
          <w:p>
            <w:r>
              <w:rPr>
                <w:color w:val="333333"/>
                <w:sz w:val="20"/>
              </w:rPr>
              <w:t>Delete</w:t>
            </w:r>
          </w:p>
        </w:tc>
      </w:tr>
      <w:tr>
        <w:tc>
          <w:tcPr>
            <w:tcW w:type="dxa" w:w="2340"/>
            <w:shd w:fill="FFFFFF"/>
            <w:tcMar>
              <w:top w:w="100" w:type="dxa"/>
              <w:bottom w:w="100" w:type="dxa"/>
              <w:left w:w="150" w:type="dxa"/>
              <w:right w:w="150" w:type="dxa"/>
            </w:tcMar>
          </w:tcPr>
          <w:p>
            <w:r>
              <w:rPr>
                <w:color w:val="333333"/>
                <w:sz w:val="20"/>
              </w:rPr>
              <w:t>POST /api/customers/sync</w:t>
            </w:r>
          </w:p>
        </w:tc>
        <w:tc>
          <w:tcPr>
            <w:tcW w:type="dxa" w:w="2340"/>
            <w:shd w:fill="FFFFFF"/>
            <w:tcMar>
              <w:top w:w="100" w:type="dxa"/>
              <w:bottom w:w="100" w:type="dxa"/>
              <w:left w:w="150" w:type="dxa"/>
              <w:right w:w="150" w:type="dxa"/>
            </w:tcMar>
          </w:tcPr>
          <w:p>
            <w:r>
              <w:rPr>
                <w:color w:val="333333"/>
                <w:sz w:val="20"/>
              </w:rPr>
              <w:t>Admin</w:t>
            </w:r>
          </w:p>
        </w:tc>
        <w:tc>
          <w:tcPr>
            <w:tcW w:type="dxa" w:w="2340"/>
            <w:shd w:fill="FFFFFF"/>
            <w:tcMar>
              <w:top w:w="100" w:type="dxa"/>
              <w:bottom w:w="100" w:type="dxa"/>
              <w:left w:w="150" w:type="dxa"/>
              <w:right w:w="150" w:type="dxa"/>
            </w:tcMar>
          </w:tcPr>
          <w:p>
            <w:r>
              <w:rPr>
                <w:color w:val="333333"/>
                <w:sz w:val="20"/>
              </w:rPr>
              <w:t>Allow</w:t>
            </w:r>
          </w:p>
        </w:tc>
        <w:tc>
          <w:tcPr>
            <w:tcW w:type="dxa" w:w="2340"/>
            <w:shd w:fill="FFFFFF"/>
            <w:tcMar>
              <w:top w:w="100" w:type="dxa"/>
              <w:bottom w:w="100" w:type="dxa"/>
              <w:left w:w="150" w:type="dxa"/>
              <w:right w:w="150" w:type="dxa"/>
            </w:tcMar>
          </w:tcPr>
          <w:p>
            <w:r>
              <w:rPr>
                <w:color w:val="333333"/>
                <w:sz w:val="20"/>
              </w:rPr>
              <w:t>Sync</w:t>
            </w:r>
          </w:p>
        </w:tc>
      </w:tr>
      <w:tr>
        <w:tc>
          <w:tcPr>
            <w:tcW w:type="dxa" w:w="2340"/>
            <w:shd w:fill="F2F4F7"/>
            <w:tcMar>
              <w:top w:w="100" w:type="dxa"/>
              <w:bottom w:w="100" w:type="dxa"/>
              <w:left w:w="150" w:type="dxa"/>
              <w:right w:w="150" w:type="dxa"/>
            </w:tcMar>
          </w:tcPr>
          <w:p>
            <w:r>
              <w:rPr>
                <w:color w:val="333333"/>
                <w:sz w:val="20"/>
              </w:rPr>
              <w:t>POST /api/customers/sync</w:t>
            </w:r>
          </w:p>
        </w:tc>
        <w:tc>
          <w:tcPr>
            <w:tcW w:type="dxa" w:w="2340"/>
            <w:shd w:fill="F2F4F7"/>
            <w:tcMar>
              <w:top w:w="100" w:type="dxa"/>
              <w:bottom w:w="100" w:type="dxa"/>
              <w:left w:w="150" w:type="dxa"/>
              <w:right w:w="150" w:type="dxa"/>
            </w:tcMar>
          </w:tcPr>
          <w:p>
            <w:r>
              <w:rPr>
                <w:color w:val="333333"/>
                <w:sz w:val="20"/>
              </w:rPr>
              <w:t>QA</w:t>
            </w:r>
          </w:p>
        </w:tc>
        <w:tc>
          <w:tcPr>
            <w:tcW w:type="dxa" w:w="2340"/>
            <w:shd w:fill="F2F4F7"/>
            <w:tcMar>
              <w:top w:w="100" w:type="dxa"/>
              <w:bottom w:w="100" w:type="dxa"/>
              <w:left w:w="150" w:type="dxa"/>
              <w:right w:w="150" w:type="dxa"/>
            </w:tcMar>
          </w:tcPr>
          <w:p>
            <w:r>
              <w:rPr>
                <w:color w:val="333333"/>
                <w:sz w:val="20"/>
              </w:rPr>
              <w:t>Allow if business rules permit</w:t>
            </w:r>
          </w:p>
        </w:tc>
        <w:tc>
          <w:tcPr>
            <w:tcW w:type="dxa" w:w="2340"/>
            <w:shd w:fill="F2F4F7"/>
            <w:tcMar>
              <w:top w:w="100" w:type="dxa"/>
              <w:bottom w:w="100" w:type="dxa"/>
              <w:left w:w="150" w:type="dxa"/>
              <w:right w:w="150" w:type="dxa"/>
            </w:tcMar>
          </w:tcPr>
          <w:p>
            <w:r>
              <w:rPr>
                <w:color w:val="333333"/>
                <w:sz w:val="20"/>
              </w:rPr>
              <w:t>Sync</w:t>
            </w:r>
          </w:p>
        </w:tc>
      </w:tr>
      <w:tr>
        <w:tc>
          <w:tcPr>
            <w:tcW w:type="dxa" w:w="2340"/>
            <w:shd w:fill="FFFFFF"/>
            <w:tcMar>
              <w:top w:w="100" w:type="dxa"/>
              <w:bottom w:w="100" w:type="dxa"/>
              <w:left w:w="150" w:type="dxa"/>
              <w:right w:w="150" w:type="dxa"/>
            </w:tcMar>
          </w:tcPr>
          <w:p>
            <w:r>
              <w:rPr>
                <w:color w:val="333333"/>
                <w:sz w:val="20"/>
              </w:rPr>
              <w:t>POST /api/customers/sync</w:t>
            </w:r>
          </w:p>
        </w:tc>
        <w:tc>
          <w:tcPr>
            <w:tcW w:type="dxa" w:w="2340"/>
            <w:shd w:fill="FFFFFF"/>
            <w:tcMar>
              <w:top w:w="100" w:type="dxa"/>
              <w:bottom w:w="100" w:type="dxa"/>
              <w:left w:w="150" w:type="dxa"/>
              <w:right w:w="150" w:type="dxa"/>
            </w:tcMar>
          </w:tcPr>
          <w:p>
            <w:r>
              <w:rPr>
                <w:color w:val="333333"/>
                <w:sz w:val="20"/>
              </w:rPr>
              <w:t>Customer</w:t>
            </w:r>
          </w:p>
        </w:tc>
        <w:tc>
          <w:tcPr>
            <w:tcW w:type="dxa" w:w="2340"/>
            <w:shd w:fill="FFFFFF"/>
            <w:tcMar>
              <w:top w:w="100" w:type="dxa"/>
              <w:bottom w:w="100" w:type="dxa"/>
              <w:left w:w="150" w:type="dxa"/>
              <w:right w:w="150" w:type="dxa"/>
            </w:tcMar>
          </w:tcPr>
          <w:p>
            <w:r>
              <w:rPr>
                <w:color w:val="333333"/>
                <w:sz w:val="20"/>
              </w:rPr>
              <w:t>Typically deny unless explicitly allowed by contract</w:t>
            </w:r>
          </w:p>
        </w:tc>
        <w:tc>
          <w:tcPr>
            <w:tcW w:type="dxa" w:w="2340"/>
            <w:shd w:fill="FFFFFF"/>
            <w:tcMar>
              <w:top w:w="100" w:type="dxa"/>
              <w:bottom w:w="100" w:type="dxa"/>
              <w:left w:w="150" w:type="dxa"/>
              <w:right w:w="150" w:type="dxa"/>
            </w:tcMar>
          </w:tcPr>
          <w:p>
            <w:r>
              <w:rPr>
                <w:color w:val="333333"/>
                <w:sz w:val="20"/>
              </w:rPr>
              <w:t>Sync</w:t>
            </w:r>
          </w:p>
        </w:tc>
      </w:tr>
      <w:tr>
        <w:tc>
          <w:tcPr>
            <w:tcW w:type="dxa" w:w="2340"/>
            <w:shd w:fill="F2F4F7"/>
            <w:tcMar>
              <w:top w:w="100" w:type="dxa"/>
              <w:bottom w:w="100" w:type="dxa"/>
              <w:left w:w="150" w:type="dxa"/>
              <w:right w:w="150" w:type="dxa"/>
            </w:tcMar>
          </w:tcPr>
          <w:p>
            <w:r>
              <w:rPr>
                <w:color w:val="333333"/>
                <w:sz w:val="20"/>
              </w:rPr>
              <w:t>POST /api/customers/sync</w:t>
            </w:r>
          </w:p>
        </w:tc>
        <w:tc>
          <w:tcPr>
            <w:tcW w:type="dxa" w:w="2340"/>
            <w:shd w:fill="F2F4F7"/>
            <w:tcMar>
              <w:top w:w="100" w:type="dxa"/>
              <w:bottom w:w="100" w:type="dxa"/>
              <w:left w:w="150" w:type="dxa"/>
              <w:right w:w="150" w:type="dxa"/>
            </w:tcMar>
          </w:tcPr>
          <w:p>
            <w:r>
              <w:rPr>
                <w:color w:val="333333"/>
                <w:sz w:val="20"/>
              </w:rPr>
              <w:t>Null/Anonymous/Unsupported role</w:t>
            </w:r>
          </w:p>
        </w:tc>
        <w:tc>
          <w:tcPr>
            <w:tcW w:type="dxa" w:w="2340"/>
            <w:shd w:fill="F2F4F7"/>
            <w:tcMar>
              <w:top w:w="100" w:type="dxa"/>
              <w:bottom w:w="100" w:type="dxa"/>
              <w:left w:w="150" w:type="dxa"/>
              <w:right w:w="150" w:type="dxa"/>
            </w:tcMar>
          </w:tcPr>
          <w:p>
            <w:r>
              <w:rPr>
                <w:color w:val="333333"/>
                <w:sz w:val="20"/>
              </w:rPr>
              <w:t>Deny (403)</w:t>
            </w:r>
          </w:p>
        </w:tc>
        <w:tc>
          <w:tcPr>
            <w:tcW w:type="dxa" w:w="2340"/>
            <w:shd w:fill="F2F4F7"/>
            <w:tcMar>
              <w:top w:w="100" w:type="dxa"/>
              <w:bottom w:w="100" w:type="dxa"/>
              <w:left w:w="150" w:type="dxa"/>
              <w:right w:w="150" w:type="dxa"/>
            </w:tcMar>
          </w:tcPr>
          <w:p>
            <w:r>
              <w:rPr>
                <w:color w:val="333333"/>
                <w:sz w:val="20"/>
              </w:rPr>
              <w:t>Sync</w:t>
            </w:r>
          </w:p>
        </w:tc>
      </w:tr>
    </w:tbl>
    <w:p>
      <w:pPr>
        <w:keepNext/>
        <w:spacing w:before="360" w:after="120"/>
      </w:pPr>
      <w:r>
        <w:rPr>
          <w:rFonts w:ascii="Calibri" w:hAnsi="Calibri"/>
          <w:b/>
          <w:color w:val="1B365D"/>
          <w:sz w:val="36"/>
        </w:rPr>
        <w:t>12. Input Data Validation</w:t>
      </w:r>
    </w:p>
    <w:p>
      <w:pPr>
        <w:spacing w:after="120" w:line="276" w:lineRule="auto"/>
      </w:pPr>
      <w:r>
        <w:rPr>
          <w:b w:val="0"/>
        </w:rPr>
        <w:t>Incoming request payloads undergo model binding checks using FluentValidation libraries. Missing parameters, malformed datatypes, or empty string bodies trigger rapid-fail conditions returning 400 Bad Request directly to the calling client before executing persistent downstream processes.</w:t>
      </w:r>
    </w:p>
    <w:p>
      <w:pPr>
        <w:keepNext/>
        <w:spacing w:before="360" w:after="120"/>
      </w:pPr>
      <w:r>
        <w:rPr>
          <w:rFonts w:ascii="Calibri" w:hAnsi="Calibri"/>
          <w:b/>
          <w:color w:val="1B365D"/>
          <w:sz w:val="36"/>
        </w:rPr>
        <w:t>13. Global Error Handling Strategy</w:t>
      </w:r>
    </w:p>
    <w:p>
      <w:pPr>
        <w:spacing w:after="120" w:line="276" w:lineRule="auto"/>
      </w:pPr>
      <w:r>
        <w:rPr>
          <w:b w:val="0"/>
        </w:rPr>
        <w:t>A centralized custom Exception Handling Middleware interceptor catches unhandled system faults, generating standard RFC 7807 'Problem Details' payload structures. This blocks raw internal database errors from leaking structural technical details to end-users.</w:t>
      </w:r>
    </w:p>
    <w:p>
      <w:pPr>
        <w:keepNext/>
        <w:spacing w:before="360" w:after="120"/>
      </w:pPr>
      <w:r>
        <w:rPr>
          <w:rFonts w:ascii="Calibri" w:hAnsi="Calibri"/>
          <w:b/>
          <w:color w:val="1B365D"/>
          <w:sz w:val="36"/>
        </w:rPr>
        <w:t>14. Testing Strategy &amp; Automation Framework</w:t>
      </w:r>
    </w:p>
    <w:p>
      <w:pPr>
        <w:spacing w:after="120" w:line="276" w:lineRule="auto"/>
      </w:pPr>
      <w:r>
        <w:rPr>
          <w:b w:val="0"/>
        </w:rPr>
        <w:t>Integration tests are structured inside an xUnit suite utilizing the Microsoft WebApplicationFactory pattern to spin up an in-memory test host container. Test classes are split according to focus area to isolate context execution:</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50" w:type="dxa"/>
              <w:right w:w="150" w:type="dxa"/>
            </w:tcMar>
          </w:tcPr>
          <w:p>
            <w:pPr>
              <w:jc w:val="left"/>
            </w:pPr>
            <w:r>
              <w:rPr>
                <w:b/>
                <w:color w:val="FFFFFF"/>
                <w:sz w:val="20"/>
              </w:rPr>
              <w:t>Test Class</w:t>
            </w:r>
          </w:p>
        </w:tc>
        <w:tc>
          <w:tcPr>
            <w:tcW w:type="dxa" w:w="3120"/>
            <w:shd w:fill="1B365D"/>
            <w:tcMar>
              <w:top w:w="100" w:type="dxa"/>
              <w:bottom w:w="100" w:type="dxa"/>
              <w:left w:w="150" w:type="dxa"/>
              <w:right w:w="150" w:type="dxa"/>
            </w:tcMar>
          </w:tcPr>
          <w:p>
            <w:pPr>
              <w:jc w:val="left"/>
            </w:pPr>
            <w:r>
              <w:rPr>
                <w:b/>
                <w:color w:val="FFFFFF"/>
                <w:sz w:val="20"/>
              </w:rPr>
              <w:t>Covered Test IDs</w:t>
            </w:r>
          </w:p>
        </w:tc>
        <w:tc>
          <w:tcPr>
            <w:tcW w:type="dxa" w:w="3120"/>
            <w:shd w:fill="1B365D"/>
            <w:tcMar>
              <w:top w:w="100" w:type="dxa"/>
              <w:bottom w:w="100" w:type="dxa"/>
              <w:left w:w="150" w:type="dxa"/>
              <w:right w:w="150" w:type="dxa"/>
            </w:tcMar>
          </w:tcPr>
          <w:p>
            <w:pPr>
              <w:jc w:val="left"/>
            </w:pPr>
            <w:r>
              <w:rPr>
                <w:b/>
                <w:color w:val="FFFFFF"/>
                <w:sz w:val="20"/>
              </w:rPr>
              <w:t>Functional Scope</w:t>
            </w:r>
          </w:p>
        </w:tc>
      </w:tr>
      <w:tr>
        <w:tc>
          <w:tcPr>
            <w:tcW w:type="dxa" w:w="3120"/>
            <w:shd w:fill="FFFFFF"/>
            <w:tcMar>
              <w:top w:w="100" w:type="dxa"/>
              <w:bottom w:w="100" w:type="dxa"/>
              <w:left w:w="150" w:type="dxa"/>
              <w:right w:w="150" w:type="dxa"/>
            </w:tcMar>
          </w:tcPr>
          <w:p>
            <w:r>
              <w:rPr>
                <w:color w:val="333333"/>
                <w:sz w:val="20"/>
              </w:rPr>
              <w:t>AuthTests.cs</w:t>
            </w:r>
          </w:p>
        </w:tc>
        <w:tc>
          <w:tcPr>
            <w:tcW w:type="dxa" w:w="3120"/>
            <w:shd w:fill="FFFFFF"/>
            <w:tcMar>
              <w:top w:w="100" w:type="dxa"/>
              <w:bottom w:w="100" w:type="dxa"/>
              <w:left w:w="150" w:type="dxa"/>
              <w:right w:w="150" w:type="dxa"/>
            </w:tcMar>
          </w:tcPr>
          <w:p>
            <w:r>
              <w:rPr>
                <w:color w:val="333333"/>
                <w:sz w:val="20"/>
              </w:rPr>
              <w:t>AUTH-001 to AUTH-010</w:t>
            </w:r>
          </w:p>
        </w:tc>
        <w:tc>
          <w:tcPr>
            <w:tcW w:type="dxa" w:w="3120"/>
            <w:shd w:fill="FFFFFF"/>
            <w:tcMar>
              <w:top w:w="100" w:type="dxa"/>
              <w:bottom w:w="100" w:type="dxa"/>
              <w:left w:w="150" w:type="dxa"/>
              <w:right w:w="150" w:type="dxa"/>
            </w:tcMar>
          </w:tcPr>
          <w:p>
            <w:r>
              <w:rPr>
                <w:color w:val="333333"/>
                <w:sz w:val="20"/>
              </w:rPr>
              <w:t>Login request validation and authentication</w:t>
            </w:r>
          </w:p>
        </w:tc>
      </w:tr>
      <w:tr>
        <w:tc>
          <w:tcPr>
            <w:tcW w:type="dxa" w:w="3120"/>
            <w:shd w:fill="F2F4F7"/>
            <w:tcMar>
              <w:top w:w="100" w:type="dxa"/>
              <w:bottom w:w="100" w:type="dxa"/>
              <w:left w:w="150" w:type="dxa"/>
              <w:right w:w="150" w:type="dxa"/>
            </w:tcMar>
          </w:tcPr>
          <w:p>
            <w:r>
              <w:rPr>
                <w:color w:val="333333"/>
                <w:sz w:val="20"/>
              </w:rPr>
              <w:t>SecurityTests.cs</w:t>
            </w:r>
          </w:p>
        </w:tc>
        <w:tc>
          <w:tcPr>
            <w:tcW w:type="dxa" w:w="3120"/>
            <w:shd w:fill="F2F4F7"/>
            <w:tcMar>
              <w:top w:w="100" w:type="dxa"/>
              <w:bottom w:w="100" w:type="dxa"/>
              <w:left w:w="150" w:type="dxa"/>
              <w:right w:w="150" w:type="dxa"/>
            </w:tcMar>
          </w:tcPr>
          <w:p>
            <w:r>
              <w:rPr>
                <w:color w:val="333333"/>
                <w:sz w:val="20"/>
              </w:rPr>
              <w:t>AUTH-011 to AUTH-018; AUTH-045 to AUTH-047; SEC-001 to SEC-008</w:t>
            </w:r>
          </w:p>
        </w:tc>
        <w:tc>
          <w:tcPr>
            <w:tcW w:type="dxa" w:w="3120"/>
            <w:shd w:fill="F2F4F7"/>
            <w:tcMar>
              <w:top w:w="100" w:type="dxa"/>
              <w:bottom w:w="100" w:type="dxa"/>
              <w:left w:w="150" w:type="dxa"/>
              <w:right w:w="150" w:type="dxa"/>
            </w:tcMar>
          </w:tcPr>
          <w:p>
            <w:r>
              <w:rPr>
                <w:color w:val="333333"/>
                <w:sz w:val="20"/>
              </w:rPr>
              <w:t>JWT presence/validity and unsupported role scenarios</w:t>
            </w:r>
          </w:p>
        </w:tc>
      </w:tr>
      <w:tr>
        <w:tc>
          <w:tcPr>
            <w:tcW w:type="dxa" w:w="3120"/>
            <w:shd w:fill="FFFFFF"/>
            <w:tcMar>
              <w:top w:w="100" w:type="dxa"/>
              <w:bottom w:w="100" w:type="dxa"/>
              <w:left w:w="150" w:type="dxa"/>
              <w:right w:w="150" w:type="dxa"/>
            </w:tcMar>
          </w:tcPr>
          <w:p>
            <w:r>
              <w:rPr>
                <w:color w:val="333333"/>
                <w:sz w:val="20"/>
              </w:rPr>
              <w:t>CustomerGetTests.cs</w:t>
            </w:r>
          </w:p>
        </w:tc>
        <w:tc>
          <w:tcPr>
            <w:tcW w:type="dxa" w:w="3120"/>
            <w:shd w:fill="FFFFFF"/>
            <w:tcMar>
              <w:top w:w="100" w:type="dxa"/>
              <w:bottom w:w="100" w:type="dxa"/>
              <w:left w:w="150" w:type="dxa"/>
              <w:right w:w="150" w:type="dxa"/>
            </w:tcMar>
          </w:tcPr>
          <w:p>
            <w:r>
              <w:rPr>
                <w:color w:val="333333"/>
                <w:sz w:val="20"/>
              </w:rPr>
              <w:t>GET-001 to GET-016; AUTH-019 to AUTH-022</w:t>
            </w:r>
          </w:p>
        </w:tc>
        <w:tc>
          <w:tcPr>
            <w:tcW w:type="dxa" w:w="3120"/>
            <w:shd w:fill="FFFFFF"/>
            <w:tcMar>
              <w:top w:w="100" w:type="dxa"/>
              <w:bottom w:w="100" w:type="dxa"/>
              <w:left w:w="150" w:type="dxa"/>
              <w:right w:w="150" w:type="dxa"/>
            </w:tcMar>
          </w:tcPr>
          <w:p>
            <w:r>
              <w:rPr>
                <w:color w:val="333333"/>
                <w:sz w:val="20"/>
              </w:rPr>
              <w:t>Read authorization and retrieval scenarios</w:t>
            </w:r>
          </w:p>
        </w:tc>
      </w:tr>
      <w:tr>
        <w:tc>
          <w:tcPr>
            <w:tcW w:type="dxa" w:w="3120"/>
            <w:shd w:fill="F2F4F7"/>
            <w:tcMar>
              <w:top w:w="100" w:type="dxa"/>
              <w:bottom w:w="100" w:type="dxa"/>
              <w:left w:w="150" w:type="dxa"/>
              <w:right w:w="150" w:type="dxa"/>
            </w:tcMar>
          </w:tcPr>
          <w:p>
            <w:r>
              <w:rPr>
                <w:color w:val="333333"/>
                <w:sz w:val="20"/>
              </w:rPr>
              <w:t>CustomerUpdateTests.cs</w:t>
            </w:r>
          </w:p>
        </w:tc>
        <w:tc>
          <w:tcPr>
            <w:tcW w:type="dxa" w:w="3120"/>
            <w:shd w:fill="F2F4F7"/>
            <w:tcMar>
              <w:top w:w="100" w:type="dxa"/>
              <w:bottom w:w="100" w:type="dxa"/>
              <w:left w:w="150" w:type="dxa"/>
              <w:right w:w="150" w:type="dxa"/>
            </w:tcMar>
          </w:tcPr>
          <w:p>
            <w:r>
              <w:rPr>
                <w:color w:val="333333"/>
                <w:sz w:val="20"/>
              </w:rPr>
              <w:t>UPDATE-001 to UPDATE-021; AUTH-023 to AUTH-037</w:t>
            </w:r>
          </w:p>
        </w:tc>
        <w:tc>
          <w:tcPr>
            <w:tcW w:type="dxa" w:w="3120"/>
            <w:shd w:fill="F2F4F7"/>
            <w:tcMar>
              <w:top w:w="100" w:type="dxa"/>
              <w:bottom w:w="100" w:type="dxa"/>
              <w:left w:w="150" w:type="dxa"/>
              <w:right w:w="150" w:type="dxa"/>
            </w:tcMar>
          </w:tcPr>
          <w:p>
            <w:r>
              <w:rPr>
                <w:color w:val="333333"/>
                <w:sz w:val="20"/>
              </w:rPr>
              <w:t>Update validation and authorization scenarios</w:t>
            </w:r>
          </w:p>
        </w:tc>
      </w:tr>
      <w:tr>
        <w:tc>
          <w:tcPr>
            <w:tcW w:type="dxa" w:w="3120"/>
            <w:shd w:fill="FFFFFF"/>
            <w:tcMar>
              <w:top w:w="100" w:type="dxa"/>
              <w:bottom w:w="100" w:type="dxa"/>
              <w:left w:w="150" w:type="dxa"/>
              <w:right w:w="150" w:type="dxa"/>
            </w:tcMar>
          </w:tcPr>
          <w:p>
            <w:r>
              <w:rPr>
                <w:color w:val="333333"/>
                <w:sz w:val="20"/>
              </w:rPr>
              <w:t>CustomerDeleteTests.cs</w:t>
            </w:r>
          </w:p>
        </w:tc>
        <w:tc>
          <w:tcPr>
            <w:tcW w:type="dxa" w:w="3120"/>
            <w:shd w:fill="FFFFFF"/>
            <w:tcMar>
              <w:top w:w="100" w:type="dxa"/>
              <w:bottom w:w="100" w:type="dxa"/>
              <w:left w:w="150" w:type="dxa"/>
              <w:right w:w="150" w:type="dxa"/>
            </w:tcMar>
          </w:tcPr>
          <w:p>
            <w:r>
              <w:rPr>
                <w:color w:val="333333"/>
                <w:sz w:val="20"/>
              </w:rPr>
              <w:t>DELETE-001 to DELETE-018; AUTH-038 to AUTH-040</w:t>
            </w:r>
          </w:p>
        </w:tc>
        <w:tc>
          <w:tcPr>
            <w:tcW w:type="dxa" w:w="3120"/>
            <w:shd w:fill="FFFFFF"/>
            <w:tcMar>
              <w:top w:w="100" w:type="dxa"/>
              <w:bottom w:w="100" w:type="dxa"/>
              <w:left w:w="150" w:type="dxa"/>
              <w:right w:w="150" w:type="dxa"/>
            </w:tcMar>
          </w:tcPr>
          <w:p>
            <w:r>
              <w:rPr>
                <w:color w:val="333333"/>
                <w:sz w:val="20"/>
              </w:rPr>
              <w:t>Delete authorization and delete contract scenarios</w:t>
            </w:r>
          </w:p>
        </w:tc>
      </w:tr>
      <w:tr>
        <w:tc>
          <w:tcPr>
            <w:tcW w:type="dxa" w:w="3120"/>
            <w:shd w:fill="F2F4F7"/>
            <w:tcMar>
              <w:top w:w="100" w:type="dxa"/>
              <w:bottom w:w="100" w:type="dxa"/>
              <w:left w:w="150" w:type="dxa"/>
              <w:right w:w="150" w:type="dxa"/>
            </w:tcMar>
          </w:tcPr>
          <w:p>
            <w:r>
              <w:rPr>
                <w:color w:val="333333"/>
                <w:sz w:val="20"/>
              </w:rPr>
              <w:t>CustomerSyncTests.cs</w:t>
            </w:r>
          </w:p>
        </w:tc>
        <w:tc>
          <w:tcPr>
            <w:tcW w:type="dxa" w:w="3120"/>
            <w:shd w:fill="F2F4F7"/>
            <w:tcMar>
              <w:top w:w="100" w:type="dxa"/>
              <w:bottom w:w="100" w:type="dxa"/>
              <w:left w:w="150" w:type="dxa"/>
              <w:right w:w="150" w:type="dxa"/>
            </w:tcMar>
          </w:tcPr>
          <w:p>
            <w:r>
              <w:rPr>
                <w:color w:val="333333"/>
                <w:sz w:val="20"/>
              </w:rPr>
              <w:t>SYNC-001 to SYNC-016; AUTH-041 to AUTH-047</w:t>
            </w:r>
          </w:p>
        </w:tc>
        <w:tc>
          <w:tcPr>
            <w:tcW w:type="dxa" w:w="3120"/>
            <w:shd w:fill="F2F4F7"/>
            <w:tcMar>
              <w:top w:w="100" w:type="dxa"/>
              <w:bottom w:w="100" w:type="dxa"/>
              <w:left w:w="150" w:type="dxa"/>
              <w:right w:w="150" w:type="dxa"/>
            </w:tcMar>
          </w:tcPr>
          <w:p>
            <w:r>
              <w:rPr>
                <w:color w:val="333333"/>
                <w:sz w:val="20"/>
              </w:rPr>
              <w:t>Sync/create validation, conflicts, and authorization</w:t>
            </w:r>
          </w:p>
        </w:tc>
      </w:tr>
    </w:tbl>
    <w:p>
      <w:pPr>
        <w:keepNext/>
        <w:spacing w:before="360" w:after="120"/>
      </w:pPr>
      <w:r>
        <w:rPr>
          <w:rFonts w:ascii="Calibri" w:hAnsi="Calibri"/>
          <w:b/>
          <w:color w:val="1B365D"/>
          <w:sz w:val="36"/>
        </w:rPr>
        <w:t>15. Future Improvements &amp; Technical Roadmap</w:t>
      </w:r>
    </w:p>
    <w:p>
      <w:pPr>
        <w:spacing w:after="120" w:line="276" w:lineRule="auto"/>
      </w:pPr>
      <w:r>
        <w:rPr>
          <w:b w:val="0"/>
        </w:rPr>
        <w:t>• Automate integration tests across containerized pipelines using GitHub Actions workflows.</w:t>
      </w:r>
    </w:p>
    <w:p>
      <w:pPr>
        <w:spacing w:after="120" w:line="276" w:lineRule="auto"/>
      </w:pPr>
      <w:r>
        <w:rPr>
          <w:b w:val="0"/>
        </w:rPr>
        <w:t>• Implement real-time transactional monitoring dashboards using Prometheus metrics and Grafana visualizations.</w:t>
      </w:r>
    </w:p>
    <w:p>
      <w:pPr>
        <w:spacing w:after="120" w:line="276" w:lineRule="auto"/>
      </w:pPr>
      <w:r>
        <w:rPr>
          <w:b w:val="0"/>
        </w:rPr>
        <w:t>• Migrate to an asynchronous outbox event pattern to offload high-throughput sync constraints from the core API engine.</w:t>
      </w:r>
    </w:p>
    <w:p>
      <w:pPr>
        <w:keepNext/>
        <w:spacing w:before="360" w:after="120"/>
      </w:pPr>
      <w:r>
        <w:rPr>
          <w:rFonts w:ascii="Calibri" w:hAnsi="Calibri"/>
          <w:b/>
          <w:color w:val="1B365D"/>
          <w:sz w:val="36"/>
        </w:rPr>
        <w:t>16. Lessons Learned</w:t>
      </w:r>
    </w:p>
    <w:p>
      <w:pPr>
        <w:spacing w:after="120" w:line="276" w:lineRule="auto"/>
      </w:pPr>
      <w:r>
        <w:rPr>
          <w:b w:val="0"/>
        </w:rPr>
        <w:t>• Implementing explicit negative authorization paths early prevents perimeter bypass leaks under edge case user mutations.</w:t>
      </w:r>
    </w:p>
    <w:p>
      <w:pPr>
        <w:spacing w:after="120" w:line="276" w:lineRule="auto"/>
      </w:pPr>
      <w:r>
        <w:rPr>
          <w:b w:val="0"/>
        </w:rPr>
        <w:t>• Decoupling integration test context tracking avoids state pollution during parallel table assertions across modern async test loops.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