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240"/>
        <w:jc w:val="center"/>
      </w:pPr>
      <w:r>
        <w:rPr>
          <w:b/>
          <w:color w:val="182B49"/>
          <w:sz w:val="48"/>
        </w:rPr>
        <w:t>DEMOERP ENTERPRISE API PROJECT</w:t>
      </w:r>
    </w:p>
    <w:p>
      <w:pPr>
        <w:spacing w:after="800"/>
        <w:jc w:val="center"/>
      </w:pPr>
      <w:r>
        <w:rPr>
          <w:color w:val="5D6D7E"/>
          <w:sz w:val="28"/>
        </w:rPr>
        <w:t>Comprehensive Project Overview Portfolio Guide</w:t>
        <w:br/>
        <w:t>Milestone 4.7 Production Baseline Strategy</w:t>
      </w:r>
    </w:p>
    <w:p>
      <w:pPr>
        <w:spacing w:before="3600"/>
        <w:jc w:val="center"/>
      </w:pPr>
      <w:r>
        <w:rPr>
          <w:b/>
        </w:rPr>
        <w:t>Prepared by: Software Engineer &amp; Technical Data Analyst Portfolio</w:t>
        <w:br/>
      </w:r>
      <w:r>
        <w:t>Project Target: System Design Architecture, Data Integrity &amp; Quality Engineering</w:t>
        <w:br/>
        <w:t>Date: July 09, 2026</w:t>
        <w:br/>
        <w:t>Format: Enterprise Executive Portfolio Masterpiece</w:t>
      </w:r>
    </w:p>
    <w:p>
      <w:r>
        <w:br w:type="page"/>
      </w:r>
    </w:p>
    <w:p>
      <w:pPr>
        <w:keepNext/>
        <w:spacing w:before="440" w:after="120"/>
      </w:pPr>
      <w:r>
        <w:rPr>
          <w:rFonts w:ascii="Calibri" w:hAnsi="Calibri"/>
          <w:b/>
          <w:color w:val="182B49"/>
          <w:sz w:val="32"/>
        </w:rPr>
        <w:t>Table of Contents</w:t>
      </w:r>
    </w:p>
    <w:p>
      <w:pPr>
        <w:spacing w:after="120" w:line="276" w:lineRule="auto"/>
      </w:pPr>
      <w:r>
        <w:rPr>
          <w:b w:val="0"/>
        </w:rPr>
        <w:t>1. Executive Summary</w:t>
        <w:br/>
        <w:t>2. Business Objectives &amp; Data Governance Mapping</w:t>
        <w:br/>
        <w:t>3. Functional Requirements Matrix</w:t>
        <w:br/>
        <w:t>4. Non-functional Requirements &amp; SLA Metrics</w:t>
        <w:br/>
        <w:t>5. Approved Solution Technology Stack</w:t>
        <w:br/>
        <w:t>6. Component Architecture &amp; End-to-End Workflows</w:t>
        <w:br/>
        <w:t>7. Database Design &amp; Logical Data Relationships</w:t>
        <w:br/>
        <w:t>8. Security Design &amp; Threat Mitigation Controls</w:t>
        <w:br/>
        <w:t>9. Enterprise Business Logic Rules</w:t>
        <w:br/>
        <w:t>10. Token-Based Authentication Scheme</w:t>
        <w:br/>
        <w:t>11. Role-Based Access Control (RBAC) Authorization Matrix</w:t>
        <w:br/>
        <w:t>12. Schema Structure Input Data Validation</w:t>
        <w:br/>
        <w:t>13. Centralized Middleware Exception Handling (RFC 7807)</w:t>
        <w:br/>
        <w:t>14. Quality Engineering Framework &amp; System Integration Testing</w:t>
        <w:br/>
        <w:t>15. Multi-Phase Technical Roadmap &amp; Milestone Enhancements</w:t>
        <w:br/>
        <w:t>16. Project Retrospective &amp; Strategic Lessons Learned</w:t>
      </w:r>
    </w:p>
    <w:p>
      <w:r>
        <w:br w:type="page"/>
      </w:r>
    </w:p>
    <w:p>
      <w:pPr>
        <w:keepNext/>
        <w:spacing w:before="440" w:after="120"/>
      </w:pPr>
      <w:r>
        <w:rPr>
          <w:rFonts w:ascii="Calibri" w:hAnsi="Calibri"/>
          <w:b/>
          <w:color w:val="182B49"/>
          <w:sz w:val="32"/>
        </w:rPr>
        <w:t>1. Executive Summary</w:t>
      </w:r>
    </w:p>
    <w:p>
      <w:pPr>
        <w:spacing w:after="120" w:line="276" w:lineRule="auto"/>
      </w:pPr>
      <w:r>
        <w:rPr>
          <w:b w:val="0"/>
        </w:rPr>
        <w:t>This Project Overview document serves as the primary master technical guide for the DemoERP Customer Management API ecosystem. Designed as an interview-ready showcase piece for Technical Data Analyst, Data Analyst, and Software Developer tracks, this document details how commercial rules translate into a production-grade Web API. By summarizing validation filters, role-based boundaries, soft-delete rules, and the complete xUnit testing matrix across Milestone 4.7, this portfolio artifact demonstrates strong technical discipline and complete system transparency.</w:t>
      </w:r>
    </w:p>
    <w:p>
      <w:pPr>
        <w:keepNext/>
        <w:spacing w:before="440" w:after="120"/>
      </w:pPr>
      <w:r>
        <w:rPr>
          <w:rFonts w:ascii="Calibri" w:hAnsi="Calibri"/>
          <w:b/>
          <w:color w:val="182B49"/>
          <w:sz w:val="32"/>
        </w:rPr>
        <w:t>2. Business Objectives &amp; Data Governance Mapping</w:t>
      </w:r>
    </w:p>
    <w:p>
      <w:pPr>
        <w:spacing w:after="120" w:line="276" w:lineRule="auto"/>
      </w:pPr>
      <w:r>
        <w:rPr>
          <w:b w:val="0"/>
        </w:rPr>
        <w:t>The design and code implementation enforce structural safety rules to optimize analytical value and data security consistency:</w:t>
      </w:r>
    </w:p>
    <w:p>
      <w:pPr>
        <w:pStyle w:val="ListBullet"/>
      </w:pPr>
      <w:r>
        <w:rPr>
          <w:b/>
        </w:rPr>
        <w:t xml:space="preserve">Enterprise Audit Continuity: </w:t>
      </w:r>
      <w:r>
        <w:t>Protect historical relationship boundaries and lifecycle telemetry using an explicit soft-delete database filter, removing any chance of orphan relational records during external CRM data synchronizations.</w:t>
      </w:r>
    </w:p>
    <w:p>
      <w:pPr>
        <w:pStyle w:val="ListBullet"/>
      </w:pPr>
      <w:r>
        <w:rPr>
          <w:b/>
        </w:rPr>
        <w:t xml:space="preserve">Granular Multi-Tenant Access Control: </w:t>
      </w:r>
      <w:r>
        <w:t>Enforce clean operational boundaries between system actors (`Admin`, `QA`, `Customer`) using cryptographically verified user token claims.</w:t>
      </w:r>
    </w:p>
    <w:p>
      <w:pPr>
        <w:keepNext/>
        <w:spacing w:before="440" w:after="120"/>
      </w:pPr>
      <w:r>
        <w:rPr>
          <w:rFonts w:ascii="Calibri" w:hAnsi="Calibri"/>
          <w:b/>
          <w:color w:val="182B49"/>
          <w:sz w:val="32"/>
        </w:rPr>
        <w:t>3. Functional Requirements Matrix</w:t>
      </w:r>
    </w:p>
    <w:p>
      <w:pPr>
        <w:spacing w:after="120" w:line="276" w:lineRule="auto"/>
      </w:pPr>
      <w:r>
        <w:rPr>
          <w:b w:val="0"/>
        </w:rPr>
        <w:t>The system is aligned with six primary functional domains defined for Milestone 4.7:</w:t>
      </w:r>
    </w:p>
    <w:tbl>
      <w:tblPr>
        <w:tblW w:type="auto" w:w="0"/>
        <w:jc w:val="center"/>
        <w:tblLook w:firstColumn="1" w:firstRow="1" w:lastColumn="0" w:lastRow="0" w:noHBand="0" w:noVBand="1" w:val="04A0"/>
      </w:tblPr>
      <w:tblGrid>
        <w:gridCol w:w="2340"/>
        <w:gridCol w:w="2340"/>
        <w:gridCol w:w="2340"/>
        <w:gridCol w:w="2340"/>
      </w:tblGrid>
      <w:tr>
        <w:tc>
          <w:tcPr>
            <w:tcW w:type="dxa" w:w="2340"/>
            <w:shd w:fill="182B49"/>
            <w:tcMar>
              <w:top w:w="120" w:type="dxa"/>
              <w:bottom w:w="120" w:type="dxa"/>
              <w:left w:w="150" w:type="dxa"/>
              <w:right w:w="150" w:type="dxa"/>
            </w:tcMar>
          </w:tcPr>
          <w:p>
            <w:pPr>
              <w:jc w:val="left"/>
            </w:pPr>
            <w:r>
              <w:rPr>
                <w:b/>
                <w:color w:val="FFFFFF"/>
                <w:sz w:val="20"/>
              </w:rPr>
              <w:t>ID</w:t>
            </w:r>
          </w:p>
        </w:tc>
        <w:tc>
          <w:tcPr>
            <w:tcW w:type="dxa" w:w="2340"/>
            <w:shd w:fill="182B49"/>
            <w:tcMar>
              <w:top w:w="120" w:type="dxa"/>
              <w:bottom w:w="120" w:type="dxa"/>
              <w:left w:w="150" w:type="dxa"/>
              <w:right w:w="150" w:type="dxa"/>
            </w:tcMar>
          </w:tcPr>
          <w:p>
            <w:pPr>
              <w:jc w:val="left"/>
            </w:pPr>
            <w:r>
              <w:rPr>
                <w:b/>
                <w:color w:val="FFFFFF"/>
                <w:sz w:val="20"/>
              </w:rPr>
              <w:t>Functional Domain</w:t>
            </w:r>
          </w:p>
        </w:tc>
        <w:tc>
          <w:tcPr>
            <w:tcW w:type="dxa" w:w="2340"/>
            <w:shd w:fill="182B49"/>
            <w:tcMar>
              <w:top w:w="120" w:type="dxa"/>
              <w:bottom w:w="120" w:type="dxa"/>
              <w:left w:w="150" w:type="dxa"/>
              <w:right w:w="150" w:type="dxa"/>
            </w:tcMar>
          </w:tcPr>
          <w:p>
            <w:pPr>
              <w:jc w:val="left"/>
            </w:pPr>
            <w:r>
              <w:rPr>
                <w:b/>
                <w:color w:val="FFFFFF"/>
                <w:sz w:val="20"/>
              </w:rPr>
              <w:t>Business Requirement Statement</w:t>
            </w:r>
          </w:p>
        </w:tc>
        <w:tc>
          <w:tcPr>
            <w:tcW w:type="dxa" w:w="2340"/>
            <w:shd w:fill="182B49"/>
            <w:tcMar>
              <w:top w:w="120" w:type="dxa"/>
              <w:bottom w:w="120" w:type="dxa"/>
              <w:left w:w="150" w:type="dxa"/>
              <w:right w:w="150" w:type="dxa"/>
            </w:tcMar>
          </w:tcPr>
          <w:p>
            <w:pPr>
              <w:jc w:val="left"/>
            </w:pPr>
            <w:r>
              <w:rPr>
                <w:b/>
                <w:color w:val="FFFFFF"/>
                <w:sz w:val="20"/>
              </w:rPr>
              <w:t>Priority</w:t>
            </w:r>
          </w:p>
        </w:tc>
      </w:tr>
      <w:tr>
        <w:tc>
          <w:tcPr>
            <w:tcW w:type="dxa" w:w="2340"/>
            <w:shd w:fill="FFFFFF"/>
            <w:tcMar>
              <w:top w:w="120" w:type="dxa"/>
              <w:bottom w:w="120" w:type="dxa"/>
              <w:left w:w="150" w:type="dxa"/>
              <w:right w:w="150" w:type="dxa"/>
            </w:tcMar>
          </w:tcPr>
          <w:p>
            <w:r>
              <w:rPr>
                <w:color w:val="2C3540"/>
                <w:sz w:val="19"/>
              </w:rPr>
              <w:t>BR-AUTH</w:t>
            </w:r>
          </w:p>
        </w:tc>
        <w:tc>
          <w:tcPr>
            <w:tcW w:type="dxa" w:w="2340"/>
            <w:shd w:fill="FFFFFF"/>
            <w:tcMar>
              <w:top w:w="120" w:type="dxa"/>
              <w:bottom w:w="120" w:type="dxa"/>
              <w:left w:w="150" w:type="dxa"/>
              <w:right w:w="150" w:type="dxa"/>
            </w:tcMar>
          </w:tcPr>
          <w:p>
            <w:r>
              <w:rPr>
                <w:color w:val="2C3540"/>
                <w:sz w:val="19"/>
              </w:rPr>
              <w:t>Authentication</w:t>
            </w:r>
          </w:p>
        </w:tc>
        <w:tc>
          <w:tcPr>
            <w:tcW w:type="dxa" w:w="2340"/>
            <w:shd w:fill="FFFFFF"/>
            <w:tcMar>
              <w:top w:w="120" w:type="dxa"/>
              <w:bottom w:w="120" w:type="dxa"/>
              <w:left w:w="150" w:type="dxa"/>
              <w:right w:w="150" w:type="dxa"/>
            </w:tcMar>
          </w:tcPr>
          <w:p>
            <w:r>
              <w:rPr>
                <w:color w:val="2C3540"/>
                <w:sz w:val="19"/>
              </w:rPr>
              <w:t>The login endpoint shall authenticate valid credentials and reject invalid or malformed requests.</w:t>
            </w:r>
          </w:p>
        </w:tc>
        <w:tc>
          <w:tcPr>
            <w:tcW w:type="dxa" w:w="2340"/>
            <w:shd w:fill="FFFFFF"/>
            <w:tcMar>
              <w:top w:w="120" w:type="dxa"/>
              <w:bottom w:w="120" w:type="dxa"/>
              <w:left w:w="150" w:type="dxa"/>
              <w:right w:w="150" w:type="dxa"/>
            </w:tcMar>
          </w:tcPr>
          <w:p>
            <w:r>
              <w:rPr>
                <w:color w:val="2C3540"/>
                <w:sz w:val="19"/>
              </w:rPr>
              <w:t>High</w:t>
            </w:r>
          </w:p>
        </w:tc>
      </w:tr>
      <w:tr>
        <w:tc>
          <w:tcPr>
            <w:tcW w:type="dxa" w:w="2340"/>
            <w:shd w:fill="F4F6F9"/>
            <w:tcMar>
              <w:top w:w="120" w:type="dxa"/>
              <w:bottom w:w="120" w:type="dxa"/>
              <w:left w:w="150" w:type="dxa"/>
              <w:right w:w="150" w:type="dxa"/>
            </w:tcMar>
          </w:tcPr>
          <w:p>
            <w:r>
              <w:rPr>
                <w:color w:val="2C3540"/>
                <w:sz w:val="19"/>
              </w:rPr>
              <w:t>BR-SEC</w:t>
            </w:r>
          </w:p>
        </w:tc>
        <w:tc>
          <w:tcPr>
            <w:tcW w:type="dxa" w:w="2340"/>
            <w:shd w:fill="F4F6F9"/>
            <w:tcMar>
              <w:top w:w="120" w:type="dxa"/>
              <w:bottom w:w="120" w:type="dxa"/>
              <w:left w:w="150" w:type="dxa"/>
              <w:right w:w="150" w:type="dxa"/>
            </w:tcMar>
          </w:tcPr>
          <w:p>
            <w:r>
              <w:rPr>
                <w:color w:val="2C3540"/>
                <w:sz w:val="19"/>
              </w:rPr>
              <w:t>Authorization</w:t>
            </w:r>
          </w:p>
        </w:tc>
        <w:tc>
          <w:tcPr>
            <w:tcW w:type="dxa" w:w="2340"/>
            <w:shd w:fill="F4F6F9"/>
            <w:tcMar>
              <w:top w:w="120" w:type="dxa"/>
              <w:bottom w:w="120" w:type="dxa"/>
              <w:left w:w="150" w:type="dxa"/>
              <w:right w:w="150" w:type="dxa"/>
            </w:tcMar>
          </w:tcPr>
          <w:p>
            <w:r>
              <w:rPr>
                <w:color w:val="2C3540"/>
                <w:sz w:val="19"/>
              </w:rPr>
              <w:t>Protected endpoints shall require a valid JWT. Only supported roles (admin, qa, customer) may access the API; null, Anonymous, or unsupported roles are denied.</w:t>
            </w:r>
          </w:p>
        </w:tc>
        <w:tc>
          <w:tcPr>
            <w:tcW w:type="dxa" w:w="2340"/>
            <w:shd w:fill="F4F6F9"/>
            <w:tcMar>
              <w:top w:w="120" w:type="dxa"/>
              <w:bottom w:w="120" w:type="dxa"/>
              <w:left w:w="150" w:type="dxa"/>
              <w:right w:w="150" w:type="dxa"/>
            </w:tcMar>
          </w:tcPr>
          <w:p>
            <w:r>
              <w:rPr>
                <w:color w:val="2C3540"/>
                <w:sz w:val="19"/>
              </w:rPr>
              <w:t>Critical</w:t>
            </w:r>
          </w:p>
        </w:tc>
      </w:tr>
      <w:tr>
        <w:tc>
          <w:tcPr>
            <w:tcW w:type="dxa" w:w="2340"/>
            <w:shd w:fill="FFFFFF"/>
            <w:tcMar>
              <w:top w:w="120" w:type="dxa"/>
              <w:bottom w:w="120" w:type="dxa"/>
              <w:left w:w="150" w:type="dxa"/>
              <w:right w:w="150" w:type="dxa"/>
            </w:tcMar>
          </w:tcPr>
          <w:p>
            <w:r>
              <w:rPr>
                <w:color w:val="2C3540"/>
                <w:sz w:val="19"/>
              </w:rPr>
              <w:t>BR-GET</w:t>
            </w:r>
          </w:p>
        </w:tc>
        <w:tc>
          <w:tcPr>
            <w:tcW w:type="dxa" w:w="2340"/>
            <w:shd w:fill="FFFFFF"/>
            <w:tcMar>
              <w:top w:w="120" w:type="dxa"/>
              <w:bottom w:w="120" w:type="dxa"/>
              <w:left w:w="150" w:type="dxa"/>
              <w:right w:w="150" w:type="dxa"/>
            </w:tcMar>
          </w:tcPr>
          <w:p>
            <w:r>
              <w:rPr>
                <w:color w:val="2C3540"/>
                <w:sz w:val="19"/>
              </w:rPr>
              <w:t>Customer Retrieval</w:t>
            </w:r>
          </w:p>
        </w:tc>
        <w:tc>
          <w:tcPr>
            <w:tcW w:type="dxa" w:w="2340"/>
            <w:shd w:fill="FFFFFF"/>
            <w:tcMar>
              <w:top w:w="120" w:type="dxa"/>
              <w:bottom w:w="120" w:type="dxa"/>
              <w:left w:w="150" w:type="dxa"/>
              <w:right w:w="150" w:type="dxa"/>
            </w:tcMar>
          </w:tcPr>
          <w:p>
            <w:r>
              <w:rPr>
                <w:color w:val="2C3540"/>
                <w:sz w:val="19"/>
              </w:rPr>
              <w:t>Admin can read any customer; QA can read customers within assignment/ownership rules; customer can read only own record.</w:t>
            </w:r>
          </w:p>
        </w:tc>
        <w:tc>
          <w:tcPr>
            <w:tcW w:type="dxa" w:w="2340"/>
            <w:shd w:fill="FFFFFF"/>
            <w:tcMar>
              <w:top w:w="120" w:type="dxa"/>
              <w:bottom w:w="120" w:type="dxa"/>
              <w:left w:w="150" w:type="dxa"/>
              <w:right w:w="150" w:type="dxa"/>
            </w:tcMar>
          </w:tcPr>
          <w:p>
            <w:r>
              <w:rPr>
                <w:color w:val="2C3540"/>
                <w:sz w:val="19"/>
              </w:rPr>
              <w:t>Critical</w:t>
            </w:r>
          </w:p>
        </w:tc>
      </w:tr>
      <w:tr>
        <w:tc>
          <w:tcPr>
            <w:tcW w:type="dxa" w:w="2340"/>
            <w:shd w:fill="F4F6F9"/>
            <w:tcMar>
              <w:top w:w="120" w:type="dxa"/>
              <w:bottom w:w="120" w:type="dxa"/>
              <w:left w:w="150" w:type="dxa"/>
              <w:right w:w="150" w:type="dxa"/>
            </w:tcMar>
          </w:tcPr>
          <w:p>
            <w:r>
              <w:rPr>
                <w:color w:val="2C3540"/>
                <w:sz w:val="19"/>
              </w:rPr>
              <w:t>BR-UPD</w:t>
            </w:r>
          </w:p>
        </w:tc>
        <w:tc>
          <w:tcPr>
            <w:tcW w:type="dxa" w:w="2340"/>
            <w:shd w:fill="F4F6F9"/>
            <w:tcMar>
              <w:top w:w="120" w:type="dxa"/>
              <w:bottom w:w="120" w:type="dxa"/>
              <w:left w:w="150" w:type="dxa"/>
              <w:right w:w="150" w:type="dxa"/>
            </w:tcMar>
          </w:tcPr>
          <w:p>
            <w:r>
              <w:rPr>
                <w:color w:val="2C3540"/>
                <w:sz w:val="19"/>
              </w:rPr>
              <w:t>Customer Update</w:t>
            </w:r>
          </w:p>
        </w:tc>
        <w:tc>
          <w:tcPr>
            <w:tcW w:type="dxa" w:w="2340"/>
            <w:shd w:fill="F4F6F9"/>
            <w:tcMar>
              <w:top w:w="120" w:type="dxa"/>
              <w:bottom w:w="120" w:type="dxa"/>
              <w:left w:w="150" w:type="dxa"/>
              <w:right w:w="150" w:type="dxa"/>
            </w:tcMar>
          </w:tcPr>
          <w:p>
            <w:r>
              <w:rPr>
                <w:color w:val="2C3540"/>
                <w:sz w:val="19"/>
              </w:rPr>
              <w:t>Admin can update any customer; QA only permitted assigned customers; customer only own profile. Validation failures return 400.</w:t>
            </w:r>
          </w:p>
        </w:tc>
        <w:tc>
          <w:tcPr>
            <w:tcW w:type="dxa" w:w="2340"/>
            <w:shd w:fill="F4F6F9"/>
            <w:tcMar>
              <w:top w:w="120" w:type="dxa"/>
              <w:bottom w:w="120" w:type="dxa"/>
              <w:left w:w="150" w:type="dxa"/>
              <w:right w:w="150" w:type="dxa"/>
            </w:tcMar>
          </w:tcPr>
          <w:p>
            <w:r>
              <w:rPr>
                <w:color w:val="2C3540"/>
                <w:sz w:val="19"/>
              </w:rPr>
              <w:t>Critical</w:t>
            </w:r>
          </w:p>
        </w:tc>
      </w:tr>
      <w:tr>
        <w:tc>
          <w:tcPr>
            <w:tcW w:type="dxa" w:w="2340"/>
            <w:shd w:fill="FFFFFF"/>
            <w:tcMar>
              <w:top w:w="120" w:type="dxa"/>
              <w:bottom w:w="120" w:type="dxa"/>
              <w:left w:w="150" w:type="dxa"/>
              <w:right w:w="150" w:type="dxa"/>
            </w:tcMar>
          </w:tcPr>
          <w:p>
            <w:r>
              <w:rPr>
                <w:color w:val="2C3540"/>
                <w:sz w:val="19"/>
              </w:rPr>
              <w:t>BR-DEL</w:t>
            </w:r>
          </w:p>
        </w:tc>
        <w:tc>
          <w:tcPr>
            <w:tcW w:type="dxa" w:w="2340"/>
            <w:shd w:fill="FFFFFF"/>
            <w:tcMar>
              <w:top w:w="120" w:type="dxa"/>
              <w:bottom w:w="120" w:type="dxa"/>
              <w:left w:w="150" w:type="dxa"/>
              <w:right w:w="150" w:type="dxa"/>
            </w:tcMar>
          </w:tcPr>
          <w:p>
            <w:r>
              <w:rPr>
                <w:color w:val="2C3540"/>
                <w:sz w:val="19"/>
              </w:rPr>
              <w:t>Customer Delete</w:t>
            </w:r>
          </w:p>
        </w:tc>
        <w:tc>
          <w:tcPr>
            <w:tcW w:type="dxa" w:w="2340"/>
            <w:shd w:fill="FFFFFF"/>
            <w:tcMar>
              <w:top w:w="120" w:type="dxa"/>
              <w:bottom w:w="120" w:type="dxa"/>
              <w:left w:w="150" w:type="dxa"/>
              <w:right w:w="150" w:type="dxa"/>
            </w:tcMar>
          </w:tcPr>
          <w:p>
            <w:r>
              <w:rPr>
                <w:color w:val="2C3540"/>
                <w:sz w:val="19"/>
              </w:rPr>
              <w:t>Delete follows role-based access rules and respects not-found/soft-delete behavior.</w:t>
            </w:r>
          </w:p>
        </w:tc>
        <w:tc>
          <w:tcPr>
            <w:tcW w:type="dxa" w:w="2340"/>
            <w:shd w:fill="FFFFFF"/>
            <w:tcMar>
              <w:top w:w="120" w:type="dxa"/>
              <w:bottom w:w="120" w:type="dxa"/>
              <w:left w:w="150" w:type="dxa"/>
              <w:right w:w="150" w:type="dxa"/>
            </w:tcMar>
          </w:tcPr>
          <w:p>
            <w:r>
              <w:rPr>
                <w:color w:val="2C3540"/>
                <w:sz w:val="19"/>
              </w:rPr>
              <w:t>High</w:t>
            </w:r>
          </w:p>
        </w:tc>
      </w:tr>
      <w:tr>
        <w:tc>
          <w:tcPr>
            <w:tcW w:type="dxa" w:w="2340"/>
            <w:shd w:fill="F4F6F9"/>
            <w:tcMar>
              <w:top w:w="120" w:type="dxa"/>
              <w:bottom w:w="120" w:type="dxa"/>
              <w:left w:w="150" w:type="dxa"/>
              <w:right w:w="150" w:type="dxa"/>
            </w:tcMar>
          </w:tcPr>
          <w:p>
            <w:r>
              <w:rPr>
                <w:color w:val="2C3540"/>
                <w:sz w:val="19"/>
              </w:rPr>
              <w:t>BR-SYNC</w:t>
            </w:r>
          </w:p>
        </w:tc>
        <w:tc>
          <w:tcPr>
            <w:tcW w:type="dxa" w:w="2340"/>
            <w:shd w:fill="F4F6F9"/>
            <w:tcMar>
              <w:top w:w="120" w:type="dxa"/>
              <w:bottom w:w="120" w:type="dxa"/>
              <w:left w:w="150" w:type="dxa"/>
              <w:right w:w="150" w:type="dxa"/>
            </w:tcMar>
          </w:tcPr>
          <w:p>
            <w:r>
              <w:rPr>
                <w:color w:val="2C3540"/>
                <w:sz w:val="19"/>
              </w:rPr>
              <w:t>Customer Sync/Create</w:t>
            </w:r>
          </w:p>
        </w:tc>
        <w:tc>
          <w:tcPr>
            <w:tcW w:type="dxa" w:w="2340"/>
            <w:shd w:fill="F4F6F9"/>
            <w:tcMar>
              <w:top w:w="120" w:type="dxa"/>
              <w:bottom w:w="120" w:type="dxa"/>
              <w:left w:w="150" w:type="dxa"/>
              <w:right w:w="150" w:type="dxa"/>
            </w:tcMar>
          </w:tcPr>
          <w:p>
            <w:r>
              <w:rPr>
                <w:color w:val="2C3540"/>
                <w:sz w:val="19"/>
              </w:rPr>
              <w:t>Sync creates or updates according to contract, prevents duplicates/conflicts, and enforces authorization/validation rules.</w:t>
            </w:r>
          </w:p>
        </w:tc>
        <w:tc>
          <w:tcPr>
            <w:tcW w:type="dxa" w:w="2340"/>
            <w:shd w:fill="F4F6F9"/>
            <w:tcMar>
              <w:top w:w="120" w:type="dxa"/>
              <w:bottom w:w="120" w:type="dxa"/>
              <w:left w:w="150" w:type="dxa"/>
              <w:right w:w="150" w:type="dxa"/>
            </w:tcMar>
          </w:tcPr>
          <w:p>
            <w:r>
              <w:rPr>
                <w:color w:val="2C3540"/>
                <w:sz w:val="19"/>
              </w:rPr>
              <w:t>Critical</w:t>
            </w:r>
          </w:p>
        </w:tc>
      </w:tr>
    </w:tbl>
    <w:p>
      <w:pPr>
        <w:keepNext/>
        <w:spacing w:before="440" w:after="120"/>
      </w:pPr>
      <w:r>
        <w:rPr>
          <w:rFonts w:ascii="Calibri" w:hAnsi="Calibri"/>
          <w:b/>
          <w:color w:val="182B49"/>
          <w:sz w:val="32"/>
        </w:rPr>
        <w:t>4. Non-functional Requirements &amp; SLA Metrics</w:t>
      </w:r>
    </w:p>
    <w:p>
      <w:pPr>
        <w:spacing w:after="120" w:line="276" w:lineRule="auto"/>
      </w:pPr>
      <w:r>
        <w:rPr>
          <w:b w:val="0"/>
        </w:rPr>
        <w:t>• Latency Constraints: Operational endpoints must process validation schemas and logic filters within a ≤ 200ms window.</w:t>
      </w:r>
    </w:p>
    <w:p>
      <w:pPr>
        <w:spacing w:after="120" w:line="276" w:lineRule="auto"/>
      </w:pPr>
      <w:r>
        <w:rPr>
          <w:b w:val="0"/>
        </w:rPr>
        <w:t>• Transaction Resiliency: All database mutations run inside explicit database transactions using Entity Framework Core contexts.</w:t>
      </w:r>
    </w:p>
    <w:p>
      <w:pPr>
        <w:spacing w:after="120" w:line="276" w:lineRule="auto"/>
      </w:pPr>
      <w:r>
        <w:rPr>
          <w:b w:val="0"/>
        </w:rPr>
        <w:t>• Observability: The system generates structured JSON log outputs to facilitate automated parsing and analytics log harvesting.</w:t>
      </w:r>
    </w:p>
    <w:p>
      <w:pPr>
        <w:keepNext/>
        <w:spacing w:before="440" w:after="120"/>
      </w:pPr>
      <w:r>
        <w:rPr>
          <w:rFonts w:ascii="Calibri" w:hAnsi="Calibri"/>
          <w:b/>
          <w:color w:val="182B49"/>
          <w:sz w:val="32"/>
        </w:rPr>
        <w:t>5. Approved Solution Technology Stack</w:t>
      </w:r>
    </w:p>
    <w:p>
      <w:pPr>
        <w:spacing w:after="120" w:line="276" w:lineRule="auto"/>
      </w:pPr>
      <w:r>
        <w:rPr>
          <w:b w:val="0"/>
        </w:rPr>
        <w:t>• Application Engine: ASP.NET Core API Framework running on .NET 8.0/9.0 Runtimes</w:t>
      </w:r>
    </w:p>
    <w:p>
      <w:pPr>
        <w:spacing w:after="120" w:line="276" w:lineRule="auto"/>
      </w:pPr>
      <w:r>
        <w:rPr>
          <w:b w:val="0"/>
        </w:rPr>
        <w:t>• Data Persistence Layer: Entity Framework Core ORM mapping to Microsoft SQL Server Data Storage Engines</w:t>
      </w:r>
    </w:p>
    <w:p>
      <w:pPr>
        <w:spacing w:after="120" w:line="276" w:lineRule="auto"/>
      </w:pPr>
      <w:r>
        <w:rPr>
          <w:b w:val="0"/>
        </w:rPr>
        <w:t>• Automated Testing Suite: xUnit Harness utilizing FluentAssertions and Microsoft WebApplicationFactory dependencies</w:t>
      </w:r>
    </w:p>
    <w:p>
      <w:pPr>
        <w:keepNext/>
        <w:spacing w:before="440" w:after="120"/>
      </w:pPr>
      <w:r>
        <w:rPr>
          <w:rFonts w:ascii="Calibri" w:hAnsi="Calibri"/>
          <w:b/>
          <w:color w:val="182B49"/>
          <w:sz w:val="32"/>
        </w:rPr>
        <w:t>6. Component Architecture &amp; End-to-End Workflows</w:t>
      </w:r>
    </w:p>
    <w:p>
      <w:pPr>
        <w:spacing w:after="120" w:line="276" w:lineRule="auto"/>
      </w:pPr>
      <w:r>
        <w:rPr>
          <w:b w:val="0"/>
        </w:rPr>
        <w:t>The application uses a cleanly decoupled layered design to insulate internal data logic from external network exposures.</w:t>
      </w:r>
    </w:p>
    <w:p>
      <w:pPr>
        <w:keepNext/>
        <w:spacing w:before="280" w:after="80"/>
      </w:pPr>
      <w:r>
        <w:rPr>
          <w:rFonts w:ascii="Calibri" w:hAnsi="Calibri"/>
          <w:b/>
          <w:color w:val="5D6D7E"/>
          <w:sz w:val="26"/>
        </w:rPr>
        <w:t>6.1 Structural System Process Workflow</w:t>
      </w:r>
    </w:p>
    <w:p>
      <w:pPr>
        <w:spacing w:after="80" w:before="80"/>
        <w:ind w:left="360"/>
      </w:pPr>
      <w:r>
        <w:rPr>
          <w:rFonts w:ascii="Consolas" w:hAnsi="Consolas"/>
          <w:color w:val="212F3D"/>
          <w:sz w:val="19"/>
        </w:rPr>
        <w:t xml:space="preserve"> [Client App Request] </w:t>
        <w:br/>
        <w:t xml:space="preserve">         │ (Carrying Payload &amp; Bearer JWT Token Header)</w:t>
        <w:br/>
        <w:t xml:space="preserve">         ▼</w:t>
        <w:br/>
        <w:t xml:space="preserve"> ┌────────────────────────────────────────────────────────┐</w:t>
        <w:br/>
        <w:t xml:space="preserve"> │ 1. Exception Interceptor Middleware (RFC 7807 Formatter)│</w:t>
        <w:br/>
        <w:t xml:space="preserve"> └───────────────────────┬────────────────────────────────┘</w:t>
        <w:br/>
        <w:t xml:space="preserve">                         ▼</w:t>
        <w:br/>
        <w:t xml:space="preserve"> ┌────────────────────────────────────────────────────────┐</w:t>
        <w:br/>
        <w:t xml:space="preserve"> │ 2. Cryptographic JWT Bearer Token Signature Validator  │</w:t>
        <w:br/>
        <w:t xml:space="preserve"> └───────────────────────┬────────────────────────────────┘</w:t>
        <w:br/>
        <w:t xml:space="preserve">                         ▼</w:t>
        <w:br/>
        <w:t xml:space="preserve"> ┌────────────────────────────────────────────────────────┐</w:t>
        <w:br/>
        <w:t xml:space="preserve"> │ 3. FluentValidation Pre-Route Model Schema Guard       │</w:t>
        <w:br/>
        <w:t xml:space="preserve"> └───────────────────────┬────────────────────────────────┘</w:t>
        <w:br/>
        <w:t xml:space="preserve">                         ▼</w:t>
        <w:br/>
        <w:t xml:space="preserve"> ┌────────────────────────────────────────────────────────┐</w:t>
        <w:br/>
        <w:t xml:space="preserve"> │ 4. Domain Controller / Business Logic Scopes           │</w:t>
        <w:br/>
        <w:t xml:space="preserve"> └───────────────────────┬────────────────────────────────┘</w:t>
        <w:br/>
        <w:t xml:space="preserve">                         ▼</w:t>
        <w:br/>
        <w:t xml:space="preserve"> ┌────────────────────────────────────────────────────────┐</w:t>
        <w:br/>
        <w:t xml:space="preserve"> │ 5. Entity Framework Core Unit of Work Repository Context│</w:t>
        <w:br/>
        <w:t xml:space="preserve"> └───────────────────────┬────────────────────────────────┘</w:t>
        <w:br/>
        <w:t xml:space="preserve">                         ▼</w:t>
        <w:br/>
        <w:t xml:space="preserve"> [Relational SQL Server Production Database Engine]</w:t>
      </w:r>
    </w:p>
    <w:p>
      <w:pPr>
        <w:keepNext/>
        <w:spacing w:before="280" w:after="80"/>
      </w:pPr>
      <w:r>
        <w:rPr>
          <w:rFonts w:ascii="Calibri" w:hAnsi="Calibri"/>
          <w:b/>
          <w:color w:val="5D6D7E"/>
          <w:sz w:val="26"/>
        </w:rPr>
        <w:t>6.2 Decoupled Solution File Structure Directory Topography</w:t>
      </w:r>
    </w:p>
    <w:p>
      <w:pPr>
        <w:spacing w:after="80" w:before="80"/>
        <w:ind w:left="360"/>
      </w:pPr>
      <w:r>
        <w:rPr>
          <w:rFonts w:ascii="Consolas" w:hAnsi="Consolas"/>
          <w:color w:val="212F3D"/>
          <w:sz w:val="19"/>
        </w:rPr>
        <w:t xml:space="preserve"> DemoERP.Solution/</w:t>
        <w:br/>
        <w:t xml:space="preserve"> ├── DemoERP.Api/                   # Presentation Edge Routing Layer</w:t>
        <w:br/>
        <w:t xml:space="preserve"> │   ├── Controllers/               # Endpoint Route Handlers</w:t>
        <w:br/>
        <w:t xml:space="preserve"> │   ├── Middleware/                # Centralized Exception and Security Filters</w:t>
        <w:br/>
        <w:t xml:space="preserve"> │   └── Program.cs                 # IoC Bootstrapper Framework Setup</w:t>
        <w:br/>
        <w:t xml:space="preserve"> ├── DemoERP.Core/                  # Pure Business Domain Engine</w:t>
        <w:br/>
        <w:t xml:space="preserve"> │   ├── Models/                    # Relational Table Mapping POCO Definitions</w:t>
        <w:br/>
        <w:t xml:space="preserve"> │   ├── Services/                  # Business Rule Operators</w:t>
        <w:br/>
        <w:t xml:space="preserve"> │   └── Validators/                # FluentValidation Fluent Rule Formats</w:t>
        <w:br/>
        <w:t xml:space="preserve"> └── DemoERP.Tests/                 # Automated Code Quality Suites</w:t>
        <w:br/>
        <w:t xml:space="preserve">     ├── AuthTests.cs               # Authentication Engine Test Tracks</w:t>
        <w:br/>
        <w:t xml:space="preserve">     ├── SecurityTests.cs           # Token Scenarios and Negative Path Asserts</w:t>
        <w:br/>
        <w:t xml:space="preserve">     └── CustomerSyncTests.cs       # Data Sync Loop Integration Scenarios</w:t>
      </w:r>
    </w:p>
    <w:p>
      <w:pPr>
        <w:keepNext/>
        <w:spacing w:before="440" w:after="120"/>
      </w:pPr>
      <w:r>
        <w:rPr>
          <w:rFonts w:ascii="Calibri" w:hAnsi="Calibri"/>
          <w:b/>
          <w:color w:val="182B49"/>
          <w:sz w:val="32"/>
        </w:rPr>
        <w:t>7. Database Design &amp; Logical Data Relationships</w:t>
      </w:r>
    </w:p>
    <w:p>
      <w:pPr>
        <w:spacing w:after="120" w:line="276" w:lineRule="auto"/>
      </w:pPr>
      <w:r>
        <w:rPr>
          <w:b w:val="0"/>
        </w:rPr>
        <w:t>The database model isolates operational user data from core corporate information, applying soft-delete filters to preserve historical business trails for auditing.</w:t>
      </w:r>
    </w:p>
    <w:p>
      <w:pPr>
        <w:keepNext/>
        <w:spacing w:before="280" w:after="80"/>
      </w:pPr>
      <w:r>
        <w:rPr>
          <w:rFonts w:ascii="Calibri" w:hAnsi="Calibri"/>
          <w:b/>
          <w:color w:val="5D6D7E"/>
          <w:sz w:val="26"/>
        </w:rPr>
        <w:t>7.1 Logical Relational Data Schema Map</w:t>
      </w:r>
    </w:p>
    <w:p>
      <w:pPr>
        <w:spacing w:after="80" w:before="80"/>
        <w:ind w:left="360"/>
      </w:pPr>
      <w:r>
        <w:rPr>
          <w:rFonts w:ascii="Consolas" w:hAnsi="Consolas"/>
          <w:color w:val="212F3D"/>
          <w:sz w:val="19"/>
        </w:rPr>
        <w:t xml:space="preserve">  ┌─────────────────────────────────┐           ┌─────────────────────────────────┐</w:t>
        <w:br/>
        <w:t xml:space="preserve">  │           Users Table           │           │         Customers Table         │</w:t>
        <w:br/>
        <w:t xml:space="preserve">  ├─────────────────────────────────┤           ├─────────────────────────────────┤</w:t>
        <w:br/>
        <w:t xml:space="preserve">  │ PK │ Id           (int)         │           │ PK │ Id               (int)     │</w:t>
        <w:br/>
        <w:t xml:space="preserve">  │    │ Username     (varchar)     │           │    │ CRMCustomerID    (guid)    │</w:t>
        <w:br/>
        <w:t xml:space="preserve">  │    │ PasswordHash (varchar)     │           │    │ CompanyName      (varchar) │</w:t>
        <w:br/>
        <w:t xml:space="preserve">  │    │ Role         (varchar)     │◄─────────┼─FK │ AssignedQAUserId (int)     │</w:t>
        <w:br/>
        <w:t xml:space="preserve">  └─────────────────────────────────┘           │    │ Email            (varchar) │</w:t>
        <w:br/>
        <w:t xml:space="preserve">                                                │    │ Phone            (varchar) │</w:t>
        <w:br/>
        <w:t xml:space="preserve">                                                │    │ IsDeleted        (bit)     │</w:t>
        <w:br/>
        <w:t xml:space="preserve">                                                └─────────────────────────────────┘</w:t>
      </w:r>
    </w:p>
    <w:p>
      <w:pPr>
        <w:keepNext/>
        <w:spacing w:before="440" w:after="120"/>
      </w:pPr>
      <w:r>
        <w:rPr>
          <w:rFonts w:ascii="Calibri" w:hAnsi="Calibri"/>
          <w:b/>
          <w:color w:val="182B49"/>
          <w:sz w:val="32"/>
        </w:rPr>
        <w:t>8. Security Design &amp; Threat Mitigation Controls</w:t>
      </w:r>
    </w:p>
    <w:p>
      <w:pPr>
        <w:spacing w:after="120" w:line="276" w:lineRule="auto"/>
      </w:pPr>
      <w:r>
        <w:rPr>
          <w:b w:val="0"/>
        </w:rPr>
        <w:t>Security configurations rely on defensive input processing. Strong object serialization with dedicated Data Transfer Objects (DTOs) blocks parameterized SQL injection risks, while anonymous traffic is systematically rejected at the gateway boundary.</w:t>
      </w:r>
    </w:p>
    <w:p>
      <w:pPr>
        <w:keepNext/>
        <w:spacing w:before="440" w:after="120"/>
      </w:pPr>
      <w:r>
        <w:rPr>
          <w:rFonts w:ascii="Calibri" w:hAnsi="Calibri"/>
          <w:b/>
          <w:color w:val="182B49"/>
          <w:sz w:val="32"/>
        </w:rPr>
        <w:t>9. Enterprise Business Logic Rules</w:t>
      </w:r>
    </w:p>
    <w:p>
      <w:pPr>
        <w:spacing w:after="120" w:line="276" w:lineRule="auto"/>
      </w:pPr>
      <w:r>
        <w:rPr>
          <w:b w:val="0"/>
        </w:rPr>
        <w:t>• Regional Workspace Limitations: QA users are restricted from querying or altering customer profile records outside their designated workspace scope.</w:t>
      </w:r>
    </w:p>
    <w:p>
      <w:pPr>
        <w:spacing w:after="120" w:line="276" w:lineRule="auto"/>
      </w:pPr>
      <w:r>
        <w:rPr>
          <w:b w:val="0"/>
        </w:rPr>
        <w:t>• Synchronization Conflict Flow: Incoming synchronization data containing a duplicate active natural key causes the pipeline to halt with a 409 Conflict code, protecting existing row tracking data from unverified mutations.</w:t>
      </w:r>
    </w:p>
    <w:p>
      <w:pPr>
        <w:keepNext/>
        <w:spacing w:before="440" w:after="120"/>
      </w:pPr>
      <w:r>
        <w:rPr>
          <w:rFonts w:ascii="Calibri" w:hAnsi="Calibri"/>
          <w:b/>
          <w:color w:val="182B49"/>
          <w:sz w:val="32"/>
        </w:rPr>
        <w:t>10. Token-Based Authentication Scheme</w:t>
      </w:r>
    </w:p>
    <w:p>
      <w:pPr>
        <w:spacing w:after="120" w:line="276" w:lineRule="auto"/>
      </w:pPr>
      <w:r>
        <w:rPr>
          <w:b w:val="0"/>
        </w:rPr>
        <w:t>The security model relies on state-free, cryptographically sound JSON Web Tokens (JWT) signed via HMAC-SHA256 configurations. Incoming web commands must provide this identity string inside the HTTP standard parameter: 'Authorization: Bearer {JWT}'.</w:t>
      </w:r>
    </w:p>
    <w:p>
      <w:pPr>
        <w:keepNext/>
        <w:spacing w:before="440" w:after="120"/>
      </w:pPr>
      <w:r>
        <w:rPr>
          <w:rFonts w:ascii="Calibri" w:hAnsi="Calibri"/>
          <w:b/>
          <w:color w:val="182B49"/>
          <w:sz w:val="32"/>
        </w:rPr>
        <w:t>11. Role-Based Access Control (RBAC) Authorization Matrix</w:t>
      </w:r>
    </w:p>
    <w:p>
      <w:pPr>
        <w:spacing w:after="120" w:line="276" w:lineRule="auto"/>
      </w:pPr>
      <w:r>
        <w:rPr>
          <w:b w:val="0"/>
        </w:rPr>
        <w:t>The following authorization rules regulate endpoint accessibility across core system profiles: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82B49"/>
            <w:tcMar>
              <w:top w:w="120" w:type="dxa"/>
              <w:bottom w:w="120" w:type="dxa"/>
              <w:left w:w="150" w:type="dxa"/>
              <w:right w:w="150" w:type="dxa"/>
            </w:tcMar>
          </w:tcPr>
          <w:p>
            <w:pPr>
              <w:jc w:val="left"/>
            </w:pPr>
            <w:r>
              <w:rPr>
                <w:b/>
                <w:color w:val="FFFFFF"/>
                <w:sz w:val="20"/>
              </w:rPr>
              <w:t>API Router Path</w:t>
            </w:r>
          </w:p>
        </w:tc>
        <w:tc>
          <w:tcPr>
            <w:tcW w:type="dxa" w:w="2340"/>
            <w:shd w:fill="182B49"/>
            <w:tcMar>
              <w:top w:w="120" w:type="dxa"/>
              <w:bottom w:w="120" w:type="dxa"/>
              <w:left w:w="150" w:type="dxa"/>
              <w:right w:w="150" w:type="dxa"/>
            </w:tcMar>
          </w:tcPr>
          <w:p>
            <w:pPr>
              <w:jc w:val="left"/>
            </w:pPr>
            <w:r>
              <w:rPr>
                <w:b/>
                <w:color w:val="FFFFFF"/>
                <w:sz w:val="20"/>
              </w:rPr>
              <w:t>User Role Context</w:t>
            </w:r>
          </w:p>
        </w:tc>
        <w:tc>
          <w:tcPr>
            <w:tcW w:type="dxa" w:w="2340"/>
            <w:shd w:fill="182B49"/>
            <w:tcMar>
              <w:top w:w="120" w:type="dxa"/>
              <w:bottom w:w="120" w:type="dxa"/>
              <w:left w:w="150" w:type="dxa"/>
              <w:right w:w="150" w:type="dxa"/>
            </w:tcMar>
          </w:tcPr>
          <w:p>
            <w:pPr>
              <w:jc w:val="left"/>
            </w:pPr>
            <w:r>
              <w:rPr>
                <w:b/>
                <w:color w:val="FFFFFF"/>
                <w:sz w:val="20"/>
              </w:rPr>
              <w:t>Access Level Directive</w:t>
            </w:r>
          </w:p>
        </w:tc>
        <w:tc>
          <w:tcPr>
            <w:tcW w:type="dxa" w:w="2340"/>
            <w:shd w:fill="182B49"/>
            <w:tcMar>
              <w:top w:w="120" w:type="dxa"/>
              <w:bottom w:w="120" w:type="dxa"/>
              <w:left w:w="150" w:type="dxa"/>
              <w:right w:w="150" w:type="dxa"/>
            </w:tcMar>
          </w:tcPr>
          <w:p>
            <w:pPr>
              <w:jc w:val="left"/>
            </w:pPr>
            <w:r>
              <w:rPr>
                <w:b/>
                <w:color w:val="FFFFFF"/>
                <w:sz w:val="20"/>
              </w:rPr>
              <w:t>Operational Notes</w:t>
            </w:r>
          </w:p>
        </w:tc>
      </w:tr>
      <w:tr>
        <w:tc>
          <w:tcPr>
            <w:tcW w:type="dxa" w:w="2340"/>
            <w:shd w:fill="FFFFFF"/>
            <w:tcMar>
              <w:top w:w="120" w:type="dxa"/>
              <w:bottom w:w="120" w:type="dxa"/>
              <w:left w:w="150" w:type="dxa"/>
              <w:right w:w="150" w:type="dxa"/>
            </w:tcMar>
          </w:tcPr>
          <w:p>
            <w:r>
              <w:rPr>
                <w:color w:val="2C3540"/>
                <w:sz w:val="19"/>
              </w:rPr>
              <w:t>/api/auth/login</w:t>
            </w:r>
          </w:p>
        </w:tc>
        <w:tc>
          <w:tcPr>
            <w:tcW w:type="dxa" w:w="2340"/>
            <w:shd w:fill="FFFFFF"/>
            <w:tcMar>
              <w:top w:w="120" w:type="dxa"/>
              <w:bottom w:w="120" w:type="dxa"/>
              <w:left w:w="150" w:type="dxa"/>
              <w:right w:w="150" w:type="dxa"/>
            </w:tcMar>
          </w:tcPr>
          <w:p>
            <w:r>
              <w:rPr>
                <w:color w:val="2C3540"/>
                <w:sz w:val="19"/>
              </w:rPr>
              <w:t>Anonymous</w:t>
            </w:r>
          </w:p>
        </w:tc>
        <w:tc>
          <w:tcPr>
            <w:tcW w:type="dxa" w:w="2340"/>
            <w:shd w:fill="FFFFFF"/>
            <w:tcMar>
              <w:top w:w="120" w:type="dxa"/>
              <w:bottom w:w="120" w:type="dxa"/>
              <w:left w:w="150" w:type="dxa"/>
              <w:right w:w="150" w:type="dxa"/>
            </w:tcMar>
          </w:tcPr>
          <w:p>
            <w:r>
              <w:rPr>
                <w:color w:val="2C3540"/>
                <w:sz w:val="19"/>
              </w:rPr>
              <w:t>Allowed</w:t>
            </w:r>
          </w:p>
        </w:tc>
        <w:tc>
          <w:tcPr>
            <w:tcW w:type="dxa" w:w="2340"/>
            <w:shd w:fill="FFFFFF"/>
            <w:tcMar>
              <w:top w:w="120" w:type="dxa"/>
              <w:bottom w:w="120" w:type="dxa"/>
              <w:left w:w="150" w:type="dxa"/>
              <w:right w:w="150" w:type="dxa"/>
            </w:tcMar>
          </w:tcPr>
          <w:p>
            <w:r>
              <w:rPr>
                <w:color w:val="2C3540"/>
                <w:sz w:val="19"/>
              </w:rPr>
              <w:t>Login endpoint</w:t>
            </w:r>
          </w:p>
        </w:tc>
      </w:tr>
      <w:tr>
        <w:tc>
          <w:tcPr>
            <w:tcW w:type="dxa" w:w="2340"/>
            <w:shd w:fill="F4F6F9"/>
            <w:tcMar>
              <w:top w:w="120" w:type="dxa"/>
              <w:bottom w:w="120" w:type="dxa"/>
              <w:left w:w="150" w:type="dxa"/>
              <w:right w:w="150" w:type="dxa"/>
            </w:tcMar>
          </w:tcPr>
          <w:p>
            <w:r>
              <w:rPr>
                <w:color w:val="2C3540"/>
                <w:sz w:val="19"/>
              </w:rPr>
              <w:t>/api/customers/{id}</w:t>
            </w:r>
          </w:p>
        </w:tc>
        <w:tc>
          <w:tcPr>
            <w:tcW w:type="dxa" w:w="2340"/>
            <w:shd w:fill="F4F6F9"/>
            <w:tcMar>
              <w:top w:w="120" w:type="dxa"/>
              <w:bottom w:w="120" w:type="dxa"/>
              <w:left w:w="150" w:type="dxa"/>
              <w:right w:w="150" w:type="dxa"/>
            </w:tcMar>
          </w:tcPr>
          <w:p>
            <w:r>
              <w:rPr>
                <w:color w:val="2C3540"/>
                <w:sz w:val="19"/>
              </w:rPr>
              <w:t>Admin</w:t>
            </w:r>
          </w:p>
        </w:tc>
        <w:tc>
          <w:tcPr>
            <w:tcW w:type="dxa" w:w="2340"/>
            <w:shd w:fill="F4F6F9"/>
            <w:tcMar>
              <w:top w:w="120" w:type="dxa"/>
              <w:bottom w:w="120" w:type="dxa"/>
              <w:left w:w="150" w:type="dxa"/>
              <w:right w:w="150" w:type="dxa"/>
            </w:tcMar>
          </w:tcPr>
          <w:p>
            <w:r>
              <w:rPr>
                <w:color w:val="2C3540"/>
                <w:sz w:val="19"/>
              </w:rPr>
              <w:t>Allow any customer</w:t>
            </w:r>
          </w:p>
        </w:tc>
        <w:tc>
          <w:tcPr>
            <w:tcW w:type="dxa" w:w="2340"/>
            <w:shd w:fill="F4F6F9"/>
            <w:tcMar>
              <w:top w:w="120" w:type="dxa"/>
              <w:bottom w:w="120" w:type="dxa"/>
              <w:left w:w="150" w:type="dxa"/>
              <w:right w:w="150" w:type="dxa"/>
            </w:tcMar>
          </w:tcPr>
          <w:p>
            <w:r>
              <w:rPr>
                <w:color w:val="2C3540"/>
                <w:sz w:val="19"/>
              </w:rPr>
              <w:t>Read</w:t>
            </w:r>
          </w:p>
        </w:tc>
      </w:tr>
      <w:tr>
        <w:tc>
          <w:tcPr>
            <w:tcW w:type="dxa" w:w="2340"/>
            <w:shd w:fill="FFFFFF"/>
            <w:tcMar>
              <w:top w:w="120" w:type="dxa"/>
              <w:bottom w:w="120" w:type="dxa"/>
              <w:left w:w="150" w:type="dxa"/>
              <w:right w:w="150" w:type="dxa"/>
            </w:tcMar>
          </w:tcPr>
          <w:p>
            <w:r>
              <w:rPr>
                <w:color w:val="2C3540"/>
                <w:sz w:val="19"/>
              </w:rPr>
              <w:t>/api/customers/{id}</w:t>
            </w:r>
          </w:p>
        </w:tc>
        <w:tc>
          <w:tcPr>
            <w:tcW w:type="dxa" w:w="2340"/>
            <w:shd w:fill="FFFFFF"/>
            <w:tcMar>
              <w:top w:w="120" w:type="dxa"/>
              <w:bottom w:w="120" w:type="dxa"/>
              <w:left w:w="150" w:type="dxa"/>
              <w:right w:w="150" w:type="dxa"/>
            </w:tcMar>
          </w:tcPr>
          <w:p>
            <w:r>
              <w:rPr>
                <w:color w:val="2C3540"/>
                <w:sz w:val="19"/>
              </w:rPr>
              <w:t>QA</w:t>
            </w:r>
          </w:p>
        </w:tc>
        <w:tc>
          <w:tcPr>
            <w:tcW w:type="dxa" w:w="2340"/>
            <w:shd w:fill="FFFFFF"/>
            <w:tcMar>
              <w:top w:w="120" w:type="dxa"/>
              <w:bottom w:w="120" w:type="dxa"/>
              <w:left w:w="150" w:type="dxa"/>
              <w:right w:w="150" w:type="dxa"/>
            </w:tcMar>
          </w:tcPr>
          <w:p>
            <w:r>
              <w:rPr>
                <w:color w:val="2C3540"/>
                <w:sz w:val="19"/>
              </w:rPr>
              <w:t>Allow assigned/owned customers only</w:t>
            </w:r>
          </w:p>
        </w:tc>
        <w:tc>
          <w:tcPr>
            <w:tcW w:type="dxa" w:w="2340"/>
            <w:shd w:fill="FFFFFF"/>
            <w:tcMar>
              <w:top w:w="120" w:type="dxa"/>
              <w:bottom w:w="120" w:type="dxa"/>
              <w:left w:w="150" w:type="dxa"/>
              <w:right w:w="150" w:type="dxa"/>
            </w:tcMar>
          </w:tcPr>
          <w:p>
            <w:r>
              <w:rPr>
                <w:color w:val="2C3540"/>
                <w:sz w:val="19"/>
              </w:rPr>
              <w:t>Read</w:t>
            </w:r>
          </w:p>
        </w:tc>
      </w:tr>
      <w:tr>
        <w:tc>
          <w:tcPr>
            <w:tcW w:type="dxa" w:w="2340"/>
            <w:shd w:fill="F4F6F9"/>
            <w:tcMar>
              <w:top w:w="120" w:type="dxa"/>
              <w:bottom w:w="120" w:type="dxa"/>
              <w:left w:w="150" w:type="dxa"/>
              <w:right w:w="150" w:type="dxa"/>
            </w:tcMar>
          </w:tcPr>
          <w:p>
            <w:r>
              <w:rPr>
                <w:color w:val="2C3540"/>
                <w:sz w:val="19"/>
              </w:rPr>
              <w:t>/api/customers/{id}</w:t>
            </w:r>
          </w:p>
        </w:tc>
        <w:tc>
          <w:tcPr>
            <w:tcW w:type="dxa" w:w="2340"/>
            <w:shd w:fill="F4F6F9"/>
            <w:tcMar>
              <w:top w:w="120" w:type="dxa"/>
              <w:bottom w:w="120" w:type="dxa"/>
              <w:left w:w="150" w:type="dxa"/>
              <w:right w:w="150" w:type="dxa"/>
            </w:tcMar>
          </w:tcPr>
          <w:p>
            <w:r>
              <w:rPr>
                <w:color w:val="2C3540"/>
                <w:sz w:val="19"/>
              </w:rPr>
              <w:t>Customer</w:t>
            </w:r>
          </w:p>
        </w:tc>
        <w:tc>
          <w:tcPr>
            <w:tcW w:type="dxa" w:w="2340"/>
            <w:shd w:fill="F4F6F9"/>
            <w:tcMar>
              <w:top w:w="120" w:type="dxa"/>
              <w:bottom w:w="120" w:type="dxa"/>
              <w:left w:w="150" w:type="dxa"/>
              <w:right w:w="150" w:type="dxa"/>
            </w:tcMar>
          </w:tcPr>
          <w:p>
            <w:r>
              <w:rPr>
                <w:color w:val="2C3540"/>
                <w:sz w:val="19"/>
              </w:rPr>
              <w:t>Allow own record only</w:t>
            </w:r>
          </w:p>
        </w:tc>
        <w:tc>
          <w:tcPr>
            <w:tcW w:type="dxa" w:w="2340"/>
            <w:shd w:fill="F4F6F9"/>
            <w:tcMar>
              <w:top w:w="120" w:type="dxa"/>
              <w:bottom w:w="120" w:type="dxa"/>
              <w:left w:w="150" w:type="dxa"/>
              <w:right w:w="150" w:type="dxa"/>
            </w:tcMar>
          </w:tcPr>
          <w:p>
            <w:r>
              <w:rPr>
                <w:color w:val="2C3540"/>
                <w:sz w:val="19"/>
              </w:rPr>
              <w:t>Read</w:t>
            </w:r>
          </w:p>
        </w:tc>
      </w:tr>
      <w:tr>
        <w:tc>
          <w:tcPr>
            <w:tcW w:type="dxa" w:w="2340"/>
            <w:shd w:fill="FFFFFF"/>
            <w:tcMar>
              <w:top w:w="120" w:type="dxa"/>
              <w:bottom w:w="120" w:type="dxa"/>
              <w:left w:w="150" w:type="dxa"/>
              <w:right w:w="150" w:type="dxa"/>
            </w:tcMar>
          </w:tcPr>
          <w:p>
            <w:r>
              <w:rPr>
                <w:color w:val="2C3540"/>
                <w:sz w:val="19"/>
              </w:rPr>
              <w:t>/api/customers/{id}</w:t>
            </w:r>
          </w:p>
        </w:tc>
        <w:tc>
          <w:tcPr>
            <w:tcW w:type="dxa" w:w="2340"/>
            <w:shd w:fill="FFFFFF"/>
            <w:tcMar>
              <w:top w:w="120" w:type="dxa"/>
              <w:bottom w:w="120" w:type="dxa"/>
              <w:left w:w="150" w:type="dxa"/>
              <w:right w:w="150" w:type="dxa"/>
            </w:tcMar>
          </w:tcPr>
          <w:p>
            <w:r>
              <w:rPr>
                <w:color w:val="2C3540"/>
                <w:sz w:val="19"/>
              </w:rPr>
              <w:t>Null/Anonymous/Unsupported role</w:t>
            </w:r>
          </w:p>
        </w:tc>
        <w:tc>
          <w:tcPr>
            <w:tcW w:type="dxa" w:w="2340"/>
            <w:shd w:fill="FFFFFF"/>
            <w:tcMar>
              <w:top w:w="120" w:type="dxa"/>
              <w:bottom w:w="120" w:type="dxa"/>
              <w:left w:w="150" w:type="dxa"/>
              <w:right w:w="150" w:type="dxa"/>
            </w:tcMar>
          </w:tcPr>
          <w:p>
            <w:r>
              <w:rPr>
                <w:color w:val="2C3540"/>
                <w:sz w:val="19"/>
              </w:rPr>
              <w:t>Deny (403)</w:t>
            </w:r>
          </w:p>
        </w:tc>
        <w:tc>
          <w:tcPr>
            <w:tcW w:type="dxa" w:w="2340"/>
            <w:shd w:fill="FFFFFF"/>
            <w:tcMar>
              <w:top w:w="120" w:type="dxa"/>
              <w:bottom w:w="120" w:type="dxa"/>
              <w:left w:w="150" w:type="dxa"/>
              <w:right w:w="150" w:type="dxa"/>
            </w:tcMar>
          </w:tcPr>
          <w:p>
            <w:r>
              <w:rPr>
                <w:color w:val="2C3540"/>
                <w:sz w:val="19"/>
              </w:rPr>
              <w:t>Read</w:t>
            </w:r>
          </w:p>
        </w:tc>
      </w:tr>
      <w:tr>
        <w:tc>
          <w:tcPr>
            <w:tcW w:type="dxa" w:w="2340"/>
            <w:shd w:fill="F4F6F9"/>
            <w:tcMar>
              <w:top w:w="120" w:type="dxa"/>
              <w:bottom w:w="120" w:type="dxa"/>
              <w:left w:w="150" w:type="dxa"/>
              <w:right w:w="150" w:type="dxa"/>
            </w:tcMar>
          </w:tcPr>
          <w:p>
            <w:r>
              <w:rPr>
                <w:color w:val="2C3540"/>
                <w:sz w:val="19"/>
              </w:rPr>
              <w:t>PUT /api/customers/{id}</w:t>
            </w:r>
          </w:p>
        </w:tc>
        <w:tc>
          <w:tcPr>
            <w:tcW w:type="dxa" w:w="2340"/>
            <w:shd w:fill="F4F6F9"/>
            <w:tcMar>
              <w:top w:w="120" w:type="dxa"/>
              <w:bottom w:w="120" w:type="dxa"/>
              <w:left w:w="150" w:type="dxa"/>
              <w:right w:w="150" w:type="dxa"/>
            </w:tcMar>
          </w:tcPr>
          <w:p>
            <w:r>
              <w:rPr>
                <w:color w:val="2C3540"/>
                <w:sz w:val="19"/>
              </w:rPr>
              <w:t>Admin</w:t>
            </w:r>
          </w:p>
        </w:tc>
        <w:tc>
          <w:tcPr>
            <w:tcW w:type="dxa" w:w="2340"/>
            <w:shd w:fill="F4F6F9"/>
            <w:tcMar>
              <w:top w:w="120" w:type="dxa"/>
              <w:bottom w:w="120" w:type="dxa"/>
              <w:left w:w="150" w:type="dxa"/>
              <w:right w:w="150" w:type="dxa"/>
            </w:tcMar>
          </w:tcPr>
          <w:p>
            <w:r>
              <w:rPr>
                <w:color w:val="2C3540"/>
                <w:sz w:val="19"/>
              </w:rPr>
              <w:t>Allow any customer</w:t>
            </w:r>
          </w:p>
        </w:tc>
        <w:tc>
          <w:tcPr>
            <w:tcW w:type="dxa" w:w="2340"/>
            <w:shd w:fill="F4F6F9"/>
            <w:tcMar>
              <w:top w:w="120" w:type="dxa"/>
              <w:bottom w:w="120" w:type="dxa"/>
              <w:left w:w="150" w:type="dxa"/>
              <w:right w:w="150" w:type="dxa"/>
            </w:tcMar>
          </w:tcPr>
          <w:p>
            <w:r>
              <w:rPr>
                <w:color w:val="2C3540"/>
                <w:sz w:val="19"/>
              </w:rPr>
              <w:t>Update</w:t>
            </w:r>
          </w:p>
        </w:tc>
      </w:tr>
      <w:tr>
        <w:tc>
          <w:tcPr>
            <w:tcW w:type="dxa" w:w="2340"/>
            <w:shd w:fill="FFFFFF"/>
            <w:tcMar>
              <w:top w:w="120" w:type="dxa"/>
              <w:bottom w:w="120" w:type="dxa"/>
              <w:left w:w="150" w:type="dxa"/>
              <w:right w:w="150" w:type="dxa"/>
            </w:tcMar>
          </w:tcPr>
          <w:p>
            <w:r>
              <w:rPr>
                <w:color w:val="2C3540"/>
                <w:sz w:val="19"/>
              </w:rPr>
              <w:t>PUT /api/customers/{id}</w:t>
            </w:r>
          </w:p>
        </w:tc>
        <w:tc>
          <w:tcPr>
            <w:tcW w:type="dxa" w:w="2340"/>
            <w:shd w:fill="FFFFFF"/>
            <w:tcMar>
              <w:top w:w="120" w:type="dxa"/>
              <w:bottom w:w="120" w:type="dxa"/>
              <w:left w:w="150" w:type="dxa"/>
              <w:right w:w="150" w:type="dxa"/>
            </w:tcMar>
          </w:tcPr>
          <w:p>
            <w:r>
              <w:rPr>
                <w:color w:val="2C3540"/>
                <w:sz w:val="19"/>
              </w:rPr>
              <w:t>QA</w:t>
            </w:r>
          </w:p>
        </w:tc>
        <w:tc>
          <w:tcPr>
            <w:tcW w:type="dxa" w:w="2340"/>
            <w:shd w:fill="FFFFFF"/>
            <w:tcMar>
              <w:top w:w="120" w:type="dxa"/>
              <w:bottom w:w="120" w:type="dxa"/>
              <w:left w:w="150" w:type="dxa"/>
              <w:right w:w="150" w:type="dxa"/>
            </w:tcMar>
          </w:tcPr>
          <w:p>
            <w:r>
              <w:rPr>
                <w:color w:val="2C3540"/>
                <w:sz w:val="19"/>
              </w:rPr>
              <w:t>Allow assigned/owned customers only</w:t>
            </w:r>
          </w:p>
        </w:tc>
        <w:tc>
          <w:tcPr>
            <w:tcW w:type="dxa" w:w="2340"/>
            <w:shd w:fill="FFFFFF"/>
            <w:tcMar>
              <w:top w:w="120" w:type="dxa"/>
              <w:bottom w:w="120" w:type="dxa"/>
              <w:left w:w="150" w:type="dxa"/>
              <w:right w:w="150" w:type="dxa"/>
            </w:tcMar>
          </w:tcPr>
          <w:p>
            <w:r>
              <w:rPr>
                <w:color w:val="2C3540"/>
                <w:sz w:val="19"/>
              </w:rPr>
              <w:t>Update</w:t>
            </w:r>
          </w:p>
        </w:tc>
      </w:tr>
      <w:tr>
        <w:tc>
          <w:tcPr>
            <w:tcW w:type="dxa" w:w="2340"/>
            <w:shd w:fill="F4F6F9"/>
            <w:tcMar>
              <w:top w:w="120" w:type="dxa"/>
              <w:bottom w:w="120" w:type="dxa"/>
              <w:left w:w="150" w:type="dxa"/>
              <w:right w:w="150" w:type="dxa"/>
            </w:tcMar>
          </w:tcPr>
          <w:p>
            <w:r>
              <w:rPr>
                <w:color w:val="2C3540"/>
                <w:sz w:val="19"/>
              </w:rPr>
              <w:t>PUT /api/customers/{id}</w:t>
            </w:r>
          </w:p>
        </w:tc>
        <w:tc>
          <w:tcPr>
            <w:tcW w:type="dxa" w:w="2340"/>
            <w:shd w:fill="F4F6F9"/>
            <w:tcMar>
              <w:top w:w="120" w:type="dxa"/>
              <w:bottom w:w="120" w:type="dxa"/>
              <w:left w:w="150" w:type="dxa"/>
              <w:right w:w="150" w:type="dxa"/>
            </w:tcMar>
          </w:tcPr>
          <w:p>
            <w:r>
              <w:rPr>
                <w:color w:val="2C3540"/>
                <w:sz w:val="19"/>
              </w:rPr>
              <w:t>Customer</w:t>
            </w:r>
          </w:p>
        </w:tc>
        <w:tc>
          <w:tcPr>
            <w:tcW w:type="dxa" w:w="2340"/>
            <w:shd w:fill="F4F6F9"/>
            <w:tcMar>
              <w:top w:w="120" w:type="dxa"/>
              <w:bottom w:w="120" w:type="dxa"/>
              <w:left w:w="150" w:type="dxa"/>
              <w:right w:w="150" w:type="dxa"/>
            </w:tcMar>
          </w:tcPr>
          <w:p>
            <w:r>
              <w:rPr>
                <w:color w:val="2C3540"/>
                <w:sz w:val="19"/>
              </w:rPr>
              <w:t>Allow own record only</w:t>
            </w:r>
          </w:p>
        </w:tc>
        <w:tc>
          <w:tcPr>
            <w:tcW w:type="dxa" w:w="2340"/>
            <w:shd w:fill="F4F6F9"/>
            <w:tcMar>
              <w:top w:w="120" w:type="dxa"/>
              <w:bottom w:w="120" w:type="dxa"/>
              <w:left w:w="150" w:type="dxa"/>
              <w:right w:w="150" w:type="dxa"/>
            </w:tcMar>
          </w:tcPr>
          <w:p>
            <w:r>
              <w:rPr>
                <w:color w:val="2C3540"/>
                <w:sz w:val="19"/>
              </w:rPr>
              <w:t>Update</w:t>
            </w:r>
          </w:p>
        </w:tc>
      </w:tr>
      <w:tr>
        <w:tc>
          <w:tcPr>
            <w:tcW w:type="dxa" w:w="2340"/>
            <w:shd w:fill="FFFFFF"/>
            <w:tcMar>
              <w:top w:w="120" w:type="dxa"/>
              <w:bottom w:w="120" w:type="dxa"/>
              <w:left w:w="150" w:type="dxa"/>
              <w:right w:w="150" w:type="dxa"/>
            </w:tcMar>
          </w:tcPr>
          <w:p>
            <w:r>
              <w:rPr>
                <w:color w:val="2C3540"/>
                <w:sz w:val="19"/>
              </w:rPr>
              <w:t>PUT /api/customers/{id}</w:t>
            </w:r>
          </w:p>
        </w:tc>
        <w:tc>
          <w:tcPr>
            <w:tcW w:type="dxa" w:w="2340"/>
            <w:shd w:fill="FFFFFF"/>
            <w:tcMar>
              <w:top w:w="120" w:type="dxa"/>
              <w:bottom w:w="120" w:type="dxa"/>
              <w:left w:w="150" w:type="dxa"/>
              <w:right w:w="150" w:type="dxa"/>
            </w:tcMar>
          </w:tcPr>
          <w:p>
            <w:r>
              <w:rPr>
                <w:color w:val="2C3540"/>
                <w:sz w:val="19"/>
              </w:rPr>
              <w:t>Null/Anonymous/Unsupported role</w:t>
            </w:r>
          </w:p>
        </w:tc>
        <w:tc>
          <w:tcPr>
            <w:tcW w:type="dxa" w:w="2340"/>
            <w:shd w:fill="FFFFFF"/>
            <w:tcMar>
              <w:top w:w="120" w:type="dxa"/>
              <w:bottom w:w="120" w:type="dxa"/>
              <w:left w:w="150" w:type="dxa"/>
              <w:right w:w="150" w:type="dxa"/>
            </w:tcMar>
          </w:tcPr>
          <w:p>
            <w:r>
              <w:rPr>
                <w:color w:val="2C3540"/>
                <w:sz w:val="19"/>
              </w:rPr>
              <w:t>Deny (403)</w:t>
            </w:r>
          </w:p>
        </w:tc>
        <w:tc>
          <w:tcPr>
            <w:tcW w:type="dxa" w:w="2340"/>
            <w:shd w:fill="FFFFFF"/>
            <w:tcMar>
              <w:top w:w="120" w:type="dxa"/>
              <w:bottom w:w="120" w:type="dxa"/>
              <w:left w:w="150" w:type="dxa"/>
              <w:right w:w="150" w:type="dxa"/>
            </w:tcMar>
          </w:tcPr>
          <w:p>
            <w:r>
              <w:rPr>
                <w:color w:val="2C3540"/>
                <w:sz w:val="19"/>
              </w:rPr>
              <w:t>Update</w:t>
            </w:r>
          </w:p>
        </w:tc>
      </w:tr>
      <w:tr>
        <w:tc>
          <w:tcPr>
            <w:tcW w:type="dxa" w:w="2340"/>
            <w:shd w:fill="F4F6F9"/>
            <w:tcMar>
              <w:top w:w="120" w:type="dxa"/>
              <w:bottom w:w="120" w:type="dxa"/>
              <w:left w:w="150" w:type="dxa"/>
              <w:right w:w="150" w:type="dxa"/>
            </w:tcMar>
          </w:tcPr>
          <w:p>
            <w:r>
              <w:rPr>
                <w:color w:val="2C3540"/>
                <w:sz w:val="19"/>
              </w:rPr>
              <w:t>DELETE /api/customers/{id}</w:t>
            </w:r>
          </w:p>
        </w:tc>
        <w:tc>
          <w:tcPr>
            <w:tcW w:type="dxa" w:w="2340"/>
            <w:shd w:fill="F4F6F9"/>
            <w:tcMar>
              <w:top w:w="120" w:type="dxa"/>
              <w:bottom w:w="120" w:type="dxa"/>
              <w:left w:w="150" w:type="dxa"/>
              <w:right w:w="150" w:type="dxa"/>
            </w:tcMar>
          </w:tcPr>
          <w:p>
            <w:r>
              <w:rPr>
                <w:color w:val="2C3540"/>
                <w:sz w:val="19"/>
              </w:rPr>
              <w:t>Admin</w:t>
            </w:r>
          </w:p>
        </w:tc>
        <w:tc>
          <w:tcPr>
            <w:tcW w:type="dxa" w:w="2340"/>
            <w:shd w:fill="F4F6F9"/>
            <w:tcMar>
              <w:top w:w="120" w:type="dxa"/>
              <w:bottom w:w="120" w:type="dxa"/>
              <w:left w:w="150" w:type="dxa"/>
              <w:right w:w="150" w:type="dxa"/>
            </w:tcMar>
          </w:tcPr>
          <w:p>
            <w:r>
              <w:rPr>
                <w:color w:val="2C3540"/>
                <w:sz w:val="19"/>
              </w:rPr>
              <w:t>Allow any customer</w:t>
            </w:r>
          </w:p>
        </w:tc>
        <w:tc>
          <w:tcPr>
            <w:tcW w:type="dxa" w:w="2340"/>
            <w:shd w:fill="F4F6F9"/>
            <w:tcMar>
              <w:top w:w="120" w:type="dxa"/>
              <w:bottom w:w="120" w:type="dxa"/>
              <w:left w:w="150" w:type="dxa"/>
              <w:right w:w="150" w:type="dxa"/>
            </w:tcMar>
          </w:tcPr>
          <w:p>
            <w:r>
              <w:rPr>
                <w:color w:val="2C3540"/>
                <w:sz w:val="19"/>
              </w:rPr>
              <w:t>Delete</w:t>
            </w:r>
          </w:p>
        </w:tc>
      </w:tr>
      <w:tr>
        <w:tc>
          <w:tcPr>
            <w:tcW w:type="dxa" w:w="2340"/>
            <w:shd w:fill="FFFFFF"/>
            <w:tcMar>
              <w:top w:w="120" w:type="dxa"/>
              <w:bottom w:w="120" w:type="dxa"/>
              <w:left w:w="150" w:type="dxa"/>
              <w:right w:w="150" w:type="dxa"/>
            </w:tcMar>
          </w:tcPr>
          <w:p>
            <w:r>
              <w:rPr>
                <w:color w:val="2C3540"/>
                <w:sz w:val="19"/>
              </w:rPr>
              <w:t>DELETE /api/customers/{id}</w:t>
            </w:r>
          </w:p>
        </w:tc>
        <w:tc>
          <w:tcPr>
            <w:tcW w:type="dxa" w:w="2340"/>
            <w:shd w:fill="FFFFFF"/>
            <w:tcMar>
              <w:top w:w="120" w:type="dxa"/>
              <w:bottom w:w="120" w:type="dxa"/>
              <w:left w:w="150" w:type="dxa"/>
              <w:right w:w="150" w:type="dxa"/>
            </w:tcMar>
          </w:tcPr>
          <w:p>
            <w:r>
              <w:rPr>
                <w:color w:val="2C3540"/>
                <w:sz w:val="19"/>
              </w:rPr>
              <w:t>QA</w:t>
            </w:r>
          </w:p>
        </w:tc>
        <w:tc>
          <w:tcPr>
            <w:tcW w:type="dxa" w:w="2340"/>
            <w:shd w:fill="FFFFFF"/>
            <w:tcMar>
              <w:top w:w="120" w:type="dxa"/>
              <w:bottom w:w="120" w:type="dxa"/>
              <w:left w:w="150" w:type="dxa"/>
              <w:right w:w="150" w:type="dxa"/>
            </w:tcMar>
          </w:tcPr>
          <w:p>
            <w:r>
              <w:rPr>
                <w:color w:val="2C3540"/>
                <w:sz w:val="19"/>
              </w:rPr>
              <w:t>Allow assigned/owned customers only</w:t>
            </w:r>
          </w:p>
        </w:tc>
        <w:tc>
          <w:tcPr>
            <w:tcW w:type="dxa" w:w="2340"/>
            <w:shd w:fill="FFFFFF"/>
            <w:tcMar>
              <w:top w:w="120" w:type="dxa"/>
              <w:bottom w:w="120" w:type="dxa"/>
              <w:left w:w="150" w:type="dxa"/>
              <w:right w:w="150" w:type="dxa"/>
            </w:tcMar>
          </w:tcPr>
          <w:p>
            <w:r>
              <w:rPr>
                <w:color w:val="2C3540"/>
                <w:sz w:val="19"/>
              </w:rPr>
              <w:t>Delete</w:t>
            </w:r>
          </w:p>
        </w:tc>
      </w:tr>
      <w:tr>
        <w:tc>
          <w:tcPr>
            <w:tcW w:type="dxa" w:w="2340"/>
            <w:shd w:fill="F4F6F9"/>
            <w:tcMar>
              <w:top w:w="120" w:type="dxa"/>
              <w:bottom w:w="120" w:type="dxa"/>
              <w:left w:w="150" w:type="dxa"/>
              <w:right w:w="150" w:type="dxa"/>
            </w:tcMar>
          </w:tcPr>
          <w:p>
            <w:r>
              <w:rPr>
                <w:color w:val="2C3540"/>
                <w:sz w:val="19"/>
              </w:rPr>
              <w:t>DELETE /api/customers/{id}</w:t>
            </w:r>
          </w:p>
        </w:tc>
        <w:tc>
          <w:tcPr>
            <w:tcW w:type="dxa" w:w="2340"/>
            <w:shd w:fill="F4F6F9"/>
            <w:tcMar>
              <w:top w:w="120" w:type="dxa"/>
              <w:bottom w:w="120" w:type="dxa"/>
              <w:left w:w="150" w:type="dxa"/>
              <w:right w:w="150" w:type="dxa"/>
            </w:tcMar>
          </w:tcPr>
          <w:p>
            <w:r>
              <w:rPr>
                <w:color w:val="2C3540"/>
                <w:sz w:val="19"/>
              </w:rPr>
              <w:t>Customer</w:t>
            </w:r>
          </w:p>
        </w:tc>
        <w:tc>
          <w:tcPr>
            <w:tcW w:type="dxa" w:w="2340"/>
            <w:shd w:fill="F4F6F9"/>
            <w:tcMar>
              <w:top w:w="120" w:type="dxa"/>
              <w:bottom w:w="120" w:type="dxa"/>
              <w:left w:w="150" w:type="dxa"/>
              <w:right w:w="150" w:type="dxa"/>
            </w:tcMar>
          </w:tcPr>
          <w:p>
            <w:r>
              <w:rPr>
                <w:color w:val="2C3540"/>
                <w:sz w:val="19"/>
              </w:rPr>
              <w:t>Deny other customers; own-record behavior per contract</w:t>
            </w:r>
          </w:p>
        </w:tc>
        <w:tc>
          <w:tcPr>
            <w:tcW w:type="dxa" w:w="2340"/>
            <w:shd w:fill="F4F6F9"/>
            <w:tcMar>
              <w:top w:w="120" w:type="dxa"/>
              <w:bottom w:w="120" w:type="dxa"/>
              <w:left w:w="150" w:type="dxa"/>
              <w:right w:w="150" w:type="dxa"/>
            </w:tcMar>
          </w:tcPr>
          <w:p>
            <w:r>
              <w:rPr>
                <w:color w:val="2C3540"/>
                <w:sz w:val="19"/>
              </w:rPr>
              <w:t>Delete</w:t>
            </w:r>
          </w:p>
        </w:tc>
      </w:tr>
      <w:tr>
        <w:tc>
          <w:tcPr>
            <w:tcW w:type="dxa" w:w="2340"/>
            <w:shd w:fill="FFFFFF"/>
            <w:tcMar>
              <w:top w:w="120" w:type="dxa"/>
              <w:bottom w:w="120" w:type="dxa"/>
              <w:left w:w="150" w:type="dxa"/>
              <w:right w:w="150" w:type="dxa"/>
            </w:tcMar>
          </w:tcPr>
          <w:p>
            <w:r>
              <w:rPr>
                <w:color w:val="2C3540"/>
                <w:sz w:val="19"/>
              </w:rPr>
              <w:t>POST /api/customers/sync</w:t>
            </w:r>
          </w:p>
        </w:tc>
        <w:tc>
          <w:tcPr>
            <w:tcW w:type="dxa" w:w="2340"/>
            <w:shd w:fill="FFFFFF"/>
            <w:tcMar>
              <w:top w:w="120" w:type="dxa"/>
              <w:bottom w:w="120" w:type="dxa"/>
              <w:left w:w="150" w:type="dxa"/>
              <w:right w:w="150" w:type="dxa"/>
            </w:tcMar>
          </w:tcPr>
          <w:p>
            <w:r>
              <w:rPr>
                <w:color w:val="2C3540"/>
                <w:sz w:val="19"/>
              </w:rPr>
              <w:t>Admin</w:t>
            </w:r>
          </w:p>
        </w:tc>
        <w:tc>
          <w:tcPr>
            <w:tcW w:type="dxa" w:w="2340"/>
            <w:shd w:fill="FFFFFF"/>
            <w:tcMar>
              <w:top w:w="120" w:type="dxa"/>
              <w:bottom w:w="120" w:type="dxa"/>
              <w:left w:w="150" w:type="dxa"/>
              <w:right w:w="150" w:type="dxa"/>
            </w:tcMar>
          </w:tcPr>
          <w:p>
            <w:r>
              <w:rPr>
                <w:color w:val="2C3540"/>
                <w:sz w:val="19"/>
              </w:rPr>
              <w:t>Allow</w:t>
            </w:r>
          </w:p>
        </w:tc>
        <w:tc>
          <w:tcPr>
            <w:tcW w:type="dxa" w:w="2340"/>
            <w:shd w:fill="FFFFFF"/>
            <w:tcMar>
              <w:top w:w="120" w:type="dxa"/>
              <w:bottom w:w="120" w:type="dxa"/>
              <w:left w:w="150" w:type="dxa"/>
              <w:right w:w="150" w:type="dxa"/>
            </w:tcMar>
          </w:tcPr>
          <w:p>
            <w:r>
              <w:rPr>
                <w:color w:val="2C3540"/>
                <w:sz w:val="19"/>
              </w:rPr>
              <w:t>Sync</w:t>
            </w:r>
          </w:p>
        </w:tc>
      </w:tr>
      <w:tr>
        <w:tc>
          <w:tcPr>
            <w:tcW w:type="dxa" w:w="2340"/>
            <w:shd w:fill="F4F6F9"/>
            <w:tcMar>
              <w:top w:w="120" w:type="dxa"/>
              <w:bottom w:w="120" w:type="dxa"/>
              <w:left w:w="150" w:type="dxa"/>
              <w:right w:w="150" w:type="dxa"/>
            </w:tcMar>
          </w:tcPr>
          <w:p>
            <w:r>
              <w:rPr>
                <w:color w:val="2C3540"/>
                <w:sz w:val="19"/>
              </w:rPr>
              <w:t>POST /api/customers/sync</w:t>
            </w:r>
          </w:p>
        </w:tc>
        <w:tc>
          <w:tcPr>
            <w:tcW w:type="dxa" w:w="2340"/>
            <w:shd w:fill="F4F6F9"/>
            <w:tcMar>
              <w:top w:w="120" w:type="dxa"/>
              <w:bottom w:w="120" w:type="dxa"/>
              <w:left w:w="150" w:type="dxa"/>
              <w:right w:w="150" w:type="dxa"/>
            </w:tcMar>
          </w:tcPr>
          <w:p>
            <w:r>
              <w:rPr>
                <w:color w:val="2C3540"/>
                <w:sz w:val="19"/>
              </w:rPr>
              <w:t>QA</w:t>
            </w:r>
          </w:p>
        </w:tc>
        <w:tc>
          <w:tcPr>
            <w:tcW w:type="dxa" w:w="2340"/>
            <w:shd w:fill="F4F6F9"/>
            <w:tcMar>
              <w:top w:w="120" w:type="dxa"/>
              <w:bottom w:w="120" w:type="dxa"/>
              <w:left w:w="150" w:type="dxa"/>
              <w:right w:w="150" w:type="dxa"/>
            </w:tcMar>
          </w:tcPr>
          <w:p>
            <w:r>
              <w:rPr>
                <w:color w:val="2C3540"/>
                <w:sz w:val="19"/>
              </w:rPr>
              <w:t>Allow if business rules permit</w:t>
            </w:r>
          </w:p>
        </w:tc>
        <w:tc>
          <w:tcPr>
            <w:tcW w:type="dxa" w:w="2340"/>
            <w:shd w:fill="F4F6F9"/>
            <w:tcMar>
              <w:top w:w="120" w:type="dxa"/>
              <w:bottom w:w="120" w:type="dxa"/>
              <w:left w:w="150" w:type="dxa"/>
              <w:right w:w="150" w:type="dxa"/>
            </w:tcMar>
          </w:tcPr>
          <w:p>
            <w:r>
              <w:rPr>
                <w:color w:val="2C3540"/>
                <w:sz w:val="19"/>
              </w:rPr>
              <w:t>Sync</w:t>
            </w:r>
          </w:p>
        </w:tc>
      </w:tr>
      <w:tr>
        <w:tc>
          <w:tcPr>
            <w:tcW w:type="dxa" w:w="2340"/>
            <w:shd w:fill="FFFFFF"/>
            <w:tcMar>
              <w:top w:w="120" w:type="dxa"/>
              <w:bottom w:w="120" w:type="dxa"/>
              <w:left w:w="150" w:type="dxa"/>
              <w:right w:w="150" w:type="dxa"/>
            </w:tcMar>
          </w:tcPr>
          <w:p>
            <w:r>
              <w:rPr>
                <w:color w:val="2C3540"/>
                <w:sz w:val="19"/>
              </w:rPr>
              <w:t>POST /api/customers/sync</w:t>
            </w:r>
          </w:p>
        </w:tc>
        <w:tc>
          <w:tcPr>
            <w:tcW w:type="dxa" w:w="2340"/>
            <w:shd w:fill="FFFFFF"/>
            <w:tcMar>
              <w:top w:w="120" w:type="dxa"/>
              <w:bottom w:w="120" w:type="dxa"/>
              <w:left w:w="150" w:type="dxa"/>
              <w:right w:w="150" w:type="dxa"/>
            </w:tcMar>
          </w:tcPr>
          <w:p>
            <w:r>
              <w:rPr>
                <w:color w:val="2C3540"/>
                <w:sz w:val="19"/>
              </w:rPr>
              <w:t>Customer</w:t>
            </w:r>
          </w:p>
        </w:tc>
        <w:tc>
          <w:tcPr>
            <w:tcW w:type="dxa" w:w="2340"/>
            <w:shd w:fill="FFFFFF"/>
            <w:tcMar>
              <w:top w:w="120" w:type="dxa"/>
              <w:bottom w:w="120" w:type="dxa"/>
              <w:left w:w="150" w:type="dxa"/>
              <w:right w:w="150" w:type="dxa"/>
            </w:tcMar>
          </w:tcPr>
          <w:p>
            <w:r>
              <w:rPr>
                <w:color w:val="2C3540"/>
                <w:sz w:val="19"/>
              </w:rPr>
              <w:t>Typically deny unless explicitly allowed by contract</w:t>
            </w:r>
          </w:p>
        </w:tc>
        <w:tc>
          <w:tcPr>
            <w:tcW w:type="dxa" w:w="2340"/>
            <w:shd w:fill="FFFFFF"/>
            <w:tcMar>
              <w:top w:w="120" w:type="dxa"/>
              <w:bottom w:w="120" w:type="dxa"/>
              <w:left w:w="150" w:type="dxa"/>
              <w:right w:w="150" w:type="dxa"/>
            </w:tcMar>
          </w:tcPr>
          <w:p>
            <w:r>
              <w:rPr>
                <w:color w:val="2C3540"/>
                <w:sz w:val="19"/>
              </w:rPr>
              <w:t>Sync</w:t>
            </w:r>
          </w:p>
        </w:tc>
      </w:tr>
      <w:tr>
        <w:tc>
          <w:tcPr>
            <w:tcW w:type="dxa" w:w="2340"/>
            <w:shd w:fill="F4F6F9"/>
            <w:tcMar>
              <w:top w:w="120" w:type="dxa"/>
              <w:bottom w:w="120" w:type="dxa"/>
              <w:left w:w="150" w:type="dxa"/>
              <w:right w:w="150" w:type="dxa"/>
            </w:tcMar>
          </w:tcPr>
          <w:p>
            <w:r>
              <w:rPr>
                <w:color w:val="2C3540"/>
                <w:sz w:val="19"/>
              </w:rPr>
              <w:t>POST /api/customers/sync</w:t>
            </w:r>
          </w:p>
        </w:tc>
        <w:tc>
          <w:tcPr>
            <w:tcW w:type="dxa" w:w="2340"/>
            <w:shd w:fill="F4F6F9"/>
            <w:tcMar>
              <w:top w:w="120" w:type="dxa"/>
              <w:bottom w:w="120" w:type="dxa"/>
              <w:left w:w="150" w:type="dxa"/>
              <w:right w:w="150" w:type="dxa"/>
            </w:tcMar>
          </w:tcPr>
          <w:p>
            <w:r>
              <w:rPr>
                <w:color w:val="2C3540"/>
                <w:sz w:val="19"/>
              </w:rPr>
              <w:t>Null/Anonymous/Unsupported role</w:t>
            </w:r>
          </w:p>
        </w:tc>
        <w:tc>
          <w:tcPr>
            <w:tcW w:type="dxa" w:w="2340"/>
            <w:shd w:fill="F4F6F9"/>
            <w:tcMar>
              <w:top w:w="120" w:type="dxa"/>
              <w:bottom w:w="120" w:type="dxa"/>
              <w:left w:w="150" w:type="dxa"/>
              <w:right w:w="150" w:type="dxa"/>
            </w:tcMar>
          </w:tcPr>
          <w:p>
            <w:r>
              <w:rPr>
                <w:color w:val="2C3540"/>
                <w:sz w:val="19"/>
              </w:rPr>
              <w:t>Deny (403)</w:t>
            </w:r>
          </w:p>
        </w:tc>
        <w:tc>
          <w:tcPr>
            <w:tcW w:type="dxa" w:w="2340"/>
            <w:shd w:fill="F4F6F9"/>
            <w:tcMar>
              <w:top w:w="120" w:type="dxa"/>
              <w:bottom w:w="120" w:type="dxa"/>
              <w:left w:w="150" w:type="dxa"/>
              <w:right w:w="150" w:type="dxa"/>
            </w:tcMar>
          </w:tcPr>
          <w:p>
            <w:r>
              <w:rPr>
                <w:color w:val="2C3540"/>
                <w:sz w:val="19"/>
              </w:rPr>
              <w:t>Sync</w:t>
            </w:r>
          </w:p>
        </w:tc>
      </w:tr>
    </w:tbl>
    <w:p>
      <w:pPr>
        <w:keepNext/>
        <w:spacing w:before="440" w:after="120"/>
      </w:pPr>
      <w:r>
        <w:rPr>
          <w:rFonts w:ascii="Calibri" w:hAnsi="Calibri"/>
          <w:b/>
          <w:color w:val="182B49"/>
          <w:sz w:val="32"/>
        </w:rPr>
        <w:t>12. Schema Structure Input Data Validation</w:t>
      </w:r>
    </w:p>
    <w:p>
      <w:pPr>
        <w:spacing w:after="120" w:line="276" w:lineRule="auto"/>
      </w:pPr>
      <w:r>
        <w:rPr>
          <w:b w:val="0"/>
        </w:rPr>
        <w:t>Incoming payloads pass through a validation layer using FluentValidation rules before reaching inner execution logic. Missing required keys or invalid data formatting immediately trigger early fail-fast middleware paths, returning a 400 Bad Request code.</w:t>
      </w:r>
    </w:p>
    <w:p>
      <w:pPr>
        <w:keepNext/>
        <w:spacing w:before="440" w:after="120"/>
      </w:pPr>
      <w:r>
        <w:rPr>
          <w:rFonts w:ascii="Calibri" w:hAnsi="Calibri"/>
          <w:b/>
          <w:color w:val="182B49"/>
          <w:sz w:val="32"/>
        </w:rPr>
        <w:t>13. Centralized Middleware Exception Handling (RFC 7807)</w:t>
      </w:r>
    </w:p>
    <w:p>
      <w:pPr>
        <w:spacing w:after="120" w:line="276" w:lineRule="auto"/>
      </w:pPr>
      <w:r>
        <w:rPr>
          <w:b w:val="0"/>
        </w:rPr>
        <w:t>Unhandled exceptions are caught by a custom global middleware interceptor that formats failures into the uniform RFC 7807 'Problem Details' payload schema. This ensures clean error visibility while preventing internal infrastructure or table schema details from leaking to external callers.</w:t>
      </w:r>
    </w:p>
    <w:p>
      <w:pPr>
        <w:keepNext/>
        <w:spacing w:before="440" w:after="120"/>
      </w:pPr>
      <w:r>
        <w:rPr>
          <w:rFonts w:ascii="Calibri" w:hAnsi="Calibri"/>
          <w:b/>
          <w:color w:val="182B49"/>
          <w:sz w:val="32"/>
        </w:rPr>
        <w:t>14. Quality Engineering Framework &amp; System Integration Testing</w:t>
      </w:r>
    </w:p>
    <w:p>
      <w:pPr>
        <w:spacing w:after="120" w:line="276" w:lineRule="auto"/>
      </w:pPr>
      <w:r>
        <w:rPr>
          <w:b w:val="0"/>
        </w:rPr>
        <w:t>The testing engine monitors 107 discrete integration tests across isolated xUnit test classes. This structural separation avoids data pollution while confirming system security boundaries and error contracts:</w:t>
      </w:r>
    </w:p>
    <w:tbl>
      <w:tblPr>
        <w:tblW w:type="auto" w:w="0"/>
        <w:jc w:val="center"/>
        <w:tblLook w:firstColumn="1" w:firstRow="1" w:lastColumn="0" w:lastRow="0" w:noHBand="0" w:noVBand="1" w:val="04A0"/>
      </w:tblPr>
      <w:tblGrid>
        <w:gridCol w:w="3120"/>
        <w:gridCol w:w="3120"/>
        <w:gridCol w:w="3120"/>
      </w:tblGrid>
      <w:tr>
        <w:tc>
          <w:tcPr>
            <w:tcW w:type="dxa" w:w="3120"/>
            <w:shd w:fill="182B49"/>
            <w:tcMar>
              <w:top w:w="120" w:type="dxa"/>
              <w:bottom w:w="120" w:type="dxa"/>
              <w:left w:w="150" w:type="dxa"/>
              <w:right w:w="150" w:type="dxa"/>
            </w:tcMar>
          </w:tcPr>
          <w:p>
            <w:pPr>
              <w:jc w:val="left"/>
            </w:pPr>
            <w:r>
              <w:rPr>
                <w:b/>
                <w:color w:val="FFFFFF"/>
                <w:sz w:val="20"/>
              </w:rPr>
              <w:t>xUnit Test Class</w:t>
            </w:r>
          </w:p>
        </w:tc>
        <w:tc>
          <w:tcPr>
            <w:tcW w:type="dxa" w:w="3120"/>
            <w:shd w:fill="182B49"/>
            <w:tcMar>
              <w:top w:w="120" w:type="dxa"/>
              <w:bottom w:w="120" w:type="dxa"/>
              <w:left w:w="150" w:type="dxa"/>
              <w:right w:w="150" w:type="dxa"/>
            </w:tcMar>
          </w:tcPr>
          <w:p>
            <w:pPr>
              <w:jc w:val="left"/>
            </w:pPr>
            <w:r>
              <w:rPr>
                <w:b/>
                <w:color w:val="FFFFFF"/>
                <w:sz w:val="20"/>
              </w:rPr>
              <w:t>Covered Scenario Target IDs</w:t>
            </w:r>
          </w:p>
        </w:tc>
        <w:tc>
          <w:tcPr>
            <w:tcW w:type="dxa" w:w="3120"/>
            <w:shd w:fill="182B49"/>
            <w:tcMar>
              <w:top w:w="120" w:type="dxa"/>
              <w:bottom w:w="120" w:type="dxa"/>
              <w:left w:w="150" w:type="dxa"/>
              <w:right w:w="150" w:type="dxa"/>
            </w:tcMar>
          </w:tcPr>
          <w:p>
            <w:pPr>
              <w:jc w:val="left"/>
            </w:pPr>
            <w:r>
              <w:rPr>
                <w:b/>
                <w:color w:val="FFFFFF"/>
                <w:sz w:val="20"/>
              </w:rPr>
              <w:t>Testing Scope Definition</w:t>
            </w:r>
          </w:p>
        </w:tc>
      </w:tr>
      <w:tr>
        <w:tc>
          <w:tcPr>
            <w:tcW w:type="dxa" w:w="3120"/>
            <w:shd w:fill="FFFFFF"/>
            <w:tcMar>
              <w:top w:w="120" w:type="dxa"/>
              <w:bottom w:w="120" w:type="dxa"/>
              <w:left w:w="150" w:type="dxa"/>
              <w:right w:w="150" w:type="dxa"/>
            </w:tcMar>
          </w:tcPr>
          <w:p>
            <w:r>
              <w:rPr>
                <w:color w:val="2C3540"/>
                <w:sz w:val="19"/>
              </w:rPr>
              <w:t>AuthTests.cs</w:t>
            </w:r>
          </w:p>
        </w:tc>
        <w:tc>
          <w:tcPr>
            <w:tcW w:type="dxa" w:w="3120"/>
            <w:shd w:fill="FFFFFF"/>
            <w:tcMar>
              <w:top w:w="120" w:type="dxa"/>
              <w:bottom w:w="120" w:type="dxa"/>
              <w:left w:w="150" w:type="dxa"/>
              <w:right w:w="150" w:type="dxa"/>
            </w:tcMar>
          </w:tcPr>
          <w:p>
            <w:r>
              <w:rPr>
                <w:color w:val="2C3540"/>
                <w:sz w:val="19"/>
              </w:rPr>
              <w:t>AUTH-001 to AUTH-010</w:t>
            </w:r>
          </w:p>
        </w:tc>
        <w:tc>
          <w:tcPr>
            <w:tcW w:type="dxa" w:w="3120"/>
            <w:shd w:fill="FFFFFF"/>
            <w:tcMar>
              <w:top w:w="120" w:type="dxa"/>
              <w:bottom w:w="120" w:type="dxa"/>
              <w:left w:w="150" w:type="dxa"/>
              <w:right w:w="150" w:type="dxa"/>
            </w:tcMar>
          </w:tcPr>
          <w:p>
            <w:r>
              <w:rPr>
                <w:color w:val="2C3540"/>
                <w:sz w:val="19"/>
              </w:rPr>
              <w:t>Login request validation and authentication</w:t>
            </w:r>
          </w:p>
        </w:tc>
      </w:tr>
      <w:tr>
        <w:tc>
          <w:tcPr>
            <w:tcW w:type="dxa" w:w="3120"/>
            <w:shd w:fill="F4F6F9"/>
            <w:tcMar>
              <w:top w:w="120" w:type="dxa"/>
              <w:bottom w:w="120" w:type="dxa"/>
              <w:left w:w="150" w:type="dxa"/>
              <w:right w:w="150" w:type="dxa"/>
            </w:tcMar>
          </w:tcPr>
          <w:p>
            <w:r>
              <w:rPr>
                <w:color w:val="2C3540"/>
                <w:sz w:val="19"/>
              </w:rPr>
              <w:t>SecurityTests.cs</w:t>
            </w:r>
          </w:p>
        </w:tc>
        <w:tc>
          <w:tcPr>
            <w:tcW w:type="dxa" w:w="3120"/>
            <w:shd w:fill="F4F6F9"/>
            <w:tcMar>
              <w:top w:w="120" w:type="dxa"/>
              <w:bottom w:w="120" w:type="dxa"/>
              <w:left w:w="150" w:type="dxa"/>
              <w:right w:w="150" w:type="dxa"/>
            </w:tcMar>
          </w:tcPr>
          <w:p>
            <w:r>
              <w:rPr>
                <w:color w:val="2C3540"/>
                <w:sz w:val="19"/>
              </w:rPr>
              <w:t>AUTH-011 to AUTH-018; AUTH-045 to AUTH-047; SEC-001 to SEC-008</w:t>
            </w:r>
          </w:p>
        </w:tc>
        <w:tc>
          <w:tcPr>
            <w:tcW w:type="dxa" w:w="3120"/>
            <w:shd w:fill="F4F6F9"/>
            <w:tcMar>
              <w:top w:w="120" w:type="dxa"/>
              <w:bottom w:w="120" w:type="dxa"/>
              <w:left w:w="150" w:type="dxa"/>
              <w:right w:w="150" w:type="dxa"/>
            </w:tcMar>
          </w:tcPr>
          <w:p>
            <w:r>
              <w:rPr>
                <w:color w:val="2C3540"/>
                <w:sz w:val="19"/>
              </w:rPr>
              <w:t>JWT presence/validity and unsupported role scenarios</w:t>
            </w:r>
          </w:p>
        </w:tc>
      </w:tr>
      <w:tr>
        <w:tc>
          <w:tcPr>
            <w:tcW w:type="dxa" w:w="3120"/>
            <w:shd w:fill="FFFFFF"/>
            <w:tcMar>
              <w:top w:w="120" w:type="dxa"/>
              <w:bottom w:w="120" w:type="dxa"/>
              <w:left w:w="150" w:type="dxa"/>
              <w:right w:w="150" w:type="dxa"/>
            </w:tcMar>
          </w:tcPr>
          <w:p>
            <w:r>
              <w:rPr>
                <w:color w:val="2C3540"/>
                <w:sz w:val="19"/>
              </w:rPr>
              <w:t>CustomerGetTests.cs</w:t>
            </w:r>
          </w:p>
        </w:tc>
        <w:tc>
          <w:tcPr>
            <w:tcW w:type="dxa" w:w="3120"/>
            <w:shd w:fill="FFFFFF"/>
            <w:tcMar>
              <w:top w:w="120" w:type="dxa"/>
              <w:bottom w:w="120" w:type="dxa"/>
              <w:left w:w="150" w:type="dxa"/>
              <w:right w:w="150" w:type="dxa"/>
            </w:tcMar>
          </w:tcPr>
          <w:p>
            <w:r>
              <w:rPr>
                <w:color w:val="2C3540"/>
                <w:sz w:val="19"/>
              </w:rPr>
              <w:t>GET-001 to GET-016; AUTH-019 to AUTH-022</w:t>
            </w:r>
          </w:p>
        </w:tc>
        <w:tc>
          <w:tcPr>
            <w:tcW w:type="dxa" w:w="3120"/>
            <w:shd w:fill="FFFFFF"/>
            <w:tcMar>
              <w:top w:w="120" w:type="dxa"/>
              <w:bottom w:w="120" w:type="dxa"/>
              <w:left w:w="150" w:type="dxa"/>
              <w:right w:w="150" w:type="dxa"/>
            </w:tcMar>
          </w:tcPr>
          <w:p>
            <w:r>
              <w:rPr>
                <w:color w:val="2C3540"/>
                <w:sz w:val="19"/>
              </w:rPr>
              <w:t>Read authorization and retrieval scenarios</w:t>
            </w:r>
          </w:p>
        </w:tc>
      </w:tr>
      <w:tr>
        <w:tc>
          <w:tcPr>
            <w:tcW w:type="dxa" w:w="3120"/>
            <w:shd w:fill="F4F6F9"/>
            <w:tcMar>
              <w:top w:w="120" w:type="dxa"/>
              <w:bottom w:w="120" w:type="dxa"/>
              <w:left w:w="150" w:type="dxa"/>
              <w:right w:w="150" w:type="dxa"/>
            </w:tcMar>
          </w:tcPr>
          <w:p>
            <w:r>
              <w:rPr>
                <w:color w:val="2C3540"/>
                <w:sz w:val="19"/>
              </w:rPr>
              <w:t>CustomerUpdateTests.cs</w:t>
            </w:r>
          </w:p>
        </w:tc>
        <w:tc>
          <w:tcPr>
            <w:tcW w:type="dxa" w:w="3120"/>
            <w:shd w:fill="F4F6F9"/>
            <w:tcMar>
              <w:top w:w="120" w:type="dxa"/>
              <w:bottom w:w="120" w:type="dxa"/>
              <w:left w:w="150" w:type="dxa"/>
              <w:right w:w="150" w:type="dxa"/>
            </w:tcMar>
          </w:tcPr>
          <w:p>
            <w:r>
              <w:rPr>
                <w:color w:val="2C3540"/>
                <w:sz w:val="19"/>
              </w:rPr>
              <w:t>UPDATE-001 to UPDATE-021; AUTH-023 to AUTH-037</w:t>
            </w:r>
          </w:p>
        </w:tc>
        <w:tc>
          <w:tcPr>
            <w:tcW w:type="dxa" w:w="3120"/>
            <w:shd w:fill="F4F6F9"/>
            <w:tcMar>
              <w:top w:w="120" w:type="dxa"/>
              <w:bottom w:w="120" w:type="dxa"/>
              <w:left w:w="150" w:type="dxa"/>
              <w:right w:w="150" w:type="dxa"/>
            </w:tcMar>
          </w:tcPr>
          <w:p>
            <w:r>
              <w:rPr>
                <w:color w:val="2C3540"/>
                <w:sz w:val="19"/>
              </w:rPr>
              <w:t>Update validation and authorization scenarios</w:t>
            </w:r>
          </w:p>
        </w:tc>
      </w:tr>
      <w:tr>
        <w:tc>
          <w:tcPr>
            <w:tcW w:type="dxa" w:w="3120"/>
            <w:shd w:fill="FFFFFF"/>
            <w:tcMar>
              <w:top w:w="120" w:type="dxa"/>
              <w:bottom w:w="120" w:type="dxa"/>
              <w:left w:w="150" w:type="dxa"/>
              <w:right w:w="150" w:type="dxa"/>
            </w:tcMar>
          </w:tcPr>
          <w:p>
            <w:r>
              <w:rPr>
                <w:color w:val="2C3540"/>
                <w:sz w:val="19"/>
              </w:rPr>
              <w:t>CustomerDeleteTests.cs</w:t>
            </w:r>
          </w:p>
        </w:tc>
        <w:tc>
          <w:tcPr>
            <w:tcW w:type="dxa" w:w="3120"/>
            <w:shd w:fill="FFFFFF"/>
            <w:tcMar>
              <w:top w:w="120" w:type="dxa"/>
              <w:bottom w:w="120" w:type="dxa"/>
              <w:left w:w="150" w:type="dxa"/>
              <w:right w:w="150" w:type="dxa"/>
            </w:tcMar>
          </w:tcPr>
          <w:p>
            <w:r>
              <w:rPr>
                <w:color w:val="2C3540"/>
                <w:sz w:val="19"/>
              </w:rPr>
              <w:t>DELETE-001 to DELETE-018; AUTH-038 to AUTH-040</w:t>
            </w:r>
          </w:p>
        </w:tc>
        <w:tc>
          <w:tcPr>
            <w:tcW w:type="dxa" w:w="3120"/>
            <w:shd w:fill="FFFFFF"/>
            <w:tcMar>
              <w:top w:w="120" w:type="dxa"/>
              <w:bottom w:w="120" w:type="dxa"/>
              <w:left w:w="150" w:type="dxa"/>
              <w:right w:w="150" w:type="dxa"/>
            </w:tcMar>
          </w:tcPr>
          <w:p>
            <w:r>
              <w:rPr>
                <w:color w:val="2C3540"/>
                <w:sz w:val="19"/>
              </w:rPr>
              <w:t>Delete authorization and delete contract scenarios</w:t>
            </w:r>
          </w:p>
        </w:tc>
      </w:tr>
      <w:tr>
        <w:tc>
          <w:tcPr>
            <w:tcW w:type="dxa" w:w="3120"/>
            <w:shd w:fill="F4F6F9"/>
            <w:tcMar>
              <w:top w:w="120" w:type="dxa"/>
              <w:bottom w:w="120" w:type="dxa"/>
              <w:left w:w="150" w:type="dxa"/>
              <w:right w:w="150" w:type="dxa"/>
            </w:tcMar>
          </w:tcPr>
          <w:p>
            <w:r>
              <w:rPr>
                <w:color w:val="2C3540"/>
                <w:sz w:val="19"/>
              </w:rPr>
              <w:t>CustomerSyncTests.cs</w:t>
            </w:r>
          </w:p>
        </w:tc>
        <w:tc>
          <w:tcPr>
            <w:tcW w:type="dxa" w:w="3120"/>
            <w:shd w:fill="F4F6F9"/>
            <w:tcMar>
              <w:top w:w="120" w:type="dxa"/>
              <w:bottom w:w="120" w:type="dxa"/>
              <w:left w:w="150" w:type="dxa"/>
              <w:right w:w="150" w:type="dxa"/>
            </w:tcMar>
          </w:tcPr>
          <w:p>
            <w:r>
              <w:rPr>
                <w:color w:val="2C3540"/>
                <w:sz w:val="19"/>
              </w:rPr>
              <w:t>SYNC-001 to SYNC-016; AUTH-041 to AUTH-047</w:t>
            </w:r>
          </w:p>
        </w:tc>
        <w:tc>
          <w:tcPr>
            <w:tcW w:type="dxa" w:w="3120"/>
            <w:shd w:fill="F4F6F9"/>
            <w:tcMar>
              <w:top w:w="120" w:type="dxa"/>
              <w:bottom w:w="120" w:type="dxa"/>
              <w:left w:w="150" w:type="dxa"/>
              <w:right w:w="150" w:type="dxa"/>
            </w:tcMar>
          </w:tcPr>
          <w:p>
            <w:r>
              <w:rPr>
                <w:color w:val="2C3540"/>
                <w:sz w:val="19"/>
              </w:rPr>
              <w:t>Sync/create validation, conflicts, and authorization</w:t>
            </w:r>
          </w:p>
        </w:tc>
      </w:tr>
    </w:tbl>
    <w:p>
      <w:pPr>
        <w:keepNext/>
        <w:spacing w:before="440" w:after="120"/>
      </w:pPr>
      <w:r>
        <w:rPr>
          <w:rFonts w:ascii="Calibri" w:hAnsi="Calibri"/>
          <w:b/>
          <w:color w:val="182B49"/>
          <w:sz w:val="32"/>
        </w:rPr>
        <w:t>15. Multi-Phase Technical Roadmap &amp; Milestone Enhancements</w:t>
      </w:r>
    </w:p>
    <w:p>
      <w:pPr>
        <w:spacing w:after="120" w:line="276" w:lineRule="auto"/>
      </w:pPr>
      <w:r>
        <w:rPr>
          <w:b w:val="0"/>
        </w:rPr>
        <w:t>• Milestone 5 (Architecture Cleanliness): Refactor controller logic into a fully decoupled Service and Repository pattern to separate business rules from the infrastructure layer.</w:t>
      </w:r>
    </w:p>
    <w:p>
      <w:pPr>
        <w:spacing w:after="120" w:line="276" w:lineRule="auto"/>
      </w:pPr>
      <w:r>
        <w:rPr>
          <w:b w:val="0"/>
        </w:rPr>
        <w:t>• Milestone 6 (Data Quality &amp; Normalization): Implement strict email/phone formatting filters and automated metadata tracking fields (`CreatedAt`, `LastModifiedBy`).</w:t>
      </w:r>
    </w:p>
    <w:p>
      <w:pPr>
        <w:spacing w:after="120" w:line="276" w:lineRule="auto"/>
      </w:pPr>
      <w:r>
        <w:rPr>
          <w:b w:val="0"/>
        </w:rPr>
        <w:t>• Milestone 7 (SQL Dashboard Analysis): Build targeted database querying analytics scripts to report data synchronization performance metrics.</w:t>
      </w:r>
    </w:p>
    <w:p>
      <w:pPr>
        <w:spacing w:after="120" w:line="276" w:lineRule="auto"/>
      </w:pPr>
      <w:r>
        <w:rPr>
          <w:b w:val="0"/>
        </w:rPr>
        <w:t>• Milestone 8 (Portfolio Finalization): Complete multi-layer presentation documentation and end-to-end project demo scripts.</w:t>
      </w:r>
    </w:p>
    <w:p>
      <w:pPr>
        <w:keepNext/>
        <w:spacing w:before="440" w:after="120"/>
      </w:pPr>
      <w:r>
        <w:rPr>
          <w:rFonts w:ascii="Calibri" w:hAnsi="Calibri"/>
          <w:b/>
          <w:color w:val="182B49"/>
          <w:sz w:val="32"/>
        </w:rPr>
        <w:t>16. Project Retrospective &amp; Strategic Lessons Learned</w:t>
      </w:r>
    </w:p>
    <w:p>
      <w:pPr>
        <w:spacing w:after="120" w:line="276" w:lineRule="auto"/>
      </w:pPr>
      <w:r>
        <w:rPr>
          <w:b w:val="0"/>
        </w:rPr>
        <w:t>• Aligning engineering steps with commercial business rules avoids technical drift. Mapping test tracking records directly to requirement identifiers surfaces security and logic gaps before release.</w:t>
      </w:r>
    </w:p>
    <w:p>
      <w:pPr>
        <w:spacing w:after="120" w:line="276" w:lineRule="auto"/>
      </w:pPr>
      <w:r>
        <w:rPr>
          <w:b w:val="0"/>
        </w:rPr>
        <w:t>• Decoupling shared test fixtures and initializing isolated database contexts prevents state pollution when running parallel asynchronous integration test loops.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5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