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after="240"/>
        <w:jc w:val="center"/>
      </w:pPr>
      <w:r>
        <w:rPr>
          <w:b/>
          <w:color w:val="22313F"/>
          <w:sz w:val="48"/>
        </w:rPr>
        <w:t>DEMOERP ENTERPRISE SYSTEM DOCUMENT</w:t>
      </w:r>
    </w:p>
    <w:p>
      <w:pPr>
        <w:spacing w:after="1200"/>
        <w:jc w:val="center"/>
      </w:pPr>
      <w:r>
        <w:rPr>
          <w:color w:val="3498DB"/>
          <w:sz w:val="24"/>
        </w:rPr>
        <w:t>REST API Technical Reference &amp; Interface Specification</w:t>
        <w:br/>
        <w:t>Production Contracts, Authorization Schemas, Payload Structs &amp; Problem Details (RFC 7807)</w:t>
      </w:r>
    </w:p>
    <w:p>
      <w:pPr>
        <w:spacing w:before="2800"/>
        <w:jc w:val="center"/>
      </w:pPr>
      <w:r>
        <w:rPr>
          <w:b/>
        </w:rPr>
        <w:t>Prepared for: Technical Portfolio Presentation (Software Developer / Data Analyst Tracks)</w:t>
        <w:br/>
      </w:r>
      <w:r>
        <w:t>Project Reference: DemoERP Customer Management Interface Tier</w:t>
        <w:br/>
        <w:t>Date: July 09, 2026</w:t>
        <w:br/>
        <w:t>Classification: Corporate Technology Release Artifact</w:t>
      </w:r>
    </w:p>
    <w:p>
      <w:r>
        <w:br w:type="page"/>
      </w:r>
    </w:p>
    <w:p>
      <w:pPr>
        <w:keepNext/>
        <w:spacing w:before="440" w:after="120"/>
      </w:pPr>
      <w:r>
        <w:rPr>
          <w:b/>
          <w:color w:val="22313F"/>
          <w:sz w:val="32"/>
        </w:rPr>
        <w:t>Table of Contents</w:t>
      </w:r>
    </w:p>
    <w:p>
      <w:pPr>
        <w:spacing w:after="120" w:line="276" w:lineRule="auto"/>
      </w:pPr>
      <w:r>
        <w:t>1. Executive Summary</w:t>
        <w:br/>
        <w:t>2. Business Objectives &amp; Interface Strategy</w:t>
        <w:br/>
        <w:t>3. Functional Requirements</w:t>
        <w:br/>
        <w:t>4. Non-functional Requirements &amp; API SLAs</w:t>
        <w:br/>
        <w:t>5. Technology Stack &amp; Protocol Specifications</w:t>
        <w:br/>
        <w:t>6. Component Architecture &amp; Route Gateways</w:t>
        <w:br/>
        <w:t>7. Database Design &amp; Context Correspondence Mapping</w:t>
        <w:br/>
        <w:t>8. Security Design &amp; Perimeter Protection Policies</w:t>
        <w:br/>
        <w:t>9. Enterprise Business Rules &amp; Relational Sync Boundaries</w:t>
        <w:br/>
        <w:t>10. Authentication Reference &amp; Cryptographic Token Parameter Matrix</w:t>
        <w:br/>
        <w:t>11. Production Role-Based Access Control (RBAC) Authorization Matrix</w:t>
        <w:br/>
        <w:t>12. REST Endpoint Contract Catalog &amp; Payload Layouts</w:t>
        <w:br/>
        <w:t xml:space="preserve">    12.1 POST /api/auth/login</w:t>
        <w:br/>
        <w:t xml:space="preserve">    12.2 GET /api/customers/{id}</w:t>
        <w:br/>
        <w:t xml:space="preserve">    12.3 PUT /api/customers/{id}</w:t>
        <w:br/>
        <w:t xml:space="preserve">    12.4 DELETE /api/customers/{id}</w:t>
        <w:br/>
        <w:t xml:space="preserve">    12.5 POST /api/customers/sync</w:t>
        <w:br/>
        <w:t>13. Global Schema Input Data Validation Standards</w:t>
        <w:br/>
        <w:t>14. Global Exception Filters, Error Modeling &amp; RFC 7807 Mapping</w:t>
        <w:br/>
        <w:t>15. Quality Engineering Framework &amp; Automated Integration Testing</w:t>
        <w:br/>
        <w:t>16. Future Improvements &amp; Advanced Engineering Roadmap (Milestones 5-8)</w:t>
        <w:br/>
        <w:t>17. Lessons Learned &amp; Retrospective</w:t>
      </w:r>
    </w:p>
    <w:p>
      <w:r>
        <w:br w:type="page"/>
      </w:r>
    </w:p>
    <w:p>
      <w:pPr>
        <w:keepNext/>
        <w:spacing w:before="440" w:after="120"/>
      </w:pPr>
      <w:r>
        <w:rPr>
          <w:b/>
          <w:color w:val="22313F"/>
          <w:sz w:val="32"/>
        </w:rPr>
        <w:t>1. Executive Summary</w:t>
      </w:r>
    </w:p>
    <w:p>
      <w:pPr>
        <w:spacing w:after="120" w:line="276" w:lineRule="auto"/>
      </w:pPr>
      <w:r>
        <w:t>This REST API Documentation serves as the complete interface contract for the DemoERP Customer Management platform. It outlines the message topographies, structural schemas, role capabilities, and validation parameters governing all inbound communication paths, providing clear visibility for software engineers and data analysts evaluating project health.</w:t>
      </w:r>
    </w:p>
    <w:p>
      <w:pPr>
        <w:keepNext/>
        <w:spacing w:before="440" w:after="120"/>
      </w:pPr>
      <w:r>
        <w:rPr>
          <w:b/>
          <w:color w:val="22313F"/>
          <w:sz w:val="32"/>
        </w:rPr>
        <w:t>2. Business Objectives &amp; Interface Strategy</w:t>
      </w:r>
    </w:p>
    <w:p>
      <w:pPr>
        <w:spacing w:after="120" w:line="276" w:lineRule="auto"/>
      </w:pPr>
      <w:r>
        <w:t>The endpoint architecture enforces clean operational and governance boundaries:</w:t>
      </w:r>
    </w:p>
    <w:p>
      <w:pPr>
        <w:pStyle w:val="ListBullet"/>
      </w:pPr>
      <w:r>
        <w:rPr>
          <w:b/>
        </w:rPr>
        <w:t xml:space="preserve">Data Quality &amp; Consistency: </w:t>
      </w:r>
      <w:r>
        <w:t>Restricts database modifications through structured parameter validation rules to completely block malformed data records.</w:t>
      </w:r>
    </w:p>
    <w:p>
      <w:pPr>
        <w:pStyle w:val="ListBullet"/>
      </w:pPr>
      <w:r>
        <w:rPr>
          <w:b/>
        </w:rPr>
        <w:t xml:space="preserve">Enterprise Multi-Tenant Security: </w:t>
      </w:r>
      <w:r>
        <w:t>Enforces explicit perimeter security controls, restricting data visibility based on roles via clear token parameters.</w:t>
      </w:r>
    </w:p>
    <w:p>
      <w:pPr>
        <w:keepNext/>
        <w:spacing w:before="440" w:after="120"/>
      </w:pPr>
      <w:r>
        <w:rPr>
          <w:b/>
          <w:color w:val="22313F"/>
          <w:sz w:val="32"/>
        </w:rPr>
        <w:t>3. Functional Requirements</w:t>
      </w:r>
    </w:p>
    <w:p>
      <w:pPr>
        <w:spacing w:after="120" w:line="276" w:lineRule="auto"/>
      </w:pPr>
      <w:r>
        <w:t>• RF-API-01: Issue signed HMAC-SHA256 JWT tokens following valid user authentication.</w:t>
      </w:r>
    </w:p>
    <w:p>
      <w:pPr>
        <w:spacing w:after="120" w:line="276" w:lineRule="auto"/>
      </w:pPr>
      <w:r>
        <w:t>• RF-API-02: Support complete CRUD resource profiles targeting the customer database sheet.</w:t>
      </w:r>
    </w:p>
    <w:p>
      <w:pPr>
        <w:spacing w:after="120" w:line="276" w:lineRule="auto"/>
      </w:pPr>
      <w:r>
        <w:t>• RF-API-03: Implement an idempotent synchronization route (`/api/customers/sync`) to handle data updates.</w:t>
      </w:r>
    </w:p>
    <w:p>
      <w:pPr>
        <w:spacing w:after="120" w:line="276" w:lineRule="auto"/>
      </w:pPr>
      <w:r>
        <w:t>• RF-API-04: Exclude soft-deleted customer profiles from standard query resource calls.</w:t>
      </w:r>
    </w:p>
    <w:p>
      <w:pPr>
        <w:keepNext/>
        <w:spacing w:before="440" w:after="120"/>
      </w:pPr>
      <w:r>
        <w:rPr>
          <w:b/>
          <w:color w:val="22313F"/>
          <w:sz w:val="32"/>
        </w:rPr>
        <w:t>4. Non-functional Requirements &amp; API SLAs</w:t>
      </w:r>
    </w:p>
    <w:p>
      <w:pPr>
        <w:spacing w:after="120" w:line="276" w:lineRule="auto"/>
      </w:pPr>
      <w:r>
        <w:t>• Target Payload Format: Uniform application/json content delivery exchanges exclusively.</w:t>
      </w:r>
    </w:p>
    <w:p>
      <w:pPr>
        <w:spacing w:after="120" w:line="276" w:lineRule="auto"/>
      </w:pPr>
      <w:r>
        <w:t>• Network Performance SLA: Edge API endpoints must return payload data blocks within ≤ 100ms.</w:t>
      </w:r>
    </w:p>
    <w:p>
      <w:pPr>
        <w:spacing w:after="120" w:line="276" w:lineRule="auto"/>
      </w:pPr>
      <w:r>
        <w:t>• Standards Compliance: Application exception messages must map to standardized RFC 7807 problem json structures.</w:t>
      </w:r>
    </w:p>
    <w:p>
      <w:pPr>
        <w:keepNext/>
        <w:spacing w:before="440" w:after="120"/>
      </w:pPr>
      <w:r>
        <w:rPr>
          <w:b/>
          <w:color w:val="22313F"/>
          <w:sz w:val="32"/>
        </w:rPr>
        <w:t>5. Technology Stack &amp; Protocol Specifications</w:t>
      </w:r>
    </w:p>
    <w:p>
      <w:pPr>
        <w:spacing w:after="120" w:line="276" w:lineRule="auto"/>
      </w:pPr>
      <w:r>
        <w:t>• Presentation Engine Framework: ASP.NET Core Web API Core Engine</w:t>
      </w:r>
    </w:p>
    <w:p>
      <w:pPr>
        <w:spacing w:after="120" w:line="276" w:lineRule="auto"/>
      </w:pPr>
      <w:r>
        <w:t>• Secure Access Engine: Microsoft JwtBearer Token Authentication Interceptor Middleware</w:t>
      </w:r>
    </w:p>
    <w:p>
      <w:pPr>
        <w:spacing w:after="120" w:line="276" w:lineRule="auto"/>
      </w:pPr>
      <w:r>
        <w:t>• Request Validation Pipeline: FluentValidation Struct Interceptor Rules Engine</w:t>
      </w:r>
    </w:p>
    <w:p>
      <w:pPr>
        <w:keepNext/>
        <w:spacing w:before="440" w:after="120"/>
      </w:pPr>
      <w:r>
        <w:rPr>
          <w:b/>
          <w:color w:val="22313F"/>
          <w:sz w:val="32"/>
        </w:rPr>
        <w:t>6. Component Architecture &amp; Route Gateways</w:t>
      </w:r>
    </w:p>
    <w:p>
      <w:pPr>
        <w:spacing w:after="120" w:line="276" w:lineRule="auto"/>
      </w:pPr>
      <w:r>
        <w:t>HTTP requests pass through strict application boundary gates before executing operations on underlying rows:</w:t>
      </w:r>
    </w:p>
    <w:p>
      <w:pPr>
        <w:spacing w:after="80" w:before="80"/>
        <w:ind w:left="360"/>
      </w:pPr>
      <w:r>
        <w:rPr>
          <w:rFonts w:ascii="Consolas" w:hAnsi="Consolas"/>
          <w:color w:val="22313F"/>
          <w:sz w:val="19"/>
        </w:rPr>
        <w:t xml:space="preserve">  [Client Application UI / Postman] ──➔ [JWT Bearer Authentication Layer]</w:t>
        <w:br/>
        <w:t xml:space="preserve">                                                    │</w:t>
        <w:br/>
        <w:t xml:space="preserve">  ┌─────────────────────────────────────────────────┘</w:t>
        <w:br/>
        <w:t xml:space="preserve">  ▼</w:t>
        <w:br/>
        <w:t xml:space="preserve">  [Role Authorization Matrix Guard] ──➔ [FluentValidation Filter] ──➔ [Controller Route Handler]</w:t>
      </w:r>
    </w:p>
    <w:p>
      <w:pPr>
        <w:keepNext/>
        <w:spacing w:before="440" w:after="120"/>
      </w:pPr>
      <w:r>
        <w:rPr>
          <w:b/>
          <w:color w:val="22313F"/>
          <w:sz w:val="32"/>
        </w:rPr>
        <w:t>7. Database Design &amp; Context Correspondence Mapping</w:t>
      </w:r>
    </w:p>
    <w:p>
      <w:pPr>
        <w:spacing w:after="120" w:line="276" w:lineRule="auto"/>
      </w:pPr>
      <w:r>
        <w:t>API endpoints map directly to four underlying production tables to handle state persistence: `Users`, `Customers`, `CustomerAccess`, and `SyncLog`. Row updates pass through an implicit multi-tenant `TenantId` column check to secure data boundaries.</w:t>
      </w:r>
    </w:p>
    <w:p>
      <w:pPr>
        <w:keepNext/>
        <w:spacing w:before="440" w:after="120"/>
      </w:pPr>
      <w:r>
        <w:rPr>
          <w:b/>
          <w:color w:val="22313F"/>
          <w:sz w:val="32"/>
        </w:rPr>
        <w:t>8. Security Design &amp; Perimeter Protection Policies</w:t>
      </w:r>
    </w:p>
    <w:p>
      <w:pPr>
        <w:spacing w:after="120" w:line="276" w:lineRule="auto"/>
      </w:pPr>
      <w:r>
        <w:t>• Threat Vectors Defenses: Route parameters use strongly-typed binders to block remote code execution vulnerabilities.</w:t>
      </w:r>
    </w:p>
    <w:p>
      <w:pPr>
        <w:spacing w:after="120" w:line="276" w:lineRule="auto"/>
      </w:pPr>
      <w:r>
        <w:t>• Dynamic Filter Isolation: Cross-tenant data leaks are blocked by appending user context parameters directly onto Entity Framework queries.</w:t>
      </w:r>
    </w:p>
    <w:p>
      <w:pPr>
        <w:keepNext/>
        <w:spacing w:before="440" w:after="120"/>
      </w:pPr>
      <w:r>
        <w:rPr>
          <w:b/>
          <w:color w:val="22313F"/>
          <w:sz w:val="32"/>
        </w:rPr>
        <w:t>9. Enterprise Business Rules &amp; Relational Sync Boundaries</w:t>
      </w:r>
    </w:p>
    <w:p>
      <w:pPr>
        <w:spacing w:after="120" w:line="276" w:lineRule="auto"/>
      </w:pPr>
      <w:r>
        <w:t>• Soft-Delete Lifecycles: Resource records are never dropped destructively; dropping rows sets `IsDeleted = 1`. Resource endpoints filter out rows where `IsDeleted == 1`.</w:t>
      </w:r>
    </w:p>
    <w:p>
      <w:pPr>
        <w:spacing w:after="120" w:line="276" w:lineRule="auto"/>
      </w:pPr>
      <w:r>
        <w:t>• Idempotent Sync Tracking: The `/api/customers/sync` endpoint evaluates inbound records against pre-existing natural keys (`CustomerID`). New records are inserted, matches update fields, and duplicates write an audit trace row to the logging ledger.</w:t>
      </w:r>
    </w:p>
    <w:p>
      <w:pPr>
        <w:keepNext/>
        <w:spacing w:before="440" w:after="120"/>
      </w:pPr>
      <w:r>
        <w:rPr>
          <w:b/>
          <w:color w:val="22313F"/>
          <w:sz w:val="32"/>
        </w:rPr>
        <w:t>10. Authentication Reference &amp; Cryptographic Token Parameter Matrix</w:t>
      </w:r>
    </w:p>
    <w:p>
      <w:pPr>
        <w:spacing w:after="120" w:line="276" w:lineRule="auto"/>
      </w:pPr>
      <w:r>
        <w:t>Resource endpoints require an HTTP Authorization Header configured with a signed Bearer token. The token must carry standard identity metrics (`sub`), role assignment groupings (`role`), and target multi-tenant partition numbers (`TenantId`).</w:t>
      </w:r>
    </w:p>
    <w:p>
      <w:pPr>
        <w:keepNext/>
        <w:spacing w:before="440" w:after="120"/>
      </w:pPr>
      <w:r>
        <w:rPr>
          <w:b/>
          <w:color w:val="22313F"/>
          <w:sz w:val="32"/>
        </w:rPr>
        <w:t>11. Production Role-Based Access Control (RBAC) Authorization Matrix</w:t>
      </w:r>
    </w:p>
    <w:p>
      <w:pPr>
        <w:spacing w:after="120" w:line="276" w:lineRule="auto"/>
      </w:pPr>
      <w:r>
        <w:t>The following matrix summarizes endpoint authorization rules across active roles:</w:t>
      </w:r>
    </w:p>
    <w:tbl>
      <w:tblPr>
        <w:tblW w:type="auto" w:w="0"/>
        <w:jc w:val="center"/>
        <w:tblLook w:firstColumn="1" w:firstRow="1" w:lastColumn="0" w:lastRow="0" w:noHBand="0" w:noVBand="1" w:val="04A0"/>
      </w:tblPr>
      <w:tblGrid>
        <w:gridCol w:w="2340"/>
        <w:gridCol w:w="2340"/>
        <w:gridCol w:w="2340"/>
        <w:gridCol w:w="2340"/>
      </w:tblGrid>
      <w:tr>
        <w:tc>
          <w:tcPr>
            <w:tcW w:type="dxa" w:w="2340"/>
            <w:shd w:fill="22313F"/>
            <w:tcMar>
              <w:top w:w="120" w:type="dxa"/>
              <w:bottom w:w="120" w:type="dxa"/>
              <w:left w:w="140" w:type="dxa"/>
              <w:right w:w="140" w:type="dxa"/>
            </w:tcMar>
          </w:tcPr>
          <w:p>
            <w:pPr>
              <w:jc w:val="left"/>
            </w:pPr>
            <w:r>
              <w:rPr>
                <w:b/>
                <w:color w:val="FFFFFF"/>
                <w:sz w:val="20"/>
              </w:rPr>
              <w:t>Endpoint Route Pattern</w:t>
            </w:r>
          </w:p>
        </w:tc>
        <w:tc>
          <w:tcPr>
            <w:tcW w:type="dxa" w:w="2340"/>
            <w:shd w:fill="22313F"/>
            <w:tcMar>
              <w:top w:w="120" w:type="dxa"/>
              <w:bottom w:w="120" w:type="dxa"/>
              <w:left w:w="140" w:type="dxa"/>
              <w:right w:w="140" w:type="dxa"/>
            </w:tcMar>
          </w:tcPr>
          <w:p>
            <w:pPr>
              <w:jc w:val="left"/>
            </w:pPr>
            <w:r>
              <w:rPr>
                <w:b/>
                <w:color w:val="FFFFFF"/>
                <w:sz w:val="20"/>
              </w:rPr>
              <w:t>Admin Role</w:t>
            </w:r>
          </w:p>
        </w:tc>
        <w:tc>
          <w:tcPr>
            <w:tcW w:type="dxa" w:w="2340"/>
            <w:shd w:fill="22313F"/>
            <w:tcMar>
              <w:top w:w="120" w:type="dxa"/>
              <w:bottom w:w="120" w:type="dxa"/>
              <w:left w:w="140" w:type="dxa"/>
              <w:right w:w="140" w:type="dxa"/>
            </w:tcMar>
          </w:tcPr>
          <w:p>
            <w:pPr>
              <w:jc w:val="left"/>
            </w:pPr>
            <w:r>
              <w:rPr>
                <w:b/>
                <w:color w:val="FFFFFF"/>
                <w:sz w:val="20"/>
              </w:rPr>
              <w:t>QA Role</w:t>
            </w:r>
          </w:p>
        </w:tc>
        <w:tc>
          <w:tcPr>
            <w:tcW w:type="dxa" w:w="2340"/>
            <w:shd w:fill="22313F"/>
            <w:tcMar>
              <w:top w:w="120" w:type="dxa"/>
              <w:bottom w:w="120" w:type="dxa"/>
              <w:left w:w="140" w:type="dxa"/>
              <w:right w:w="140" w:type="dxa"/>
            </w:tcMar>
          </w:tcPr>
          <w:p>
            <w:pPr>
              <w:jc w:val="left"/>
            </w:pPr>
            <w:r>
              <w:rPr>
                <w:b/>
                <w:color w:val="FFFFFF"/>
                <w:sz w:val="20"/>
              </w:rPr>
              <w:t>Customer Role</w:t>
            </w:r>
          </w:p>
        </w:tc>
      </w:tr>
      <w:tr>
        <w:tc>
          <w:tcPr>
            <w:tcW w:type="dxa" w:w="2340"/>
            <w:shd w:fill="FFFFFF"/>
            <w:tcMar>
              <w:top w:w="120" w:type="dxa"/>
              <w:bottom w:w="120" w:type="dxa"/>
              <w:left w:w="140" w:type="dxa"/>
              <w:right w:w="140" w:type="dxa"/>
            </w:tcMar>
          </w:tcPr>
          <w:p>
            <w:r>
              <w:rPr>
                <w:color w:val="2B2B2B"/>
                <w:sz w:val="19"/>
              </w:rPr>
              <w:t>/api/auth/login</w:t>
            </w:r>
          </w:p>
        </w:tc>
        <w:tc>
          <w:tcPr>
            <w:tcW w:type="dxa" w:w="2340"/>
            <w:shd w:fill="FFFFFF"/>
            <w:tcMar>
              <w:top w:w="120" w:type="dxa"/>
              <w:bottom w:w="120" w:type="dxa"/>
              <w:left w:w="140" w:type="dxa"/>
              <w:right w:w="140" w:type="dxa"/>
            </w:tcMar>
          </w:tcPr>
          <w:p>
            <w:r>
              <w:rPr>
                <w:color w:val="2B2B2B"/>
                <w:sz w:val="19"/>
              </w:rPr>
              <w:t>Allowed (All)</w:t>
            </w:r>
          </w:p>
        </w:tc>
        <w:tc>
          <w:tcPr>
            <w:tcW w:type="dxa" w:w="2340"/>
            <w:shd w:fill="FFFFFF"/>
            <w:tcMar>
              <w:top w:w="120" w:type="dxa"/>
              <w:bottom w:w="120" w:type="dxa"/>
              <w:left w:w="140" w:type="dxa"/>
              <w:right w:w="140" w:type="dxa"/>
            </w:tcMar>
          </w:tcPr>
          <w:p>
            <w:r>
              <w:rPr>
                <w:color w:val="2B2B2B"/>
                <w:sz w:val="19"/>
              </w:rPr>
              <w:t>Allowed (All)</w:t>
            </w:r>
          </w:p>
        </w:tc>
        <w:tc>
          <w:tcPr>
            <w:tcW w:type="dxa" w:w="2340"/>
            <w:shd w:fill="FFFFFF"/>
            <w:tcMar>
              <w:top w:w="120" w:type="dxa"/>
              <w:bottom w:w="120" w:type="dxa"/>
              <w:left w:w="140" w:type="dxa"/>
              <w:right w:w="140" w:type="dxa"/>
            </w:tcMar>
          </w:tcPr>
          <w:p>
            <w:r>
              <w:rPr>
                <w:color w:val="2B2B2B"/>
                <w:sz w:val="19"/>
              </w:rPr>
              <w:t>Allowed (All)</w:t>
            </w:r>
          </w:p>
        </w:tc>
      </w:tr>
      <w:tr>
        <w:tc>
          <w:tcPr>
            <w:tcW w:type="dxa" w:w="2340"/>
            <w:shd w:fill="F4F6F8"/>
            <w:tcMar>
              <w:top w:w="120" w:type="dxa"/>
              <w:bottom w:w="120" w:type="dxa"/>
              <w:left w:w="140" w:type="dxa"/>
              <w:right w:w="140" w:type="dxa"/>
            </w:tcMar>
          </w:tcPr>
          <w:p>
            <w:r>
              <w:rPr>
                <w:color w:val="2B2B2B"/>
                <w:sz w:val="19"/>
              </w:rPr>
              <w:t>/api/customers/{id} [GET]</w:t>
            </w:r>
          </w:p>
        </w:tc>
        <w:tc>
          <w:tcPr>
            <w:tcW w:type="dxa" w:w="2340"/>
            <w:shd w:fill="F4F6F8"/>
            <w:tcMar>
              <w:top w:w="120" w:type="dxa"/>
              <w:bottom w:w="120" w:type="dxa"/>
              <w:left w:w="140" w:type="dxa"/>
              <w:right w:w="140" w:type="dxa"/>
            </w:tcMar>
          </w:tcPr>
          <w:p>
            <w:r>
              <w:rPr>
                <w:color w:val="2B2B2B"/>
                <w:sz w:val="19"/>
              </w:rPr>
              <w:t>Allowed (All Records)</w:t>
            </w:r>
          </w:p>
        </w:tc>
        <w:tc>
          <w:tcPr>
            <w:tcW w:type="dxa" w:w="2340"/>
            <w:shd w:fill="F4F6F8"/>
            <w:tcMar>
              <w:top w:w="120" w:type="dxa"/>
              <w:bottom w:w="120" w:type="dxa"/>
              <w:left w:w="140" w:type="dxa"/>
              <w:right w:w="140" w:type="dxa"/>
            </w:tcMar>
          </w:tcPr>
          <w:p>
            <w:r>
              <w:rPr>
                <w:color w:val="2B2B2B"/>
                <w:sz w:val="19"/>
              </w:rPr>
              <w:t>Allowed (Assigned Only)</w:t>
            </w:r>
          </w:p>
        </w:tc>
        <w:tc>
          <w:tcPr>
            <w:tcW w:type="dxa" w:w="2340"/>
            <w:shd w:fill="F4F6F8"/>
            <w:tcMar>
              <w:top w:w="120" w:type="dxa"/>
              <w:bottom w:w="120" w:type="dxa"/>
              <w:left w:w="140" w:type="dxa"/>
              <w:right w:w="140" w:type="dxa"/>
            </w:tcMar>
          </w:tcPr>
          <w:p>
            <w:r>
              <w:rPr>
                <w:color w:val="2B2B2B"/>
                <w:sz w:val="19"/>
              </w:rPr>
              <w:t>Allowed (Own Record Only)</w:t>
            </w:r>
          </w:p>
        </w:tc>
      </w:tr>
      <w:tr>
        <w:tc>
          <w:tcPr>
            <w:tcW w:type="dxa" w:w="2340"/>
            <w:shd w:fill="FFFFFF"/>
            <w:tcMar>
              <w:top w:w="120" w:type="dxa"/>
              <w:bottom w:w="120" w:type="dxa"/>
              <w:left w:w="140" w:type="dxa"/>
              <w:right w:w="140" w:type="dxa"/>
            </w:tcMar>
          </w:tcPr>
          <w:p>
            <w:r>
              <w:rPr>
                <w:color w:val="2B2B2B"/>
                <w:sz w:val="19"/>
              </w:rPr>
              <w:t>/api/customers/{id} [PUT]</w:t>
            </w:r>
          </w:p>
        </w:tc>
        <w:tc>
          <w:tcPr>
            <w:tcW w:type="dxa" w:w="2340"/>
            <w:shd w:fill="FFFFFF"/>
            <w:tcMar>
              <w:top w:w="120" w:type="dxa"/>
              <w:bottom w:w="120" w:type="dxa"/>
              <w:left w:w="140" w:type="dxa"/>
              <w:right w:w="140" w:type="dxa"/>
            </w:tcMar>
          </w:tcPr>
          <w:p>
            <w:r>
              <w:rPr>
                <w:color w:val="2B2B2B"/>
                <w:sz w:val="19"/>
              </w:rPr>
              <w:t>Allowed (All Records)</w:t>
            </w:r>
          </w:p>
        </w:tc>
        <w:tc>
          <w:tcPr>
            <w:tcW w:type="dxa" w:w="2340"/>
            <w:shd w:fill="FFFFFF"/>
            <w:tcMar>
              <w:top w:w="120" w:type="dxa"/>
              <w:bottom w:w="120" w:type="dxa"/>
              <w:left w:w="140" w:type="dxa"/>
              <w:right w:w="140" w:type="dxa"/>
            </w:tcMar>
          </w:tcPr>
          <w:p>
            <w:r>
              <w:rPr>
                <w:color w:val="2B2B2B"/>
                <w:sz w:val="19"/>
              </w:rPr>
              <w:t>Allowed (Assigned Only)</w:t>
            </w:r>
          </w:p>
        </w:tc>
        <w:tc>
          <w:tcPr>
            <w:tcW w:type="dxa" w:w="2340"/>
            <w:shd w:fill="FFFFFF"/>
            <w:tcMar>
              <w:top w:w="120" w:type="dxa"/>
              <w:bottom w:w="120" w:type="dxa"/>
              <w:left w:w="140" w:type="dxa"/>
              <w:right w:w="140" w:type="dxa"/>
            </w:tcMar>
          </w:tcPr>
          <w:p>
            <w:r>
              <w:rPr>
                <w:color w:val="2B2B2B"/>
                <w:sz w:val="19"/>
              </w:rPr>
              <w:t>Allowed (Own Record Only)</w:t>
            </w:r>
          </w:p>
        </w:tc>
      </w:tr>
      <w:tr>
        <w:tc>
          <w:tcPr>
            <w:tcW w:type="dxa" w:w="2340"/>
            <w:shd w:fill="F4F6F8"/>
            <w:tcMar>
              <w:top w:w="120" w:type="dxa"/>
              <w:bottom w:w="120" w:type="dxa"/>
              <w:left w:w="140" w:type="dxa"/>
              <w:right w:w="140" w:type="dxa"/>
            </w:tcMar>
          </w:tcPr>
          <w:p>
            <w:r>
              <w:rPr>
                <w:color w:val="2B2B2B"/>
                <w:sz w:val="19"/>
              </w:rPr>
              <w:t>/api/customers/{id} [DELETE]</w:t>
            </w:r>
          </w:p>
        </w:tc>
        <w:tc>
          <w:tcPr>
            <w:tcW w:type="dxa" w:w="2340"/>
            <w:shd w:fill="F4F6F8"/>
            <w:tcMar>
              <w:top w:w="120" w:type="dxa"/>
              <w:bottom w:w="120" w:type="dxa"/>
              <w:left w:w="140" w:type="dxa"/>
              <w:right w:w="140" w:type="dxa"/>
            </w:tcMar>
          </w:tcPr>
          <w:p>
            <w:r>
              <w:rPr>
                <w:color w:val="2B2B2B"/>
                <w:sz w:val="19"/>
              </w:rPr>
              <w:t>Allowed (All Records)</w:t>
            </w:r>
          </w:p>
        </w:tc>
        <w:tc>
          <w:tcPr>
            <w:tcW w:type="dxa" w:w="2340"/>
            <w:shd w:fill="F4F6F8"/>
            <w:tcMar>
              <w:top w:w="120" w:type="dxa"/>
              <w:bottom w:w="120" w:type="dxa"/>
              <w:left w:w="140" w:type="dxa"/>
              <w:right w:w="140" w:type="dxa"/>
            </w:tcMar>
          </w:tcPr>
          <w:p>
            <w:r>
              <w:rPr>
                <w:color w:val="2B2B2B"/>
                <w:sz w:val="19"/>
              </w:rPr>
              <w:t>Allowed (Assigned Only)</w:t>
            </w:r>
          </w:p>
        </w:tc>
        <w:tc>
          <w:tcPr>
            <w:tcW w:type="dxa" w:w="2340"/>
            <w:shd w:fill="F4F6F8"/>
            <w:tcMar>
              <w:top w:w="120" w:type="dxa"/>
              <w:bottom w:w="120" w:type="dxa"/>
              <w:left w:w="140" w:type="dxa"/>
              <w:right w:w="140" w:type="dxa"/>
            </w:tcMar>
          </w:tcPr>
          <w:p>
            <w:r>
              <w:rPr>
                <w:color w:val="2B2B2B"/>
                <w:sz w:val="19"/>
              </w:rPr>
              <w:t>Denied (403 Forbidden)</w:t>
            </w:r>
          </w:p>
        </w:tc>
      </w:tr>
      <w:tr>
        <w:tc>
          <w:tcPr>
            <w:tcW w:type="dxa" w:w="2340"/>
            <w:shd w:fill="FFFFFF"/>
            <w:tcMar>
              <w:top w:w="120" w:type="dxa"/>
              <w:bottom w:w="120" w:type="dxa"/>
              <w:left w:w="140" w:type="dxa"/>
              <w:right w:w="140" w:type="dxa"/>
            </w:tcMar>
          </w:tcPr>
          <w:p>
            <w:r>
              <w:rPr>
                <w:color w:val="2B2B2B"/>
                <w:sz w:val="19"/>
              </w:rPr>
              <w:t>/api/customers/sync [POST]</w:t>
            </w:r>
          </w:p>
        </w:tc>
        <w:tc>
          <w:tcPr>
            <w:tcW w:type="dxa" w:w="2340"/>
            <w:shd w:fill="FFFFFF"/>
            <w:tcMar>
              <w:top w:w="120" w:type="dxa"/>
              <w:bottom w:w="120" w:type="dxa"/>
              <w:left w:w="140" w:type="dxa"/>
              <w:right w:w="140" w:type="dxa"/>
            </w:tcMar>
          </w:tcPr>
          <w:p>
            <w:r>
              <w:rPr>
                <w:color w:val="2B2B2B"/>
                <w:sz w:val="19"/>
              </w:rPr>
              <w:t>Allowed (Full Batch)</w:t>
            </w:r>
          </w:p>
        </w:tc>
        <w:tc>
          <w:tcPr>
            <w:tcW w:type="dxa" w:w="2340"/>
            <w:shd w:fill="FFFFFF"/>
            <w:tcMar>
              <w:top w:w="120" w:type="dxa"/>
              <w:bottom w:w="120" w:type="dxa"/>
              <w:left w:w="140" w:type="dxa"/>
              <w:right w:w="140" w:type="dxa"/>
            </w:tcMar>
          </w:tcPr>
          <w:p>
            <w:r>
              <w:rPr>
                <w:color w:val="2B2B2B"/>
                <w:sz w:val="19"/>
              </w:rPr>
              <w:t>Allowed (Assigned Only)</w:t>
            </w:r>
          </w:p>
        </w:tc>
        <w:tc>
          <w:tcPr>
            <w:tcW w:type="dxa" w:w="2340"/>
            <w:shd w:fill="FFFFFF"/>
            <w:tcMar>
              <w:top w:w="120" w:type="dxa"/>
              <w:bottom w:w="120" w:type="dxa"/>
              <w:left w:w="140" w:type="dxa"/>
              <w:right w:w="140" w:type="dxa"/>
            </w:tcMar>
          </w:tcPr>
          <w:p>
            <w:r>
              <w:rPr>
                <w:color w:val="2B2B2B"/>
                <w:sz w:val="19"/>
              </w:rPr>
              <w:t>Denied (403 Forbidden)</w:t>
            </w:r>
          </w:p>
        </w:tc>
      </w:tr>
    </w:tbl>
    <w:p>
      <w:pPr>
        <w:keepNext/>
        <w:spacing w:before="440" w:after="120"/>
      </w:pPr>
      <w:r>
        <w:rPr>
          <w:b/>
          <w:color w:val="22313F"/>
          <w:sz w:val="32"/>
        </w:rPr>
        <w:t>12. REST Endpoint Contract Catalog &amp; Payload Layouts</w:t>
      </w:r>
    </w:p>
    <w:p>
      <w:pPr>
        <w:keepNext/>
        <w:spacing w:before="280" w:after="80"/>
      </w:pPr>
      <w:r>
        <w:rPr>
          <w:b/>
          <w:color w:val="3498DB"/>
          <w:sz w:val="26"/>
        </w:rPr>
        <w:t>12.1 POST /api/auth/login</w:t>
      </w:r>
    </w:p>
    <w:p>
      <w:pPr>
        <w:spacing w:after="120" w:line="276" w:lineRule="auto"/>
      </w:pPr>
      <w:r>
        <w:t>Authenticates credentials and returns a signed token payload.</w:t>
      </w:r>
    </w:p>
    <w:p>
      <w:pPr>
        <w:spacing w:after="80" w:before="80"/>
        <w:ind w:left="360"/>
      </w:pPr>
      <w:r>
        <w:rPr>
          <w:rFonts w:ascii="Consolas" w:hAnsi="Consolas"/>
          <w:color w:val="22313F"/>
          <w:sz w:val="19"/>
        </w:rPr>
        <w:t xml:space="preserve">  // Request Payload Template:</w:t>
        <w:br/>
        <w:t xml:space="preserve">  {</w:t>
        <w:br/>
        <w:t xml:space="preserve">    "username": "admin",</w:t>
        <w:br/>
        <w:t xml:space="preserve">    "password": "Password123"</w:t>
        <w:br/>
        <w:t xml:space="preserve">  }</w:t>
        <w:br/>
        <w:br/>
        <w:t xml:space="preserve">  // Response Payload (200 OK):</w:t>
        <w:br/>
        <w:t xml:space="preserve">  {</w:t>
        <w:br/>
        <w:t xml:space="preserve">    "token": "eyJhbGciOiJIUzI1NiIsInR5cCI6IkpXVCJ9...",</w:t>
        <w:br/>
        <w:t xml:space="preserve">    "expiration": "2026-07-09T13:28:00Z"</w:t>
        <w:br/>
        <w:t xml:space="preserve">  }</w:t>
      </w:r>
    </w:p>
    <w:p>
      <w:pPr>
        <w:keepNext/>
        <w:spacing w:before="280" w:after="80"/>
      </w:pPr>
      <w:r>
        <w:rPr>
          <w:b/>
          <w:color w:val="3498DB"/>
          <w:sz w:val="26"/>
        </w:rPr>
        <w:t>12.2 GET /api/customers/{id}</w:t>
      </w:r>
    </w:p>
    <w:p>
      <w:pPr>
        <w:spacing w:after="120" w:line="276" w:lineRule="auto"/>
      </w:pPr>
      <w:r>
        <w:t>Retrieves detailed profile data for an active customer record using its unique natural system key.</w:t>
      </w:r>
    </w:p>
    <w:p>
      <w:pPr>
        <w:spacing w:after="80" w:before="80"/>
        <w:ind w:left="360"/>
      </w:pPr>
      <w:r>
        <w:rPr>
          <w:rFonts w:ascii="Consolas" w:hAnsi="Consolas"/>
          <w:color w:val="22313F"/>
          <w:sz w:val="19"/>
        </w:rPr>
        <w:t xml:space="preserve">  // Response Payload (200 OK):</w:t>
        <w:br/>
        <w:t xml:space="preserve">  {</w:t>
        <w:br/>
        <w:t xml:space="preserve">    "customerId": "CRM001",</w:t>
        <w:br/>
        <w:t xml:space="preserve">    "firstName": "Admin",</w:t>
        <w:br/>
        <w:t xml:space="preserve">    "lastName": "User",</w:t>
        <w:br/>
        <w:t xml:space="preserve">    "email": "admin@test.com",</w:t>
        <w:br/>
        <w:t xml:space="preserve">    "phone": "6040000000",</w:t>
        <w:br/>
        <w:t xml:space="preserve">    "isDeleted": false</w:t>
        <w:br/>
        <w:t xml:space="preserve">  }</w:t>
      </w:r>
    </w:p>
    <w:p>
      <w:pPr>
        <w:keepNext/>
        <w:spacing w:before="280" w:after="80"/>
      </w:pPr>
      <w:r>
        <w:rPr>
          <w:b/>
          <w:color w:val="3498DB"/>
          <w:sz w:val="26"/>
        </w:rPr>
        <w:t>12.3 PUT /api/customers/{id}</w:t>
      </w:r>
    </w:p>
    <w:p>
      <w:pPr>
        <w:spacing w:after="120" w:line="276" w:lineRule="auto"/>
      </w:pPr>
      <w:r>
        <w:t>Modifies data fields on an existing customer profile record.</w:t>
      </w:r>
    </w:p>
    <w:p>
      <w:pPr>
        <w:spacing w:after="80" w:before="80"/>
        <w:ind w:left="360"/>
      </w:pPr>
      <w:r>
        <w:rPr>
          <w:rFonts w:ascii="Consolas" w:hAnsi="Consolas"/>
          <w:color w:val="22313F"/>
          <w:sz w:val="19"/>
        </w:rPr>
        <w:t xml:space="preserve">  // Request Payload Template:</w:t>
        <w:br/>
        <w:t xml:space="preserve">  {</w:t>
        <w:br/>
        <w:t xml:space="preserve">    "firstName": "Michael",</w:t>
        <w:br/>
        <w:t xml:space="preserve">    "lastName": "Modified",</w:t>
        <w:br/>
        <w:t xml:space="preserve">    "email": "michael_mod@test.com",</w:t>
        <w:br/>
        <w:t xml:space="preserve">    "phone": "6041111111"</w:t>
        <w:br/>
        <w:t xml:space="preserve">  }</w:t>
        <w:br/>
        <w:br/>
        <w:t xml:space="preserve">  // Response Payload (200 OK):</w:t>
        <w:br/>
        <w:t xml:space="preserve">  {</w:t>
        <w:br/>
        <w:t xml:space="preserve">    "status": "Success",</w:t>
        <w:br/>
        <w:t xml:space="preserve">    "message": "Customer profile updated successfully."</w:t>
        <w:br/>
        <w:t xml:space="preserve">  }</w:t>
      </w:r>
    </w:p>
    <w:p>
      <w:pPr>
        <w:keepNext/>
        <w:spacing w:before="280" w:after="80"/>
      </w:pPr>
      <w:r>
        <w:rPr>
          <w:b/>
          <w:color w:val="3498DB"/>
          <w:sz w:val="26"/>
        </w:rPr>
        <w:t>12.4 DELETE /api/customers/{id}</w:t>
      </w:r>
    </w:p>
    <w:p>
      <w:pPr>
        <w:spacing w:after="120" w:line="276" w:lineRule="auto"/>
      </w:pPr>
      <w:r>
        <w:t>Flags a customer profile record as soft-deleted in the database.</w:t>
      </w:r>
    </w:p>
    <w:p>
      <w:pPr>
        <w:spacing w:after="80" w:before="80"/>
        <w:ind w:left="360"/>
      </w:pPr>
      <w:r>
        <w:rPr>
          <w:rFonts w:ascii="Consolas" w:hAnsi="Consolas"/>
          <w:color w:val="22313F"/>
          <w:sz w:val="19"/>
        </w:rPr>
        <w:t xml:space="preserve">  // Response Payload (200 OK):</w:t>
        <w:br/>
        <w:t xml:space="preserve">  {</w:t>
        <w:br/>
        <w:t xml:space="preserve">    "status": "Success",</w:t>
        <w:br/>
        <w:t xml:space="preserve">    "message": "Customer row flagged as soft-deleted successfully."</w:t>
        <w:br/>
        <w:t xml:space="preserve">  }</w:t>
      </w:r>
    </w:p>
    <w:p>
      <w:pPr>
        <w:keepNext/>
        <w:spacing w:before="280" w:after="80"/>
      </w:pPr>
      <w:r>
        <w:rPr>
          <w:b/>
          <w:color w:val="3498DB"/>
          <w:sz w:val="26"/>
        </w:rPr>
        <w:t>12.5 POST /api/customers/sync</w:t>
      </w:r>
    </w:p>
    <w:p>
      <w:pPr>
        <w:spacing w:after="120" w:line="276" w:lineRule="auto"/>
      </w:pPr>
      <w:r>
        <w:t>Processes customer sync requests. Updates existing matches or creates a new profile record if it does not already exist.</w:t>
      </w:r>
    </w:p>
    <w:p>
      <w:pPr>
        <w:spacing w:after="80" w:before="80"/>
        <w:ind w:left="360"/>
      </w:pPr>
      <w:r>
        <w:rPr>
          <w:rFonts w:ascii="Consolas" w:hAnsi="Consolas"/>
          <w:color w:val="22313F"/>
          <w:sz w:val="19"/>
        </w:rPr>
        <w:t xml:space="preserve">  // Request Payload Template:</w:t>
        <w:br/>
        <w:t xml:space="preserve">  {</w:t>
        <w:br/>
        <w:t xml:space="preserve">    "customerId": "CRM102",</w:t>
        <w:br/>
        <w:t xml:space="preserve">    "firstName": "Integration",</w:t>
        <w:br/>
        <w:t xml:space="preserve">    "lastName": "Test",</w:t>
        <w:br/>
        <w:t xml:space="preserve">    "email": "sync_test@test.com",</w:t>
        <w:br/>
        <w:t xml:space="preserve">    "phone": "6049999999"</w:t>
        <w:br/>
        <w:t xml:space="preserve">  }</w:t>
        <w:br/>
        <w:br/>
        <w:t xml:space="preserve">  // Response Payload (200 OK):</w:t>
        <w:br/>
        <w:t xml:space="preserve">  {</w:t>
        <w:br/>
        <w:t xml:space="preserve">    "syncStatus": "Inserted",</w:t>
        <w:br/>
        <w:t xml:space="preserve">    "customerId": "CRM102",</w:t>
        <w:br/>
        <w:t xml:space="preserve">    "message": "Record successfully provisioned into system tables."</w:t>
        <w:br/>
        <w:t xml:space="preserve">  }</w:t>
      </w:r>
    </w:p>
    <w:p>
      <w:pPr>
        <w:keepNext/>
        <w:spacing w:before="440" w:after="120"/>
      </w:pPr>
      <w:r>
        <w:rPr>
          <w:b/>
          <w:color w:val="22313F"/>
          <w:sz w:val="32"/>
        </w:rPr>
        <w:t>13. Global Schema Input Data Validation Standards</w:t>
      </w:r>
    </w:p>
    <w:p>
      <w:pPr>
        <w:spacing w:after="120" w:line="276" w:lineRule="auto"/>
      </w:pPr>
      <w:r>
        <w:t>Incoming JSON payloads are evaluated against structural model rules before route processing:</w:t>
      </w:r>
    </w:p>
    <w:p>
      <w:pPr>
        <w:pStyle w:val="ListBullet"/>
      </w:pPr>
      <w:r>
        <w:rPr>
          <w:b/>
        </w:rPr>
        <w:t xml:space="preserve">Email Pattern Enforcements: </w:t>
      </w:r>
      <w:r>
        <w:t>Must contain a valid address structure format (e.g., name@domain.com).</w:t>
      </w:r>
    </w:p>
    <w:p>
      <w:pPr>
        <w:pStyle w:val="ListBullet"/>
      </w:pPr>
      <w:r>
        <w:rPr>
          <w:b/>
        </w:rPr>
        <w:t xml:space="preserve">Phone Format Constraints: </w:t>
      </w:r>
      <w:r>
        <w:t>Must match exact structural length conditions (restricted between 10 to 15 numeric digits).</w:t>
      </w:r>
    </w:p>
    <w:p>
      <w:pPr>
        <w:keepNext/>
        <w:spacing w:before="440" w:after="120"/>
      </w:pPr>
      <w:r>
        <w:rPr>
          <w:b/>
          <w:color w:val="22313F"/>
          <w:sz w:val="32"/>
        </w:rPr>
        <w:t>14. Global Exception Filters, Error Modeling &amp; RFC 7807 Mapping</w:t>
      </w:r>
    </w:p>
    <w:p>
      <w:pPr>
        <w:spacing w:after="120" w:line="276" w:lineRule="auto"/>
      </w:pPr>
      <w:r>
        <w:t>Runtime failures, permission denials, and validation errors are standardized into consistent RFC 7807 JSON error responses:</w:t>
      </w:r>
    </w:p>
    <w:p>
      <w:pPr>
        <w:spacing w:after="80" w:before="80"/>
        <w:ind w:left="360"/>
      </w:pPr>
      <w:r>
        <w:rPr>
          <w:rFonts w:ascii="Consolas" w:hAnsi="Consolas"/>
          <w:color w:val="22313F"/>
          <w:sz w:val="19"/>
        </w:rPr>
        <w:t xml:space="preserve">  // Sample Error Response (400 Bad Request / Validation Failure):</w:t>
        <w:br/>
        <w:t xml:space="preserve">  {</w:t>
        <w:br/>
        <w:t xml:space="preserve">    "type": "https://demoerp.com/errors/validation-error",</w:t>
        <w:br/>
        <w:t xml:space="preserve">    "title": "One or more input validation errors occurred.",</w:t>
        <w:br/>
        <w:t xml:space="preserve">    "status": 400,</w:t>
        <w:br/>
        <w:t xml:space="preserve">    "detail": "The provided phone format length is out of range.",</w:t>
        <w:br/>
        <w:t xml:space="preserve">    "instance": "/api/customers/CRM100",</w:t>
        <w:br/>
        <w:t xml:space="preserve">    "errors": {</w:t>
        <w:br/>
        <w:t xml:space="preserve">      "phone": ["Phone must be between 10 and 15 numeric digits."]</w:t>
        <w:br/>
        <w:t xml:space="preserve">    }</w:t>
        <w:br/>
        <w:t xml:space="preserve">  }</w:t>
      </w:r>
    </w:p>
    <w:p>
      <w:pPr>
        <w:keepNext/>
        <w:spacing w:before="440" w:after="120"/>
      </w:pPr>
      <w:r>
        <w:rPr>
          <w:b/>
          <w:color w:val="22313F"/>
          <w:sz w:val="32"/>
        </w:rPr>
        <w:t>15. Quality Engineering Framework &amp; Automated Integration Testing</w:t>
      </w:r>
    </w:p>
    <w:p>
      <w:pPr>
        <w:spacing w:after="120" w:line="276" w:lineRule="auto"/>
      </w:pPr>
      <w:r>
        <w:t>The API interface contract is validated through an automated xUnit integration suite. Using a custom WebApplicationFactory, tests boot the API stack in a test environment to run deep route, token rejection, and database state assertions.</w:t>
      </w:r>
    </w:p>
    <w:p>
      <w:pPr>
        <w:keepNext/>
        <w:spacing w:before="280" w:after="80"/>
      </w:pPr>
      <w:r>
        <w:rPr>
          <w:b/>
          <w:color w:val="3498DB"/>
          <w:sz w:val="26"/>
        </w:rPr>
        <w:t>15.1 API Data Leakage Analysis &amp; Test Reset Isolation Standards</w:t>
      </w:r>
    </w:p>
    <w:p>
      <w:pPr>
        <w:spacing w:after="120" w:line="276" w:lineRule="auto"/>
      </w:pPr>
      <w:r>
        <w:t>During integration testing, running tests against a shared database state without cleanup routines introduces risk:</w:t>
      </w:r>
    </w:p>
    <w:p>
      <w:pPr>
        <w:spacing w:after="120" w:line="276" w:lineRule="auto"/>
      </w:pPr>
      <w:r>
        <w:t>1. Inter-Test State Contamination: Modifications executed by one test case (e.g., changing an admin account mapping to CustomerID = CRM100) persist in the database, causing downstream test assertions to fail.</w:t>
        <w:br/>
        <w:t>2. Test Suite Idempotency: To guarantee complete test reliability, the database state must be reset between test runs, keeping the data environment in a consistent baseline state.</w:t>
      </w:r>
    </w:p>
    <w:p>
      <w:pPr>
        <w:keepNext/>
        <w:spacing w:before="280" w:after="80"/>
      </w:pPr>
      <w:r>
        <w:rPr>
          <w:b/>
          <w:color w:val="3498DB"/>
          <w:sz w:val="26"/>
        </w:rPr>
        <w:t>15.2 Automated API State Re-Seeding Script</w:t>
      </w:r>
    </w:p>
    <w:p>
      <w:pPr>
        <w:spacing w:after="120" w:line="276" w:lineRule="auto"/>
      </w:pPr>
      <w:r>
        <w:t>The following SQL script defines the standardized database setup and configuration baseline. It resets data entries before test execution to ensure reproducible results:</w:t>
      </w:r>
    </w:p>
    <w:p>
      <w:pPr>
        <w:spacing w:after="80" w:before="80"/>
        <w:ind w:left="360"/>
      </w:pPr>
      <w:r>
        <w:rPr>
          <w:rFonts w:ascii="Consolas" w:hAnsi="Consolas"/>
          <w:color w:val="22313F"/>
          <w:sz w:val="19"/>
        </w:rPr>
        <w:t xml:space="preserve">  -- Clear Existing Logs and References</w:t>
        <w:br/>
        <w:t xml:space="preserve">  DELETE FROM SyncLog; DELETE FROM CustomerAccess;</w:t>
        <w:br/>
        <w:t xml:space="preserve">  DELETE FROM Users; DELETE FROM Customers;</w:t>
        <w:br/>
        <w:br/>
        <w:t xml:space="preserve">  -- Seed Master Customer Data</w:t>
        <w:br/>
        <w:t xml:space="preserve">  INSERT INTO Customers (CustomerID, FirstName, LastName, Email, IsDeleted, Phone)</w:t>
        <w:br/>
        <w:t xml:space="preserve">  VALUES ('CRM001', 'Admin', 'User', 'admin@test.com', 0, '6040000000');</w:t>
        <w:br/>
        <w:br/>
        <w:t xml:space="preserve">  -- Seed Master User Accounts with Correct Role Maps</w:t>
        <w:br/>
        <w:t xml:space="preserve">  INSERT INTO Users (Username, PasswordHash, Role, CustomerID, TenantId)</w:t>
        <w:br/>
        <w:t xml:space="preserve">  VALUES ('admin', '$2a$11$CVy0LpgX98DcfUgfKiQYweHyRX5zLg8f74NnPTNzbaB7dTX4dfdAu', 'Admin', 'CRM001', 1);</w:t>
      </w:r>
    </w:p>
    <w:p>
      <w:pPr>
        <w:keepNext/>
        <w:spacing w:before="440" w:after="120"/>
      </w:pPr>
      <w:r>
        <w:rPr>
          <w:b/>
          <w:color w:val="22313F"/>
          <w:sz w:val="32"/>
        </w:rPr>
        <w:t>16. Future Improvements &amp; Advanced Engineering Roadmap (Milestones 5-8)</w:t>
      </w:r>
    </w:p>
    <w:p>
      <w:pPr>
        <w:spacing w:after="120" w:line="276" w:lineRule="auto"/>
      </w:pPr>
      <w:r>
        <w:t>• Milestone 5 (Architecture Separation): Refactor controllers to offload operational logic into a decoupled Service and Repository pattern.</w:t>
      </w:r>
    </w:p>
    <w:p>
      <w:pPr>
        <w:spacing w:after="120" w:line="276" w:lineRule="auto"/>
      </w:pPr>
      <w:r>
        <w:t>• Milestone 6 (Advanced Integrity Schemes): Add database concurrency tokens and complex email formatting validations.</w:t>
      </w:r>
    </w:p>
    <w:p>
      <w:pPr>
        <w:spacing w:after="120" w:line="276" w:lineRule="auto"/>
      </w:pPr>
      <w:r>
        <w:t>• Milestone 7 (Database Reporting Analytics): Deploy monitoring queries and interactive dashboards to analyze data sync failure ratios.</w:t>
      </w:r>
    </w:p>
    <w:p>
      <w:pPr>
        <w:spacing w:after="120" w:line="276" w:lineRule="auto"/>
      </w:pPr>
      <w:r>
        <w:t>• Milestone 8 (Technical Portfolio Finalization): Complete comprehensive documentation blocks and end-to-end presentation demo flows.</w:t>
      </w:r>
    </w:p>
    <w:p>
      <w:pPr>
        <w:keepNext/>
        <w:spacing w:before="440" w:after="120"/>
      </w:pPr>
      <w:r>
        <w:rPr>
          <w:b/>
          <w:color w:val="22313F"/>
          <w:sz w:val="32"/>
        </w:rPr>
        <w:t>17. Lessons Learned &amp; Retrospective</w:t>
      </w:r>
    </w:p>
    <w:p>
      <w:pPr>
        <w:spacing w:after="120" w:line="276" w:lineRule="auto"/>
      </w:pPr>
      <w:r>
        <w:t>• Standardizing exception patterns into RFC 7807 problem details simplifies client integration and improves API troubleshooting.</w:t>
      </w:r>
    </w:p>
    <w:p>
      <w:pPr>
        <w:spacing w:after="120" w:line="276" w:lineRule="auto"/>
      </w:pPr>
      <w:r>
        <w:t>• Enforcing complete data isolation and re-seeding the database between tests ensures stable, reproducible integration testing runs.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B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