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240"/>
        <w:jc w:val="center"/>
      </w:pPr>
      <w:r>
        <w:rPr>
          <w:b/>
          <w:color w:val="22313F"/>
          <w:sz w:val="48"/>
        </w:rPr>
        <w:t>DEMOERP ENTERPRISE SYSTEM DOCUMENT</w:t>
      </w:r>
    </w:p>
    <w:p>
      <w:pPr>
        <w:spacing w:after="1200"/>
        <w:jc w:val="center"/>
      </w:pPr>
      <w:r>
        <w:rPr>
          <w:color w:val="3498DB"/>
          <w:sz w:val="24"/>
        </w:rPr>
        <w:t>SQL Database Design Guide &amp; Relational Architecture Manual</w:t>
        <w:br/>
        <w:t>Production Schema Blueprint, Multi-Tenant Security, Logging Matrices &amp; Transaction Isolation Standards</w:t>
      </w:r>
    </w:p>
    <w:p>
      <w:pPr>
        <w:spacing w:before="2800"/>
        <w:jc w:val="center"/>
      </w:pPr>
      <w:r>
        <w:rPr>
          <w:b/>
        </w:rPr>
        <w:t>Prepared for: Technical Portfolio Presentation (Software Developer / Data Analyst Tracks)</w:t>
        <w:br/>
      </w:r>
      <w:r>
        <w:t>Project Reference: DemoERP Enterprise Relational Infrastructure</w:t>
        <w:br/>
        <w:t>Date: July 09, 2026</w:t>
        <w:br/>
        <w:t>Classification: Corporate Technology Release Artifact</w:t>
      </w:r>
    </w:p>
    <w:p>
      <w:r>
        <w:br w:type="page"/>
      </w:r>
    </w:p>
    <w:p>
      <w:pPr>
        <w:keepNext/>
        <w:spacing w:before="440" w:after="120"/>
      </w:pPr>
      <w:r>
        <w:rPr>
          <w:b/>
          <w:color w:val="22313F"/>
          <w:sz w:val="32"/>
        </w:rPr>
        <w:t>Table of Contents</w:t>
      </w:r>
    </w:p>
    <w:p>
      <w:pPr>
        <w:spacing w:after="120" w:line="276" w:lineRule="auto"/>
      </w:pPr>
      <w:r>
        <w:t>1. Executive Summary</w:t>
        <w:br/>
        <w:t>2. Business Objectives &amp; Data Governance Strategy</w:t>
        <w:br/>
        <w:t>3. Functional Requirements</w:t>
        <w:br/>
        <w:t>4. Non-functional Requirements &amp; Relational SLAs</w:t>
        <w:br/>
        <w:t>5. Technology Stack &amp; Database Engine Profiles</w:t>
        <w:br/>
        <w:t>6. Component Architecture &amp; Layered Data Pipelines</w:t>
        <w:br/>
        <w:t>7. Relational Database Design &amp; Schema Architecture Blueprint</w:t>
        <w:br/>
        <w:t>8. Security Design &amp; Database-Level Perimeter Hardening</w:t>
        <w:br/>
        <w:t>9. Enterprise Business Rules &amp; Relational Constraints</w:t>
        <w:br/>
        <w:t>10. Authentication Architecture &amp; Token Parameters</w:t>
        <w:br/>
        <w:t>11. Authorization Matrix &amp; Row-Level Filtering Rules</w:t>
        <w:br/>
        <w:t>12. Input Schema Struct Validation &amp; Model Interceptors</w:t>
        <w:br/>
        <w:t>13. Global Exception Filters, Error Modeling &amp; RFC 7807 Mapping</w:t>
        <w:br/>
        <w:t>14. Testing Strategy, Idempotency Analysis &amp; State Reset Standards</w:t>
        <w:br/>
        <w:t>15. Future Improvements &amp; Advanced Engineering Roadmap (Milestones 5-8)</w:t>
        <w:br/>
        <w:t>16. Lessons Learned &amp; System Architecture Retrospective</w:t>
      </w:r>
    </w:p>
    <w:p>
      <w:r>
        <w:br w:type="page"/>
      </w:r>
    </w:p>
    <w:p>
      <w:pPr>
        <w:keepNext/>
        <w:spacing w:before="440" w:after="120"/>
      </w:pPr>
      <w:r>
        <w:rPr>
          <w:b/>
          <w:color w:val="22313F"/>
          <w:sz w:val="32"/>
        </w:rPr>
        <w:t>1. Executive Summary</w:t>
      </w:r>
    </w:p>
    <w:p>
      <w:pPr>
        <w:spacing w:after="120" w:line="276" w:lineRule="auto"/>
      </w:pPr>
      <w:r>
        <w:t>This SQL Database Design Guide serves as the definitive structural specification for the DemoERP relational layer. It provides complete visibility into table topographies, identity data parameters, access mappings, and sync logging schemas utilized by the customer management module. It highlights production-grade data modeling patterns designed to satisfy both software engineering and technical data analyst evaluation criteria.</w:t>
      </w:r>
    </w:p>
    <w:p>
      <w:pPr>
        <w:keepNext/>
        <w:spacing w:before="440" w:after="120"/>
      </w:pPr>
      <w:r>
        <w:rPr>
          <w:b/>
          <w:color w:val="22313F"/>
          <w:sz w:val="32"/>
        </w:rPr>
        <w:t>2. Business Objectives &amp; Data Governance Strategy</w:t>
      </w:r>
    </w:p>
    <w:p>
      <w:pPr>
        <w:spacing w:after="120" w:line="276" w:lineRule="auto"/>
      </w:pPr>
      <w:r>
        <w:t>The persistence layout enforces corporate governance through clear isolation boundaries:</w:t>
      </w:r>
    </w:p>
    <w:p>
      <w:pPr>
        <w:pStyle w:val="ListBullet"/>
      </w:pPr>
      <w:r>
        <w:rPr>
          <w:b/>
        </w:rPr>
        <w:t xml:space="preserve">Data Sovereignty &amp; Multitenancy: </w:t>
      </w:r>
      <w:r>
        <w:t>Ensures data vectors remain strictly separated by isolating operational records through unified tenancy keys and explicit dynamic mapping tables.</w:t>
      </w:r>
    </w:p>
    <w:p>
      <w:pPr>
        <w:pStyle w:val="ListBullet"/>
      </w:pPr>
      <w:r>
        <w:rPr>
          <w:b/>
        </w:rPr>
        <w:t xml:space="preserve">Audit Integrity &amp; Sync Tracking: </w:t>
      </w:r>
      <w:r>
        <w:t>Retains an immutable log of execution states to guarantee data analytical correctness, trace sync pipelines, and isolate tracking telemetry.</w:t>
      </w:r>
    </w:p>
    <w:p>
      <w:pPr>
        <w:keepNext/>
        <w:spacing w:before="440" w:after="120"/>
      </w:pPr>
      <w:r>
        <w:rPr>
          <w:b/>
          <w:color w:val="22313F"/>
          <w:sz w:val="32"/>
        </w:rPr>
        <w:t>3. Functional Requirements</w:t>
      </w:r>
    </w:p>
    <w:p>
      <w:pPr>
        <w:spacing w:after="120" w:line="276" w:lineRule="auto"/>
      </w:pPr>
      <w:r>
        <w:t>• RF-DAT-01: System must store BCrypt-hashed user authentication credentials and map roles to tenant identifiers.</w:t>
      </w:r>
    </w:p>
    <w:p>
      <w:pPr>
        <w:spacing w:after="120" w:line="276" w:lineRule="auto"/>
      </w:pPr>
      <w:r>
        <w:t>• RF-DAT-02: Customer entries must map to immutable CRM natural keys (`CustomerID`) with unique constraints.</w:t>
      </w:r>
    </w:p>
    <w:p>
      <w:pPr>
        <w:spacing w:after="120" w:line="276" w:lineRule="auto"/>
      </w:pPr>
      <w:r>
        <w:t>• RF-DAT-03: System must track cross-cutting account access visibility rules via explicit bridge structures.</w:t>
      </w:r>
    </w:p>
    <w:p>
      <w:pPr>
        <w:spacing w:after="120" w:line="276" w:lineRule="auto"/>
      </w:pPr>
      <w:r>
        <w:t>• RF-DAT-04: High-throughput operations must record historical execution logs tracking state changes over time.</w:t>
      </w:r>
    </w:p>
    <w:p>
      <w:pPr>
        <w:keepNext/>
        <w:spacing w:before="440" w:after="120"/>
      </w:pPr>
      <w:r>
        <w:rPr>
          <w:b/>
          <w:color w:val="22313F"/>
          <w:sz w:val="32"/>
        </w:rPr>
        <w:t>4. Non-functional Requirements &amp; Relational SLAs</w:t>
      </w:r>
    </w:p>
    <w:p>
      <w:pPr>
        <w:spacing w:after="120" w:line="276" w:lineRule="auto"/>
      </w:pPr>
      <w:r>
        <w:t>• Query Execution SLA: Read/write indexing schemes must resolve operations within ≤ 50 milliseconds.</w:t>
      </w:r>
    </w:p>
    <w:p>
      <w:pPr>
        <w:spacing w:after="120" w:line="276" w:lineRule="auto"/>
      </w:pPr>
      <w:r>
        <w:t>• Transaction Isolation: Transactions must run under read-committed snapshot isolation (RCSI) to prevent read blocks.</w:t>
      </w:r>
    </w:p>
    <w:p>
      <w:pPr>
        <w:spacing w:after="120" w:line="276" w:lineRule="auto"/>
      </w:pPr>
      <w:r>
        <w:t>• Migration Version Control: Changes are applied strictly through automated migrations tracked sequentially in version history tables.</w:t>
      </w:r>
    </w:p>
    <w:p>
      <w:pPr>
        <w:keepNext/>
        <w:spacing w:before="440" w:after="120"/>
      </w:pPr>
      <w:r>
        <w:rPr>
          <w:b/>
          <w:color w:val="22313F"/>
          <w:sz w:val="32"/>
        </w:rPr>
        <w:t>5. Technology Stack &amp; Database Engine Profiles</w:t>
      </w:r>
    </w:p>
    <w:p>
      <w:pPr>
        <w:spacing w:after="120" w:line="276" w:lineRule="auto"/>
      </w:pPr>
      <w:r>
        <w:t>• Database Core Engine: Microsoft SQL Server (Express/Enterprise Production Editions)</w:t>
      </w:r>
    </w:p>
    <w:p>
      <w:pPr>
        <w:spacing w:after="120" w:line="276" w:lineRule="auto"/>
      </w:pPr>
      <w:r>
        <w:t>• Object-Relational Mapper: Entity Framework Core (.NET Long-Term Support Runtime Engine)</w:t>
      </w:r>
    </w:p>
    <w:p>
      <w:pPr>
        <w:spacing w:after="120" w:line="276" w:lineRule="auto"/>
      </w:pPr>
      <w:r>
        <w:t>• Migration Strategy: EF Core Fluent Code-First Migrations (`__EFMigrationHistory`)</w:t>
      </w:r>
    </w:p>
    <w:p>
      <w:pPr>
        <w:keepNext/>
        <w:spacing w:before="440" w:after="120"/>
      </w:pPr>
      <w:r>
        <w:rPr>
          <w:b/>
          <w:color w:val="22313F"/>
          <w:sz w:val="32"/>
        </w:rPr>
        <w:t>6. Component Architecture &amp; Layered Data Pipelines</w:t>
      </w:r>
    </w:p>
    <w:p>
      <w:pPr>
        <w:spacing w:after="120" w:line="276" w:lineRule="auto"/>
      </w:pPr>
      <w:r>
        <w:t>Inbound data objects flow through structural pipeline boundaries before running against data sheets:</w:t>
      </w:r>
    </w:p>
    <w:p>
      <w:pPr>
        <w:spacing w:after="80" w:before="80"/>
        <w:ind w:left="360"/>
      </w:pPr>
      <w:r>
        <w:rPr>
          <w:rFonts w:ascii="Consolas" w:hAnsi="Consolas"/>
          <w:color w:val="22313F"/>
          <w:sz w:val="19"/>
        </w:rPr>
        <w:t xml:space="preserve">  [HTTP Request Payload] ──➔ [FluentValidation Guard] ──➔ [Claims Security Authorization Filters]</w:t>
        <w:br/>
        <w:t xml:space="preserve">                                                                         │</w:t>
        <w:br/>
        <w:t xml:space="preserve">  ┌──────────────────────────────────────────────────────────────────────┘</w:t>
        <w:br/>
        <w:t xml:space="preserve">  ▼</w:t>
        <w:br/>
        <w:t xml:space="preserve">  [API Controller Route Endpoint] ──➔ [Entity Framework DBContext] ──➔ [SQL Server Relational Engine]</w:t>
      </w:r>
    </w:p>
    <w:p>
      <w:pPr>
        <w:keepNext/>
        <w:spacing w:before="440" w:after="120"/>
      </w:pPr>
      <w:r>
        <w:rPr>
          <w:b/>
          <w:color w:val="22313F"/>
          <w:sz w:val="32"/>
        </w:rPr>
        <w:t>7. Relational Database Design &amp; Schema Architecture Blueprint</w:t>
      </w:r>
    </w:p>
    <w:p>
      <w:pPr>
        <w:spacing w:after="120" w:line="276" w:lineRule="auto"/>
      </w:pPr>
      <w:r>
        <w:t>The system layout consists of four production tables cross-referenced to support secure multitenancy and sync auditing:</w:t>
      </w:r>
    </w:p>
    <w:p>
      <w:pPr>
        <w:keepNext/>
        <w:spacing w:before="280" w:after="80"/>
      </w:pPr>
      <w:r>
        <w:rPr>
          <w:b/>
          <w:color w:val="3498DB"/>
          <w:sz w:val="26"/>
        </w:rPr>
        <w:t>7.1 Table: Users</w:t>
      </w:r>
    </w:p>
    <w:p>
      <w:pPr>
        <w:spacing w:after="120" w:line="276" w:lineRule="auto"/>
      </w:pPr>
      <w:r>
        <w:t>Stores user identity properties, salted password strings, security profiles, and initial tracking state references.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2313F"/>
            <w:tcMar>
              <w:top w:w="120" w:type="dxa"/>
              <w:bottom w:w="120" w:type="dxa"/>
              <w:left w:w="140" w:type="dxa"/>
              <w:right w:w="140" w:type="dxa"/>
            </w:tcMar>
          </w:tcPr>
          <w:p>
            <w:pPr>
              <w:jc w:val="left"/>
            </w:pPr>
            <w:r>
              <w:rPr>
                <w:b/>
                <w:color w:val="FFFFFF"/>
                <w:sz w:val="20"/>
              </w:rPr>
              <w:t>Column Name</w:t>
            </w:r>
          </w:p>
        </w:tc>
        <w:tc>
          <w:tcPr>
            <w:tcW w:type="dxa" w:w="1872"/>
            <w:shd w:fill="22313F"/>
            <w:tcMar>
              <w:top w:w="120" w:type="dxa"/>
              <w:bottom w:w="120" w:type="dxa"/>
              <w:left w:w="140" w:type="dxa"/>
              <w:right w:w="140" w:type="dxa"/>
            </w:tcMar>
          </w:tcPr>
          <w:p>
            <w:pPr>
              <w:jc w:val="left"/>
            </w:pPr>
            <w:r>
              <w:rPr>
                <w:b/>
                <w:color w:val="FFFFFF"/>
                <w:sz w:val="20"/>
              </w:rPr>
              <w:t>Data Type</w:t>
            </w:r>
          </w:p>
        </w:tc>
        <w:tc>
          <w:tcPr>
            <w:tcW w:type="dxa" w:w="1872"/>
            <w:shd w:fill="22313F"/>
            <w:tcMar>
              <w:top w:w="120" w:type="dxa"/>
              <w:bottom w:w="120" w:type="dxa"/>
              <w:left w:w="140" w:type="dxa"/>
              <w:right w:w="140" w:type="dxa"/>
            </w:tcMar>
          </w:tcPr>
          <w:p>
            <w:pPr>
              <w:jc w:val="left"/>
            </w:pPr>
            <w:r>
              <w:rPr>
                <w:b/>
                <w:color w:val="FFFFFF"/>
                <w:sz w:val="20"/>
              </w:rPr>
              <w:t>Key/Constraint</w:t>
            </w:r>
          </w:p>
        </w:tc>
        <w:tc>
          <w:tcPr>
            <w:tcW w:type="dxa" w:w="1872"/>
            <w:shd w:fill="22313F"/>
            <w:tcMar>
              <w:top w:w="120" w:type="dxa"/>
              <w:bottom w:w="120" w:type="dxa"/>
              <w:left w:w="140" w:type="dxa"/>
              <w:right w:w="140" w:type="dxa"/>
            </w:tcMar>
          </w:tcPr>
          <w:p>
            <w:pPr>
              <w:jc w:val="left"/>
            </w:pPr>
            <w:r>
              <w:rPr>
                <w:b/>
                <w:color w:val="FFFFFF"/>
                <w:sz w:val="20"/>
              </w:rPr>
              <w:t>Nullability</w:t>
            </w:r>
          </w:p>
        </w:tc>
        <w:tc>
          <w:tcPr>
            <w:tcW w:type="dxa" w:w="1872"/>
            <w:shd w:fill="22313F"/>
            <w:tcMar>
              <w:top w:w="120" w:type="dxa"/>
              <w:bottom w:w="120" w:type="dxa"/>
              <w:left w:w="140" w:type="dxa"/>
              <w:right w:w="140" w:type="dxa"/>
            </w:tcMar>
          </w:tcPr>
          <w:p>
            <w:pPr>
              <w:jc w:val="left"/>
            </w:pPr>
            <w:r>
              <w:rPr>
                <w:b/>
                <w:color w:val="FFFFFF"/>
                <w:sz w:val="20"/>
              </w:rPr>
              <w:t>Description</w:t>
            </w:r>
          </w:p>
        </w:tc>
      </w:tr>
      <w:tr>
        <w:tc>
          <w:tcPr>
            <w:tcW w:type="dxa" w:w="1872"/>
            <w:shd w:fill="FFFFFF"/>
            <w:tcMar>
              <w:top w:w="120" w:type="dxa"/>
              <w:bottom w:w="120" w:type="dxa"/>
              <w:left w:w="140" w:type="dxa"/>
              <w:right w:w="140" w:type="dxa"/>
            </w:tcMar>
          </w:tcPr>
          <w:p>
            <w:r>
              <w:rPr>
                <w:color w:val="2B2B2B"/>
                <w:sz w:val="19"/>
              </w:rPr>
              <w:t>Username</w:t>
            </w:r>
          </w:p>
        </w:tc>
        <w:tc>
          <w:tcPr>
            <w:tcW w:type="dxa" w:w="1872"/>
            <w:shd w:fill="FFFFFF"/>
            <w:tcMar>
              <w:top w:w="120" w:type="dxa"/>
              <w:bottom w:w="120" w:type="dxa"/>
              <w:left w:w="140" w:type="dxa"/>
              <w:right w:w="140" w:type="dxa"/>
            </w:tcMar>
          </w:tcPr>
          <w:p>
            <w:r>
              <w:rPr>
                <w:color w:val="2B2B2B"/>
                <w:sz w:val="19"/>
              </w:rPr>
              <w:t>VARCHAR(150)</w:t>
            </w:r>
          </w:p>
        </w:tc>
        <w:tc>
          <w:tcPr>
            <w:tcW w:type="dxa" w:w="1872"/>
            <w:shd w:fill="FFFFFF"/>
            <w:tcMar>
              <w:top w:w="120" w:type="dxa"/>
              <w:bottom w:w="120" w:type="dxa"/>
              <w:left w:w="140" w:type="dxa"/>
              <w:right w:w="140" w:type="dxa"/>
            </w:tcMar>
          </w:tcPr>
          <w:p>
            <w:r>
              <w:rPr>
                <w:color w:val="2B2B2B"/>
                <w:sz w:val="19"/>
              </w:rPr>
              <w:t>PK</w:t>
            </w:r>
          </w:p>
        </w:tc>
        <w:tc>
          <w:tcPr>
            <w:tcW w:type="dxa" w:w="1872"/>
            <w:shd w:fill="FFFFFF"/>
            <w:tcMar>
              <w:top w:w="120" w:type="dxa"/>
              <w:bottom w:w="120" w:type="dxa"/>
              <w:left w:w="140" w:type="dxa"/>
              <w:right w:w="140" w:type="dxa"/>
            </w:tcMar>
          </w:tcPr>
          <w:p>
            <w:r>
              <w:rPr>
                <w:color w:val="2B2B2B"/>
                <w:sz w:val="19"/>
              </w:rPr>
              <w:t>NOT NULL</w:t>
            </w:r>
          </w:p>
        </w:tc>
        <w:tc>
          <w:tcPr>
            <w:tcW w:type="dxa" w:w="1872"/>
            <w:shd w:fill="FFFFFF"/>
            <w:tcMar>
              <w:top w:w="120" w:type="dxa"/>
              <w:bottom w:w="120" w:type="dxa"/>
              <w:left w:w="140" w:type="dxa"/>
              <w:right w:w="140" w:type="dxa"/>
            </w:tcMar>
          </w:tcPr>
          <w:p>
            <w:r>
              <w:rPr>
                <w:color w:val="2B2B2B"/>
                <w:sz w:val="19"/>
              </w:rPr>
              <w:t>Unique login user account handler name.</w:t>
            </w:r>
          </w:p>
        </w:tc>
      </w:tr>
      <w:tr>
        <w:tc>
          <w:tcPr>
            <w:tcW w:type="dxa" w:w="1872"/>
            <w:shd w:fill="F4F6F8"/>
            <w:tcMar>
              <w:top w:w="120" w:type="dxa"/>
              <w:bottom w:w="120" w:type="dxa"/>
              <w:left w:w="140" w:type="dxa"/>
              <w:right w:w="140" w:type="dxa"/>
            </w:tcMar>
          </w:tcPr>
          <w:p>
            <w:r>
              <w:rPr>
                <w:color w:val="2B2B2B"/>
                <w:sz w:val="19"/>
              </w:rPr>
              <w:t>PasswordHash</w:t>
            </w:r>
          </w:p>
        </w:tc>
        <w:tc>
          <w:tcPr>
            <w:tcW w:type="dxa" w:w="1872"/>
            <w:shd w:fill="F4F6F8"/>
            <w:tcMar>
              <w:top w:w="120" w:type="dxa"/>
              <w:bottom w:w="120" w:type="dxa"/>
              <w:left w:w="140" w:type="dxa"/>
              <w:right w:w="140" w:type="dxa"/>
            </w:tcMar>
          </w:tcPr>
          <w:p>
            <w:r>
              <w:rPr>
                <w:color w:val="2B2B2B"/>
                <w:sz w:val="19"/>
              </w:rPr>
              <w:t>VARCHAR(255)</w:t>
            </w:r>
          </w:p>
        </w:tc>
        <w:tc>
          <w:tcPr>
            <w:tcW w:type="dxa" w:w="1872"/>
            <w:shd w:fill="F4F6F8"/>
            <w:tcMar>
              <w:top w:w="120" w:type="dxa"/>
              <w:bottom w:w="120" w:type="dxa"/>
              <w:left w:w="140" w:type="dxa"/>
              <w:right w:w="140" w:type="dxa"/>
            </w:tcMar>
          </w:tcPr>
          <w:p>
            <w:r>
              <w:rPr>
                <w:color w:val="2B2B2B"/>
                <w:sz w:val="19"/>
              </w:rPr>
              <w:t>None</w:t>
            </w:r>
          </w:p>
        </w:tc>
        <w:tc>
          <w:tcPr>
            <w:tcW w:type="dxa" w:w="1872"/>
            <w:shd w:fill="F4F6F8"/>
            <w:tcMar>
              <w:top w:w="120" w:type="dxa"/>
              <w:bottom w:w="120" w:type="dxa"/>
              <w:left w:w="140" w:type="dxa"/>
              <w:right w:w="140" w:type="dxa"/>
            </w:tcMar>
          </w:tcPr>
          <w:p>
            <w:r>
              <w:rPr>
                <w:color w:val="2B2B2B"/>
                <w:sz w:val="19"/>
              </w:rPr>
              <w:t>NOT NULL</w:t>
            </w:r>
          </w:p>
        </w:tc>
        <w:tc>
          <w:tcPr>
            <w:tcW w:type="dxa" w:w="1872"/>
            <w:shd w:fill="F4F6F8"/>
            <w:tcMar>
              <w:top w:w="120" w:type="dxa"/>
              <w:bottom w:w="120" w:type="dxa"/>
              <w:left w:w="140" w:type="dxa"/>
              <w:right w:w="140" w:type="dxa"/>
            </w:tcMar>
          </w:tcPr>
          <w:p>
            <w:r>
              <w:rPr>
                <w:color w:val="2B2B2B"/>
                <w:sz w:val="19"/>
              </w:rPr>
              <w:t>BCrypt work-factor salted security string.</w:t>
            </w:r>
          </w:p>
        </w:tc>
      </w:tr>
      <w:tr>
        <w:tc>
          <w:tcPr>
            <w:tcW w:type="dxa" w:w="1872"/>
            <w:shd w:fill="FFFFFF"/>
            <w:tcMar>
              <w:top w:w="120" w:type="dxa"/>
              <w:bottom w:w="120" w:type="dxa"/>
              <w:left w:w="140" w:type="dxa"/>
              <w:right w:w="140" w:type="dxa"/>
            </w:tcMar>
          </w:tcPr>
          <w:p>
            <w:r>
              <w:rPr>
                <w:color w:val="2B2B2B"/>
                <w:sz w:val="19"/>
              </w:rPr>
              <w:t>Role</w:t>
            </w:r>
          </w:p>
        </w:tc>
        <w:tc>
          <w:tcPr>
            <w:tcW w:type="dxa" w:w="1872"/>
            <w:shd w:fill="FFFFFF"/>
            <w:tcMar>
              <w:top w:w="120" w:type="dxa"/>
              <w:bottom w:w="120" w:type="dxa"/>
              <w:left w:w="140" w:type="dxa"/>
              <w:right w:w="140" w:type="dxa"/>
            </w:tcMar>
          </w:tcPr>
          <w:p>
            <w:r>
              <w:rPr>
                <w:color w:val="2B2B2B"/>
                <w:sz w:val="19"/>
              </w:rPr>
              <w:t>VARCHAR(100)</w:t>
            </w:r>
          </w:p>
        </w:tc>
        <w:tc>
          <w:tcPr>
            <w:tcW w:type="dxa" w:w="1872"/>
            <w:shd w:fill="FFFFFF"/>
            <w:tcMar>
              <w:top w:w="120" w:type="dxa"/>
              <w:bottom w:w="120" w:type="dxa"/>
              <w:left w:w="140" w:type="dxa"/>
              <w:right w:w="140" w:type="dxa"/>
            </w:tcMar>
          </w:tcPr>
          <w:p>
            <w:r>
              <w:rPr>
                <w:color w:val="2B2B2B"/>
                <w:sz w:val="19"/>
              </w:rPr>
              <w:t>None</w:t>
            </w:r>
          </w:p>
        </w:tc>
        <w:tc>
          <w:tcPr>
            <w:tcW w:type="dxa" w:w="1872"/>
            <w:shd w:fill="FFFFFF"/>
            <w:tcMar>
              <w:top w:w="120" w:type="dxa"/>
              <w:bottom w:w="120" w:type="dxa"/>
              <w:left w:w="140" w:type="dxa"/>
              <w:right w:w="140" w:type="dxa"/>
            </w:tcMar>
          </w:tcPr>
          <w:p>
            <w:r>
              <w:rPr>
                <w:color w:val="2B2B2B"/>
                <w:sz w:val="19"/>
              </w:rPr>
              <w:t>NOT NULL</w:t>
            </w:r>
          </w:p>
        </w:tc>
        <w:tc>
          <w:tcPr>
            <w:tcW w:type="dxa" w:w="1872"/>
            <w:shd w:fill="FFFFFF"/>
            <w:tcMar>
              <w:top w:w="120" w:type="dxa"/>
              <w:bottom w:w="120" w:type="dxa"/>
              <w:left w:w="140" w:type="dxa"/>
              <w:right w:w="140" w:type="dxa"/>
            </w:tcMar>
          </w:tcPr>
          <w:p>
            <w:r>
              <w:rPr>
                <w:color w:val="2B2B2B"/>
                <w:sz w:val="19"/>
              </w:rPr>
              <w:t>System authority profile role (Admin, QA, Customer).</w:t>
            </w:r>
          </w:p>
        </w:tc>
      </w:tr>
      <w:tr>
        <w:tc>
          <w:tcPr>
            <w:tcW w:type="dxa" w:w="1872"/>
            <w:shd w:fill="F4F6F8"/>
            <w:tcMar>
              <w:top w:w="120" w:type="dxa"/>
              <w:bottom w:w="120" w:type="dxa"/>
              <w:left w:w="140" w:type="dxa"/>
              <w:right w:w="140" w:type="dxa"/>
            </w:tcMar>
          </w:tcPr>
          <w:p>
            <w:r>
              <w:rPr>
                <w:color w:val="2B2B2B"/>
                <w:sz w:val="19"/>
              </w:rPr>
              <w:t>CustomerID</w:t>
            </w:r>
          </w:p>
        </w:tc>
        <w:tc>
          <w:tcPr>
            <w:tcW w:type="dxa" w:w="1872"/>
            <w:shd w:fill="F4F6F8"/>
            <w:tcMar>
              <w:top w:w="120" w:type="dxa"/>
              <w:bottom w:w="120" w:type="dxa"/>
              <w:left w:w="140" w:type="dxa"/>
              <w:right w:w="140" w:type="dxa"/>
            </w:tcMar>
          </w:tcPr>
          <w:p>
            <w:r>
              <w:rPr>
                <w:color w:val="2B2B2B"/>
                <w:sz w:val="19"/>
              </w:rPr>
              <w:t>VARCHAR(50)</w:t>
            </w:r>
          </w:p>
        </w:tc>
        <w:tc>
          <w:tcPr>
            <w:tcW w:type="dxa" w:w="1872"/>
            <w:shd w:fill="F4F6F8"/>
            <w:tcMar>
              <w:top w:w="120" w:type="dxa"/>
              <w:bottom w:w="120" w:type="dxa"/>
              <w:left w:w="140" w:type="dxa"/>
              <w:right w:w="140" w:type="dxa"/>
            </w:tcMar>
          </w:tcPr>
          <w:p>
            <w:r>
              <w:rPr>
                <w:color w:val="2B2B2B"/>
                <w:sz w:val="19"/>
              </w:rPr>
              <w:t>FK -&gt; Customers</w:t>
            </w:r>
          </w:p>
        </w:tc>
        <w:tc>
          <w:tcPr>
            <w:tcW w:type="dxa" w:w="1872"/>
            <w:shd w:fill="F4F6F8"/>
            <w:tcMar>
              <w:top w:w="120" w:type="dxa"/>
              <w:bottom w:w="120" w:type="dxa"/>
              <w:left w:w="140" w:type="dxa"/>
              <w:right w:w="140" w:type="dxa"/>
            </w:tcMar>
          </w:tcPr>
          <w:p>
            <w:r>
              <w:rPr>
                <w:color w:val="2B2B2B"/>
                <w:sz w:val="19"/>
              </w:rPr>
              <w:t>NOT NULL</w:t>
            </w:r>
          </w:p>
        </w:tc>
        <w:tc>
          <w:tcPr>
            <w:tcW w:type="dxa" w:w="1872"/>
            <w:shd w:fill="F4F6F8"/>
            <w:tcMar>
              <w:top w:w="120" w:type="dxa"/>
              <w:bottom w:w="120" w:type="dxa"/>
              <w:left w:w="140" w:type="dxa"/>
              <w:right w:w="140" w:type="dxa"/>
            </w:tcMar>
          </w:tcPr>
          <w:p>
            <w:r>
              <w:rPr>
                <w:color w:val="2B2B2B"/>
                <w:sz w:val="19"/>
              </w:rPr>
              <w:t>Links security user to baseline corporate account entity.</w:t>
            </w:r>
          </w:p>
        </w:tc>
      </w:tr>
      <w:tr>
        <w:tc>
          <w:tcPr>
            <w:tcW w:type="dxa" w:w="1872"/>
            <w:shd w:fill="FFFFFF"/>
            <w:tcMar>
              <w:top w:w="120" w:type="dxa"/>
              <w:bottom w:w="120" w:type="dxa"/>
              <w:left w:w="140" w:type="dxa"/>
              <w:right w:w="140" w:type="dxa"/>
            </w:tcMar>
          </w:tcPr>
          <w:p>
            <w:r>
              <w:rPr>
                <w:color w:val="2B2B2B"/>
                <w:sz w:val="19"/>
              </w:rPr>
              <w:t>TenantId</w:t>
            </w:r>
          </w:p>
        </w:tc>
        <w:tc>
          <w:tcPr>
            <w:tcW w:type="dxa" w:w="1872"/>
            <w:shd w:fill="FFFFFF"/>
            <w:tcMar>
              <w:top w:w="120" w:type="dxa"/>
              <w:bottom w:w="120" w:type="dxa"/>
              <w:left w:w="140" w:type="dxa"/>
              <w:right w:w="140" w:type="dxa"/>
            </w:tcMar>
          </w:tcPr>
          <w:p>
            <w:r>
              <w:rPr>
                <w:color w:val="2B2B2B"/>
                <w:sz w:val="19"/>
              </w:rPr>
              <w:t>INT</w:t>
            </w:r>
          </w:p>
        </w:tc>
        <w:tc>
          <w:tcPr>
            <w:tcW w:type="dxa" w:w="1872"/>
            <w:shd w:fill="FFFFFF"/>
            <w:tcMar>
              <w:top w:w="120" w:type="dxa"/>
              <w:bottom w:w="120" w:type="dxa"/>
              <w:left w:w="140" w:type="dxa"/>
              <w:right w:w="140" w:type="dxa"/>
            </w:tcMar>
          </w:tcPr>
          <w:p>
            <w:r>
              <w:rPr>
                <w:color w:val="2B2B2B"/>
                <w:sz w:val="19"/>
              </w:rPr>
              <w:t>None</w:t>
            </w:r>
          </w:p>
        </w:tc>
        <w:tc>
          <w:tcPr>
            <w:tcW w:type="dxa" w:w="1872"/>
            <w:shd w:fill="FFFFFF"/>
            <w:tcMar>
              <w:top w:w="120" w:type="dxa"/>
              <w:bottom w:w="120" w:type="dxa"/>
              <w:left w:w="140" w:type="dxa"/>
              <w:right w:w="140" w:type="dxa"/>
            </w:tcMar>
          </w:tcPr>
          <w:p>
            <w:r>
              <w:rPr>
                <w:color w:val="2B2B2B"/>
                <w:sz w:val="19"/>
              </w:rPr>
              <w:t>NOT NULL</w:t>
            </w:r>
          </w:p>
        </w:tc>
        <w:tc>
          <w:tcPr>
            <w:tcW w:type="dxa" w:w="1872"/>
            <w:shd w:fill="FFFFFF"/>
            <w:tcMar>
              <w:top w:w="120" w:type="dxa"/>
              <w:bottom w:w="120" w:type="dxa"/>
              <w:left w:w="140" w:type="dxa"/>
              <w:right w:w="140" w:type="dxa"/>
            </w:tcMar>
          </w:tcPr>
          <w:p>
            <w:r>
              <w:rPr>
                <w:color w:val="2B2B2B"/>
                <w:sz w:val="19"/>
              </w:rPr>
              <w:t>Logical data boundary identifier rule.</w:t>
            </w:r>
          </w:p>
        </w:tc>
      </w:tr>
    </w:tbl>
    <w:p>
      <w:pPr>
        <w:keepNext/>
        <w:spacing w:before="280" w:after="80"/>
      </w:pPr>
      <w:r>
        <w:rPr>
          <w:b/>
          <w:color w:val="3498DB"/>
          <w:sz w:val="26"/>
        </w:rPr>
        <w:t>7.2 Table: Customers</w:t>
      </w:r>
    </w:p>
    <w:p>
      <w:pPr>
        <w:spacing w:after="120" w:line="276" w:lineRule="auto"/>
      </w:pPr>
      <w:r>
        <w:t>Maintains structural customer profile variables, phone formats, email scopes, and soft-deletion indicator variables.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2313F"/>
            <w:tcMar>
              <w:top w:w="120" w:type="dxa"/>
              <w:bottom w:w="120" w:type="dxa"/>
              <w:left w:w="140" w:type="dxa"/>
              <w:right w:w="140" w:type="dxa"/>
            </w:tcMar>
          </w:tcPr>
          <w:p>
            <w:pPr>
              <w:jc w:val="left"/>
            </w:pPr>
            <w:r>
              <w:rPr>
                <w:b/>
                <w:color w:val="FFFFFF"/>
                <w:sz w:val="20"/>
              </w:rPr>
              <w:t>Column Name</w:t>
            </w:r>
          </w:p>
        </w:tc>
        <w:tc>
          <w:tcPr>
            <w:tcW w:type="dxa" w:w="1872"/>
            <w:shd w:fill="22313F"/>
            <w:tcMar>
              <w:top w:w="120" w:type="dxa"/>
              <w:bottom w:w="120" w:type="dxa"/>
              <w:left w:w="140" w:type="dxa"/>
              <w:right w:w="140" w:type="dxa"/>
            </w:tcMar>
          </w:tcPr>
          <w:p>
            <w:pPr>
              <w:jc w:val="left"/>
            </w:pPr>
            <w:r>
              <w:rPr>
                <w:b/>
                <w:color w:val="FFFFFF"/>
                <w:sz w:val="20"/>
              </w:rPr>
              <w:t>Data Type</w:t>
            </w:r>
          </w:p>
        </w:tc>
        <w:tc>
          <w:tcPr>
            <w:tcW w:type="dxa" w:w="1872"/>
            <w:shd w:fill="22313F"/>
            <w:tcMar>
              <w:top w:w="120" w:type="dxa"/>
              <w:bottom w:w="120" w:type="dxa"/>
              <w:left w:w="140" w:type="dxa"/>
              <w:right w:w="140" w:type="dxa"/>
            </w:tcMar>
          </w:tcPr>
          <w:p>
            <w:pPr>
              <w:jc w:val="left"/>
            </w:pPr>
            <w:r>
              <w:rPr>
                <w:b/>
                <w:color w:val="FFFFFF"/>
                <w:sz w:val="20"/>
              </w:rPr>
              <w:t>Key/Constraint</w:t>
            </w:r>
          </w:p>
        </w:tc>
        <w:tc>
          <w:tcPr>
            <w:tcW w:type="dxa" w:w="1872"/>
            <w:shd w:fill="22313F"/>
            <w:tcMar>
              <w:top w:w="120" w:type="dxa"/>
              <w:bottom w:w="120" w:type="dxa"/>
              <w:left w:w="140" w:type="dxa"/>
              <w:right w:w="140" w:type="dxa"/>
            </w:tcMar>
          </w:tcPr>
          <w:p>
            <w:pPr>
              <w:jc w:val="left"/>
            </w:pPr>
            <w:r>
              <w:rPr>
                <w:b/>
                <w:color w:val="FFFFFF"/>
                <w:sz w:val="20"/>
              </w:rPr>
              <w:t>Nullability</w:t>
            </w:r>
          </w:p>
        </w:tc>
        <w:tc>
          <w:tcPr>
            <w:tcW w:type="dxa" w:w="1872"/>
            <w:shd w:fill="22313F"/>
            <w:tcMar>
              <w:top w:w="120" w:type="dxa"/>
              <w:bottom w:w="120" w:type="dxa"/>
              <w:left w:w="140" w:type="dxa"/>
              <w:right w:w="140" w:type="dxa"/>
            </w:tcMar>
          </w:tcPr>
          <w:p>
            <w:pPr>
              <w:jc w:val="left"/>
            </w:pPr>
            <w:r>
              <w:rPr>
                <w:b/>
                <w:color w:val="FFFFFF"/>
                <w:sz w:val="20"/>
              </w:rPr>
              <w:t>Description</w:t>
            </w:r>
          </w:p>
        </w:tc>
      </w:tr>
      <w:tr>
        <w:tc>
          <w:tcPr>
            <w:tcW w:type="dxa" w:w="1872"/>
            <w:shd w:fill="FFFFFF"/>
            <w:tcMar>
              <w:top w:w="120" w:type="dxa"/>
              <w:bottom w:w="120" w:type="dxa"/>
              <w:left w:w="140" w:type="dxa"/>
              <w:right w:w="140" w:type="dxa"/>
            </w:tcMar>
          </w:tcPr>
          <w:p>
            <w:r>
              <w:rPr>
                <w:color w:val="2B2B2B"/>
                <w:sz w:val="19"/>
              </w:rPr>
              <w:t>CustomerID</w:t>
            </w:r>
          </w:p>
        </w:tc>
        <w:tc>
          <w:tcPr>
            <w:tcW w:type="dxa" w:w="1872"/>
            <w:shd w:fill="FFFFFF"/>
            <w:tcMar>
              <w:top w:w="120" w:type="dxa"/>
              <w:bottom w:w="120" w:type="dxa"/>
              <w:left w:w="140" w:type="dxa"/>
              <w:right w:w="140" w:type="dxa"/>
            </w:tcMar>
          </w:tcPr>
          <w:p>
            <w:r>
              <w:rPr>
                <w:color w:val="2B2B2B"/>
                <w:sz w:val="19"/>
              </w:rPr>
              <w:t>VARCHAR(50)</w:t>
            </w:r>
          </w:p>
        </w:tc>
        <w:tc>
          <w:tcPr>
            <w:tcW w:type="dxa" w:w="1872"/>
            <w:shd w:fill="FFFFFF"/>
            <w:tcMar>
              <w:top w:w="120" w:type="dxa"/>
              <w:bottom w:w="120" w:type="dxa"/>
              <w:left w:w="140" w:type="dxa"/>
              <w:right w:w="140" w:type="dxa"/>
            </w:tcMar>
          </w:tcPr>
          <w:p>
            <w:r>
              <w:rPr>
                <w:color w:val="2B2B2B"/>
                <w:sz w:val="19"/>
              </w:rPr>
              <w:t>PK</w:t>
            </w:r>
          </w:p>
        </w:tc>
        <w:tc>
          <w:tcPr>
            <w:tcW w:type="dxa" w:w="1872"/>
            <w:shd w:fill="FFFFFF"/>
            <w:tcMar>
              <w:top w:w="120" w:type="dxa"/>
              <w:bottom w:w="120" w:type="dxa"/>
              <w:left w:w="140" w:type="dxa"/>
              <w:right w:w="140" w:type="dxa"/>
            </w:tcMar>
          </w:tcPr>
          <w:p>
            <w:r>
              <w:rPr>
                <w:color w:val="2B2B2B"/>
                <w:sz w:val="19"/>
              </w:rPr>
              <w:t>NOT NULL</w:t>
            </w:r>
          </w:p>
        </w:tc>
        <w:tc>
          <w:tcPr>
            <w:tcW w:type="dxa" w:w="1872"/>
            <w:shd w:fill="FFFFFF"/>
            <w:tcMar>
              <w:top w:w="120" w:type="dxa"/>
              <w:bottom w:w="120" w:type="dxa"/>
              <w:left w:w="140" w:type="dxa"/>
              <w:right w:w="140" w:type="dxa"/>
            </w:tcMar>
          </w:tcPr>
          <w:p>
            <w:r>
              <w:rPr>
                <w:color w:val="2B2B2B"/>
                <w:sz w:val="19"/>
              </w:rPr>
              <w:t>Natural system key identifying customer records (e.g. CRM001).</w:t>
            </w:r>
          </w:p>
        </w:tc>
      </w:tr>
      <w:tr>
        <w:tc>
          <w:tcPr>
            <w:tcW w:type="dxa" w:w="1872"/>
            <w:shd w:fill="F4F6F8"/>
            <w:tcMar>
              <w:top w:w="120" w:type="dxa"/>
              <w:bottom w:w="120" w:type="dxa"/>
              <w:left w:w="140" w:type="dxa"/>
              <w:right w:w="140" w:type="dxa"/>
            </w:tcMar>
          </w:tcPr>
          <w:p>
            <w:r>
              <w:rPr>
                <w:color w:val="2B2B2B"/>
                <w:sz w:val="19"/>
              </w:rPr>
              <w:t>FirstName</w:t>
            </w:r>
          </w:p>
        </w:tc>
        <w:tc>
          <w:tcPr>
            <w:tcW w:type="dxa" w:w="1872"/>
            <w:shd w:fill="F4F6F8"/>
            <w:tcMar>
              <w:top w:w="120" w:type="dxa"/>
              <w:bottom w:w="120" w:type="dxa"/>
              <w:left w:w="140" w:type="dxa"/>
              <w:right w:w="140" w:type="dxa"/>
            </w:tcMar>
          </w:tcPr>
          <w:p>
            <w:r>
              <w:rPr>
                <w:color w:val="2B2B2B"/>
                <w:sz w:val="19"/>
              </w:rPr>
              <w:t>VARCHAR(150)</w:t>
            </w:r>
          </w:p>
        </w:tc>
        <w:tc>
          <w:tcPr>
            <w:tcW w:type="dxa" w:w="1872"/>
            <w:shd w:fill="F4F6F8"/>
            <w:tcMar>
              <w:top w:w="120" w:type="dxa"/>
              <w:bottom w:w="120" w:type="dxa"/>
              <w:left w:w="140" w:type="dxa"/>
              <w:right w:w="140" w:type="dxa"/>
            </w:tcMar>
          </w:tcPr>
          <w:p>
            <w:r>
              <w:rPr>
                <w:color w:val="2B2B2B"/>
                <w:sz w:val="19"/>
              </w:rPr>
              <w:t>None</w:t>
            </w:r>
          </w:p>
        </w:tc>
        <w:tc>
          <w:tcPr>
            <w:tcW w:type="dxa" w:w="1872"/>
            <w:shd w:fill="F4F6F8"/>
            <w:tcMar>
              <w:top w:w="120" w:type="dxa"/>
              <w:bottom w:w="120" w:type="dxa"/>
              <w:left w:w="140" w:type="dxa"/>
              <w:right w:w="140" w:type="dxa"/>
            </w:tcMar>
          </w:tcPr>
          <w:p>
            <w:r>
              <w:rPr>
                <w:color w:val="2B2B2B"/>
                <w:sz w:val="19"/>
              </w:rPr>
              <w:t>NOT NULL</w:t>
            </w:r>
          </w:p>
        </w:tc>
        <w:tc>
          <w:tcPr>
            <w:tcW w:type="dxa" w:w="1872"/>
            <w:shd w:fill="F4F6F8"/>
            <w:tcMar>
              <w:top w:w="120" w:type="dxa"/>
              <w:bottom w:w="120" w:type="dxa"/>
              <w:left w:w="140" w:type="dxa"/>
              <w:right w:w="140" w:type="dxa"/>
            </w:tcMar>
          </w:tcPr>
          <w:p>
            <w:r>
              <w:rPr>
                <w:color w:val="2B2B2B"/>
                <w:sz w:val="19"/>
              </w:rPr>
              <w:t>First name variable parameter.</w:t>
            </w:r>
          </w:p>
        </w:tc>
      </w:tr>
      <w:tr>
        <w:tc>
          <w:tcPr>
            <w:tcW w:type="dxa" w:w="1872"/>
            <w:shd w:fill="FFFFFF"/>
            <w:tcMar>
              <w:top w:w="120" w:type="dxa"/>
              <w:bottom w:w="120" w:type="dxa"/>
              <w:left w:w="140" w:type="dxa"/>
              <w:right w:w="140" w:type="dxa"/>
            </w:tcMar>
          </w:tcPr>
          <w:p>
            <w:r>
              <w:rPr>
                <w:color w:val="2B2B2B"/>
                <w:sz w:val="19"/>
              </w:rPr>
              <w:t>LastName</w:t>
            </w:r>
          </w:p>
        </w:tc>
        <w:tc>
          <w:tcPr>
            <w:tcW w:type="dxa" w:w="1872"/>
            <w:shd w:fill="FFFFFF"/>
            <w:tcMar>
              <w:top w:w="120" w:type="dxa"/>
              <w:bottom w:w="120" w:type="dxa"/>
              <w:left w:w="140" w:type="dxa"/>
              <w:right w:w="140" w:type="dxa"/>
            </w:tcMar>
          </w:tcPr>
          <w:p>
            <w:r>
              <w:rPr>
                <w:color w:val="2B2B2B"/>
                <w:sz w:val="19"/>
              </w:rPr>
              <w:t>VARCHAR(150)</w:t>
            </w:r>
          </w:p>
        </w:tc>
        <w:tc>
          <w:tcPr>
            <w:tcW w:type="dxa" w:w="1872"/>
            <w:shd w:fill="FFFFFF"/>
            <w:tcMar>
              <w:top w:w="120" w:type="dxa"/>
              <w:bottom w:w="120" w:type="dxa"/>
              <w:left w:w="140" w:type="dxa"/>
              <w:right w:w="140" w:type="dxa"/>
            </w:tcMar>
          </w:tcPr>
          <w:p>
            <w:r>
              <w:rPr>
                <w:color w:val="2B2B2B"/>
                <w:sz w:val="19"/>
              </w:rPr>
              <w:t>None</w:t>
            </w:r>
          </w:p>
        </w:tc>
        <w:tc>
          <w:tcPr>
            <w:tcW w:type="dxa" w:w="1872"/>
            <w:shd w:fill="FFFFFF"/>
            <w:tcMar>
              <w:top w:w="120" w:type="dxa"/>
              <w:bottom w:w="120" w:type="dxa"/>
              <w:left w:w="140" w:type="dxa"/>
              <w:right w:w="140" w:type="dxa"/>
            </w:tcMar>
          </w:tcPr>
          <w:p>
            <w:r>
              <w:rPr>
                <w:color w:val="2B2B2B"/>
                <w:sz w:val="19"/>
              </w:rPr>
              <w:t>NOT NULL</w:t>
            </w:r>
          </w:p>
        </w:tc>
        <w:tc>
          <w:tcPr>
            <w:tcW w:type="dxa" w:w="1872"/>
            <w:shd w:fill="FFFFFF"/>
            <w:tcMar>
              <w:top w:w="120" w:type="dxa"/>
              <w:bottom w:w="120" w:type="dxa"/>
              <w:left w:w="140" w:type="dxa"/>
              <w:right w:w="140" w:type="dxa"/>
            </w:tcMar>
          </w:tcPr>
          <w:p>
            <w:r>
              <w:rPr>
                <w:color w:val="2B2B2B"/>
                <w:sz w:val="19"/>
              </w:rPr>
              <w:t>Last name variable parameter.</w:t>
            </w:r>
          </w:p>
        </w:tc>
      </w:tr>
      <w:tr>
        <w:tc>
          <w:tcPr>
            <w:tcW w:type="dxa" w:w="1872"/>
            <w:shd w:fill="F4F6F8"/>
            <w:tcMar>
              <w:top w:w="120" w:type="dxa"/>
              <w:bottom w:w="120" w:type="dxa"/>
              <w:left w:w="140" w:type="dxa"/>
              <w:right w:w="140" w:type="dxa"/>
            </w:tcMar>
          </w:tcPr>
          <w:p>
            <w:r>
              <w:rPr>
                <w:color w:val="2B2B2B"/>
                <w:sz w:val="19"/>
              </w:rPr>
              <w:t>Email</w:t>
            </w:r>
          </w:p>
        </w:tc>
        <w:tc>
          <w:tcPr>
            <w:tcW w:type="dxa" w:w="1872"/>
            <w:shd w:fill="F4F6F8"/>
            <w:tcMar>
              <w:top w:w="120" w:type="dxa"/>
              <w:bottom w:w="120" w:type="dxa"/>
              <w:left w:w="140" w:type="dxa"/>
              <w:right w:w="140" w:type="dxa"/>
            </w:tcMar>
          </w:tcPr>
          <w:p>
            <w:r>
              <w:rPr>
                <w:color w:val="2B2B2B"/>
                <w:sz w:val="19"/>
              </w:rPr>
              <w:t>VARCHAR(255)</w:t>
            </w:r>
          </w:p>
        </w:tc>
        <w:tc>
          <w:tcPr>
            <w:tcW w:type="dxa" w:w="1872"/>
            <w:shd w:fill="F4F6F8"/>
            <w:tcMar>
              <w:top w:w="120" w:type="dxa"/>
              <w:bottom w:w="120" w:type="dxa"/>
              <w:left w:w="140" w:type="dxa"/>
              <w:right w:w="140" w:type="dxa"/>
            </w:tcMar>
          </w:tcPr>
          <w:p>
            <w:r>
              <w:rPr>
                <w:color w:val="2B2B2B"/>
                <w:sz w:val="19"/>
              </w:rPr>
              <w:t>Unique Index</w:t>
            </w:r>
          </w:p>
        </w:tc>
        <w:tc>
          <w:tcPr>
            <w:tcW w:type="dxa" w:w="1872"/>
            <w:shd w:fill="F4F6F8"/>
            <w:tcMar>
              <w:top w:w="120" w:type="dxa"/>
              <w:bottom w:w="120" w:type="dxa"/>
              <w:left w:w="140" w:type="dxa"/>
              <w:right w:w="140" w:type="dxa"/>
            </w:tcMar>
          </w:tcPr>
          <w:p>
            <w:r>
              <w:rPr>
                <w:color w:val="2B2B2B"/>
                <w:sz w:val="19"/>
              </w:rPr>
              <w:t>NOT NULL</w:t>
            </w:r>
          </w:p>
        </w:tc>
        <w:tc>
          <w:tcPr>
            <w:tcW w:type="dxa" w:w="1872"/>
            <w:shd w:fill="F4F6F8"/>
            <w:tcMar>
              <w:top w:w="120" w:type="dxa"/>
              <w:bottom w:w="120" w:type="dxa"/>
              <w:left w:w="140" w:type="dxa"/>
              <w:right w:w="140" w:type="dxa"/>
            </w:tcMar>
          </w:tcPr>
          <w:p>
            <w:r>
              <w:rPr>
                <w:color w:val="2B2B2B"/>
                <w:sz w:val="19"/>
              </w:rPr>
              <w:t>Verified structural communications identifier.</w:t>
            </w:r>
          </w:p>
        </w:tc>
      </w:tr>
      <w:tr>
        <w:tc>
          <w:tcPr>
            <w:tcW w:type="dxa" w:w="1872"/>
            <w:shd w:fill="FFFFFF"/>
            <w:tcMar>
              <w:top w:w="120" w:type="dxa"/>
              <w:bottom w:w="120" w:type="dxa"/>
              <w:left w:w="140" w:type="dxa"/>
              <w:right w:w="140" w:type="dxa"/>
            </w:tcMar>
          </w:tcPr>
          <w:p>
            <w:r>
              <w:rPr>
                <w:color w:val="2B2B2B"/>
                <w:sz w:val="19"/>
              </w:rPr>
              <w:t>IsDeleted</w:t>
            </w:r>
          </w:p>
        </w:tc>
        <w:tc>
          <w:tcPr>
            <w:tcW w:type="dxa" w:w="1872"/>
            <w:shd w:fill="FFFFFF"/>
            <w:tcMar>
              <w:top w:w="120" w:type="dxa"/>
              <w:bottom w:w="120" w:type="dxa"/>
              <w:left w:w="140" w:type="dxa"/>
              <w:right w:w="140" w:type="dxa"/>
            </w:tcMar>
          </w:tcPr>
          <w:p>
            <w:r>
              <w:rPr>
                <w:color w:val="2B2B2B"/>
                <w:sz w:val="19"/>
              </w:rPr>
              <w:t>BIT</w:t>
            </w:r>
          </w:p>
        </w:tc>
        <w:tc>
          <w:tcPr>
            <w:tcW w:type="dxa" w:w="1872"/>
            <w:shd w:fill="FFFFFF"/>
            <w:tcMar>
              <w:top w:w="120" w:type="dxa"/>
              <w:bottom w:w="120" w:type="dxa"/>
              <w:left w:w="140" w:type="dxa"/>
              <w:right w:w="140" w:type="dxa"/>
            </w:tcMar>
          </w:tcPr>
          <w:p>
            <w:r>
              <w:rPr>
                <w:color w:val="2B2B2B"/>
                <w:sz w:val="19"/>
              </w:rPr>
              <w:t>Default 0</w:t>
            </w:r>
          </w:p>
        </w:tc>
        <w:tc>
          <w:tcPr>
            <w:tcW w:type="dxa" w:w="1872"/>
            <w:shd w:fill="FFFFFF"/>
            <w:tcMar>
              <w:top w:w="120" w:type="dxa"/>
              <w:bottom w:w="120" w:type="dxa"/>
              <w:left w:w="140" w:type="dxa"/>
              <w:right w:w="140" w:type="dxa"/>
            </w:tcMar>
          </w:tcPr>
          <w:p>
            <w:r>
              <w:rPr>
                <w:color w:val="2B2B2B"/>
                <w:sz w:val="19"/>
              </w:rPr>
              <w:t>NOT NULL</w:t>
            </w:r>
          </w:p>
        </w:tc>
        <w:tc>
          <w:tcPr>
            <w:tcW w:type="dxa" w:w="1872"/>
            <w:shd w:fill="FFFFFF"/>
            <w:tcMar>
              <w:top w:w="120" w:type="dxa"/>
              <w:bottom w:w="120" w:type="dxa"/>
              <w:left w:w="140" w:type="dxa"/>
              <w:right w:w="140" w:type="dxa"/>
            </w:tcMar>
          </w:tcPr>
          <w:p>
            <w:r>
              <w:rPr>
                <w:color w:val="2B2B2B"/>
                <w:sz w:val="19"/>
              </w:rPr>
              <w:t>Soft-delete logical indicator tracking historical lifecycle.</w:t>
            </w:r>
          </w:p>
        </w:tc>
      </w:tr>
      <w:tr>
        <w:tc>
          <w:tcPr>
            <w:tcW w:type="dxa" w:w="1872"/>
            <w:shd w:fill="F4F6F8"/>
            <w:tcMar>
              <w:top w:w="120" w:type="dxa"/>
              <w:bottom w:w="120" w:type="dxa"/>
              <w:left w:w="140" w:type="dxa"/>
              <w:right w:w="140" w:type="dxa"/>
            </w:tcMar>
          </w:tcPr>
          <w:p>
            <w:r>
              <w:rPr>
                <w:color w:val="2B2B2B"/>
                <w:sz w:val="19"/>
              </w:rPr>
              <w:t>Phone</w:t>
            </w:r>
          </w:p>
        </w:tc>
        <w:tc>
          <w:tcPr>
            <w:tcW w:type="dxa" w:w="1872"/>
            <w:shd w:fill="F4F6F8"/>
            <w:tcMar>
              <w:top w:w="120" w:type="dxa"/>
              <w:bottom w:w="120" w:type="dxa"/>
              <w:left w:w="140" w:type="dxa"/>
              <w:right w:w="140" w:type="dxa"/>
            </w:tcMar>
          </w:tcPr>
          <w:p>
            <w:r>
              <w:rPr>
                <w:color w:val="2B2B2B"/>
                <w:sz w:val="19"/>
              </w:rPr>
              <w:t>VARCHAR(50)</w:t>
            </w:r>
          </w:p>
        </w:tc>
        <w:tc>
          <w:tcPr>
            <w:tcW w:type="dxa" w:w="1872"/>
            <w:shd w:fill="F4F6F8"/>
            <w:tcMar>
              <w:top w:w="120" w:type="dxa"/>
              <w:bottom w:w="120" w:type="dxa"/>
              <w:left w:w="140" w:type="dxa"/>
              <w:right w:w="140" w:type="dxa"/>
            </w:tcMar>
          </w:tcPr>
          <w:p>
            <w:r>
              <w:rPr>
                <w:color w:val="2B2B2B"/>
                <w:sz w:val="19"/>
              </w:rPr>
              <w:t>None</w:t>
            </w:r>
          </w:p>
        </w:tc>
        <w:tc>
          <w:tcPr>
            <w:tcW w:type="dxa" w:w="1872"/>
            <w:shd w:fill="F4F6F8"/>
            <w:tcMar>
              <w:top w:w="120" w:type="dxa"/>
              <w:bottom w:w="120" w:type="dxa"/>
              <w:left w:w="140" w:type="dxa"/>
              <w:right w:w="140" w:type="dxa"/>
            </w:tcMar>
          </w:tcPr>
          <w:p>
            <w:r>
              <w:rPr>
                <w:color w:val="2B2B2B"/>
                <w:sz w:val="19"/>
              </w:rPr>
              <w:t>NOT NULL</w:t>
            </w:r>
          </w:p>
        </w:tc>
        <w:tc>
          <w:tcPr>
            <w:tcW w:type="dxa" w:w="1872"/>
            <w:shd w:fill="F4F6F8"/>
            <w:tcMar>
              <w:top w:w="120" w:type="dxa"/>
              <w:bottom w:w="120" w:type="dxa"/>
              <w:left w:w="140" w:type="dxa"/>
              <w:right w:w="140" w:type="dxa"/>
            </w:tcMar>
          </w:tcPr>
          <w:p>
            <w:r>
              <w:rPr>
                <w:color w:val="2B2B2B"/>
                <w:sz w:val="19"/>
              </w:rPr>
              <w:t>Communications interface telephone footprint parameters.</w:t>
            </w:r>
          </w:p>
        </w:tc>
      </w:tr>
    </w:tbl>
    <w:p>
      <w:pPr>
        <w:keepNext/>
        <w:spacing w:before="280" w:after="80"/>
      </w:pPr>
      <w:r>
        <w:rPr>
          <w:b/>
          <w:color w:val="3498DB"/>
          <w:sz w:val="26"/>
        </w:rPr>
        <w:t>7.3 Table: CustomerAccess</w:t>
      </w:r>
    </w:p>
    <w:p>
      <w:pPr>
        <w:spacing w:after="120" w:line="276" w:lineRule="auto"/>
      </w:pPr>
      <w:r>
        <w:t>Serves as the central security mapping bridge that determines user permission visibilities across customer profiles.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2313F"/>
            <w:tcMar>
              <w:top w:w="120" w:type="dxa"/>
              <w:bottom w:w="120" w:type="dxa"/>
              <w:left w:w="140" w:type="dxa"/>
              <w:right w:w="140" w:type="dxa"/>
            </w:tcMar>
          </w:tcPr>
          <w:p>
            <w:pPr>
              <w:jc w:val="left"/>
            </w:pPr>
            <w:r>
              <w:rPr>
                <w:b/>
                <w:color w:val="FFFFFF"/>
                <w:sz w:val="20"/>
              </w:rPr>
              <w:t>Column Name</w:t>
            </w:r>
          </w:p>
        </w:tc>
        <w:tc>
          <w:tcPr>
            <w:tcW w:type="dxa" w:w="1872"/>
            <w:shd w:fill="22313F"/>
            <w:tcMar>
              <w:top w:w="120" w:type="dxa"/>
              <w:bottom w:w="120" w:type="dxa"/>
              <w:left w:w="140" w:type="dxa"/>
              <w:right w:w="140" w:type="dxa"/>
            </w:tcMar>
          </w:tcPr>
          <w:p>
            <w:pPr>
              <w:jc w:val="left"/>
            </w:pPr>
            <w:r>
              <w:rPr>
                <w:b/>
                <w:color w:val="FFFFFF"/>
                <w:sz w:val="20"/>
              </w:rPr>
              <w:t>Data Type</w:t>
            </w:r>
          </w:p>
        </w:tc>
        <w:tc>
          <w:tcPr>
            <w:tcW w:type="dxa" w:w="1872"/>
            <w:shd w:fill="22313F"/>
            <w:tcMar>
              <w:top w:w="120" w:type="dxa"/>
              <w:bottom w:w="120" w:type="dxa"/>
              <w:left w:w="140" w:type="dxa"/>
              <w:right w:w="140" w:type="dxa"/>
            </w:tcMar>
          </w:tcPr>
          <w:p>
            <w:pPr>
              <w:jc w:val="left"/>
            </w:pPr>
            <w:r>
              <w:rPr>
                <w:b/>
                <w:color w:val="FFFFFF"/>
                <w:sz w:val="20"/>
              </w:rPr>
              <w:t>Key/Constraint</w:t>
            </w:r>
          </w:p>
        </w:tc>
        <w:tc>
          <w:tcPr>
            <w:tcW w:type="dxa" w:w="1872"/>
            <w:shd w:fill="22313F"/>
            <w:tcMar>
              <w:top w:w="120" w:type="dxa"/>
              <w:bottom w:w="120" w:type="dxa"/>
              <w:left w:w="140" w:type="dxa"/>
              <w:right w:w="140" w:type="dxa"/>
            </w:tcMar>
          </w:tcPr>
          <w:p>
            <w:pPr>
              <w:jc w:val="left"/>
            </w:pPr>
            <w:r>
              <w:rPr>
                <w:b/>
                <w:color w:val="FFFFFF"/>
                <w:sz w:val="20"/>
              </w:rPr>
              <w:t>Nullability</w:t>
            </w:r>
          </w:p>
        </w:tc>
        <w:tc>
          <w:tcPr>
            <w:tcW w:type="dxa" w:w="1872"/>
            <w:shd w:fill="22313F"/>
            <w:tcMar>
              <w:top w:w="120" w:type="dxa"/>
              <w:bottom w:w="120" w:type="dxa"/>
              <w:left w:w="140" w:type="dxa"/>
              <w:right w:w="140" w:type="dxa"/>
            </w:tcMar>
          </w:tcPr>
          <w:p>
            <w:pPr>
              <w:jc w:val="left"/>
            </w:pPr>
            <w:r>
              <w:rPr>
                <w:b/>
                <w:color w:val="FFFFFF"/>
                <w:sz w:val="20"/>
              </w:rPr>
              <w:t>Description</w:t>
            </w:r>
          </w:p>
        </w:tc>
      </w:tr>
      <w:tr>
        <w:tc>
          <w:tcPr>
            <w:tcW w:type="dxa" w:w="1872"/>
            <w:shd w:fill="FFFFFF"/>
            <w:tcMar>
              <w:top w:w="120" w:type="dxa"/>
              <w:bottom w:w="120" w:type="dxa"/>
              <w:left w:w="140" w:type="dxa"/>
              <w:right w:w="140" w:type="dxa"/>
            </w:tcMar>
          </w:tcPr>
          <w:p>
            <w:r>
              <w:rPr>
                <w:color w:val="2B2B2B"/>
                <w:sz w:val="19"/>
              </w:rPr>
              <w:t>AccessID</w:t>
            </w:r>
          </w:p>
        </w:tc>
        <w:tc>
          <w:tcPr>
            <w:tcW w:type="dxa" w:w="1872"/>
            <w:shd w:fill="FFFFFF"/>
            <w:tcMar>
              <w:top w:w="120" w:type="dxa"/>
              <w:bottom w:w="120" w:type="dxa"/>
              <w:left w:w="140" w:type="dxa"/>
              <w:right w:w="140" w:type="dxa"/>
            </w:tcMar>
          </w:tcPr>
          <w:p>
            <w:r>
              <w:rPr>
                <w:color w:val="2B2B2B"/>
                <w:sz w:val="19"/>
              </w:rPr>
              <w:t>INT</w:t>
            </w:r>
          </w:p>
        </w:tc>
        <w:tc>
          <w:tcPr>
            <w:tcW w:type="dxa" w:w="1872"/>
            <w:shd w:fill="FFFFFF"/>
            <w:tcMar>
              <w:top w:w="120" w:type="dxa"/>
              <w:bottom w:w="120" w:type="dxa"/>
              <w:left w:w="140" w:type="dxa"/>
              <w:right w:w="140" w:type="dxa"/>
            </w:tcMar>
          </w:tcPr>
          <w:p>
            <w:r>
              <w:rPr>
                <w:color w:val="2B2B2B"/>
                <w:sz w:val="19"/>
              </w:rPr>
              <w:t>PK Identity(1,1)</w:t>
            </w:r>
          </w:p>
        </w:tc>
        <w:tc>
          <w:tcPr>
            <w:tcW w:type="dxa" w:w="1872"/>
            <w:shd w:fill="FFFFFF"/>
            <w:tcMar>
              <w:top w:w="120" w:type="dxa"/>
              <w:bottom w:w="120" w:type="dxa"/>
              <w:left w:w="140" w:type="dxa"/>
              <w:right w:w="140" w:type="dxa"/>
            </w:tcMar>
          </w:tcPr>
          <w:p>
            <w:r>
              <w:rPr>
                <w:color w:val="2B2B2B"/>
                <w:sz w:val="19"/>
              </w:rPr>
              <w:t>NOT NULL</w:t>
            </w:r>
          </w:p>
        </w:tc>
        <w:tc>
          <w:tcPr>
            <w:tcW w:type="dxa" w:w="1872"/>
            <w:shd w:fill="FFFFFF"/>
            <w:tcMar>
              <w:top w:w="120" w:type="dxa"/>
              <w:bottom w:w="120" w:type="dxa"/>
              <w:left w:w="140" w:type="dxa"/>
              <w:right w:w="140" w:type="dxa"/>
            </w:tcMar>
          </w:tcPr>
          <w:p>
            <w:r>
              <w:rPr>
                <w:color w:val="2B2B2B"/>
                <w:sz w:val="19"/>
              </w:rPr>
              <w:t>Auto-incrementing operational identifier sequence.</w:t>
            </w:r>
          </w:p>
        </w:tc>
      </w:tr>
      <w:tr>
        <w:tc>
          <w:tcPr>
            <w:tcW w:type="dxa" w:w="1872"/>
            <w:shd w:fill="F4F6F8"/>
            <w:tcMar>
              <w:top w:w="120" w:type="dxa"/>
              <w:bottom w:w="120" w:type="dxa"/>
              <w:left w:w="140" w:type="dxa"/>
              <w:right w:w="140" w:type="dxa"/>
            </w:tcMar>
          </w:tcPr>
          <w:p>
            <w:r>
              <w:rPr>
                <w:color w:val="2B2B2B"/>
                <w:sz w:val="19"/>
              </w:rPr>
              <w:t>Username</w:t>
            </w:r>
          </w:p>
        </w:tc>
        <w:tc>
          <w:tcPr>
            <w:tcW w:type="dxa" w:w="1872"/>
            <w:shd w:fill="F4F6F8"/>
            <w:tcMar>
              <w:top w:w="120" w:type="dxa"/>
              <w:bottom w:w="120" w:type="dxa"/>
              <w:left w:w="140" w:type="dxa"/>
              <w:right w:w="140" w:type="dxa"/>
            </w:tcMar>
          </w:tcPr>
          <w:p>
            <w:r>
              <w:rPr>
                <w:color w:val="2B2B2B"/>
                <w:sz w:val="19"/>
              </w:rPr>
              <w:t>VARCHAR(150)</w:t>
            </w:r>
          </w:p>
        </w:tc>
        <w:tc>
          <w:tcPr>
            <w:tcW w:type="dxa" w:w="1872"/>
            <w:shd w:fill="F4F6F8"/>
            <w:tcMar>
              <w:top w:w="120" w:type="dxa"/>
              <w:bottom w:w="120" w:type="dxa"/>
              <w:left w:w="140" w:type="dxa"/>
              <w:right w:w="140" w:type="dxa"/>
            </w:tcMar>
          </w:tcPr>
          <w:p>
            <w:r>
              <w:rPr>
                <w:color w:val="2B2B2B"/>
                <w:sz w:val="19"/>
              </w:rPr>
              <w:t>FK -&gt; Users</w:t>
            </w:r>
          </w:p>
        </w:tc>
        <w:tc>
          <w:tcPr>
            <w:tcW w:type="dxa" w:w="1872"/>
            <w:shd w:fill="F4F6F8"/>
            <w:tcMar>
              <w:top w:w="120" w:type="dxa"/>
              <w:bottom w:w="120" w:type="dxa"/>
              <w:left w:w="140" w:type="dxa"/>
              <w:right w:w="140" w:type="dxa"/>
            </w:tcMar>
          </w:tcPr>
          <w:p>
            <w:r>
              <w:rPr>
                <w:color w:val="2B2B2B"/>
                <w:sz w:val="19"/>
              </w:rPr>
              <w:t>NOT NULL</w:t>
            </w:r>
          </w:p>
        </w:tc>
        <w:tc>
          <w:tcPr>
            <w:tcW w:type="dxa" w:w="1872"/>
            <w:shd w:fill="F4F6F8"/>
            <w:tcMar>
              <w:top w:w="120" w:type="dxa"/>
              <w:bottom w:w="120" w:type="dxa"/>
              <w:left w:w="140" w:type="dxa"/>
              <w:right w:w="140" w:type="dxa"/>
            </w:tcMar>
          </w:tcPr>
          <w:p>
            <w:r>
              <w:rPr>
                <w:color w:val="2B2B2B"/>
                <w:sz w:val="19"/>
              </w:rPr>
              <w:t>Links access allowance rule to a clear account profile.</w:t>
            </w:r>
          </w:p>
        </w:tc>
      </w:tr>
      <w:tr>
        <w:tc>
          <w:tcPr>
            <w:tcW w:type="dxa" w:w="1872"/>
            <w:shd w:fill="FFFFFF"/>
            <w:tcMar>
              <w:top w:w="120" w:type="dxa"/>
              <w:bottom w:w="120" w:type="dxa"/>
              <w:left w:w="140" w:type="dxa"/>
              <w:right w:w="140" w:type="dxa"/>
            </w:tcMar>
          </w:tcPr>
          <w:p>
            <w:r>
              <w:rPr>
                <w:color w:val="2B2B2B"/>
                <w:sz w:val="19"/>
              </w:rPr>
              <w:t>CustomerID</w:t>
            </w:r>
          </w:p>
        </w:tc>
        <w:tc>
          <w:tcPr>
            <w:tcW w:type="dxa" w:w="1872"/>
            <w:shd w:fill="FFFFFF"/>
            <w:tcMar>
              <w:top w:w="120" w:type="dxa"/>
              <w:bottom w:w="120" w:type="dxa"/>
              <w:left w:w="140" w:type="dxa"/>
              <w:right w:w="140" w:type="dxa"/>
            </w:tcMar>
          </w:tcPr>
          <w:p>
            <w:r>
              <w:rPr>
                <w:color w:val="2B2B2B"/>
                <w:sz w:val="19"/>
              </w:rPr>
              <w:t>VARCHAR(50)</w:t>
            </w:r>
          </w:p>
        </w:tc>
        <w:tc>
          <w:tcPr>
            <w:tcW w:type="dxa" w:w="1872"/>
            <w:shd w:fill="FFFFFF"/>
            <w:tcMar>
              <w:top w:w="120" w:type="dxa"/>
              <w:bottom w:w="120" w:type="dxa"/>
              <w:left w:w="140" w:type="dxa"/>
              <w:right w:w="140" w:type="dxa"/>
            </w:tcMar>
          </w:tcPr>
          <w:p>
            <w:r>
              <w:rPr>
                <w:color w:val="2B2B2B"/>
                <w:sz w:val="19"/>
              </w:rPr>
              <w:t>FK -&gt; Customers</w:t>
            </w:r>
          </w:p>
        </w:tc>
        <w:tc>
          <w:tcPr>
            <w:tcW w:type="dxa" w:w="1872"/>
            <w:shd w:fill="FFFFFF"/>
            <w:tcMar>
              <w:top w:w="120" w:type="dxa"/>
              <w:bottom w:w="120" w:type="dxa"/>
              <w:left w:w="140" w:type="dxa"/>
              <w:right w:w="140" w:type="dxa"/>
            </w:tcMar>
          </w:tcPr>
          <w:p>
            <w:r>
              <w:rPr>
                <w:color w:val="2B2B2B"/>
                <w:sz w:val="19"/>
              </w:rPr>
              <w:t>NOT NULL</w:t>
            </w:r>
          </w:p>
        </w:tc>
        <w:tc>
          <w:tcPr>
            <w:tcW w:type="dxa" w:w="1872"/>
            <w:shd w:fill="FFFFFF"/>
            <w:tcMar>
              <w:top w:w="120" w:type="dxa"/>
              <w:bottom w:w="120" w:type="dxa"/>
              <w:left w:w="140" w:type="dxa"/>
              <w:right w:w="140" w:type="dxa"/>
            </w:tcMar>
          </w:tcPr>
          <w:p>
            <w:r>
              <w:rPr>
                <w:color w:val="2B2B2B"/>
                <w:sz w:val="19"/>
              </w:rPr>
              <w:t>Target entity visibility reference allowed by system checks.</w:t>
            </w:r>
          </w:p>
        </w:tc>
      </w:tr>
      <w:tr>
        <w:tc>
          <w:tcPr>
            <w:tcW w:type="dxa" w:w="1872"/>
            <w:shd w:fill="F4F6F8"/>
            <w:tcMar>
              <w:top w:w="120" w:type="dxa"/>
              <w:bottom w:w="120" w:type="dxa"/>
              <w:left w:w="140" w:type="dxa"/>
              <w:right w:w="140" w:type="dxa"/>
            </w:tcMar>
          </w:tcPr>
          <w:p>
            <w:r>
              <w:rPr>
                <w:color w:val="2B2B2B"/>
                <w:sz w:val="19"/>
              </w:rPr>
              <w:t>Notes</w:t>
            </w:r>
          </w:p>
        </w:tc>
        <w:tc>
          <w:tcPr>
            <w:tcW w:type="dxa" w:w="1872"/>
            <w:shd w:fill="F4F6F8"/>
            <w:tcMar>
              <w:top w:w="120" w:type="dxa"/>
              <w:bottom w:w="120" w:type="dxa"/>
              <w:left w:w="140" w:type="dxa"/>
              <w:right w:w="140" w:type="dxa"/>
            </w:tcMar>
          </w:tcPr>
          <w:p>
            <w:r>
              <w:rPr>
                <w:color w:val="2B2B2B"/>
                <w:sz w:val="19"/>
              </w:rPr>
              <w:t>VARCHAR(500)</w:t>
            </w:r>
          </w:p>
        </w:tc>
        <w:tc>
          <w:tcPr>
            <w:tcW w:type="dxa" w:w="1872"/>
            <w:shd w:fill="F4F6F8"/>
            <w:tcMar>
              <w:top w:w="120" w:type="dxa"/>
              <w:bottom w:w="120" w:type="dxa"/>
              <w:left w:w="140" w:type="dxa"/>
              <w:right w:w="140" w:type="dxa"/>
            </w:tcMar>
          </w:tcPr>
          <w:p>
            <w:r>
              <w:rPr>
                <w:color w:val="2B2B2B"/>
                <w:sz w:val="19"/>
              </w:rPr>
              <w:t>None</w:t>
            </w:r>
          </w:p>
        </w:tc>
        <w:tc>
          <w:tcPr>
            <w:tcW w:type="dxa" w:w="1872"/>
            <w:shd w:fill="F4F6F8"/>
            <w:tcMar>
              <w:top w:w="120" w:type="dxa"/>
              <w:bottom w:w="120" w:type="dxa"/>
              <w:left w:w="140" w:type="dxa"/>
              <w:right w:w="140" w:type="dxa"/>
            </w:tcMar>
          </w:tcPr>
          <w:p>
            <w:r>
              <w:rPr>
                <w:color w:val="2B2B2B"/>
                <w:sz w:val="19"/>
              </w:rPr>
              <w:t>NULL</w:t>
            </w:r>
          </w:p>
        </w:tc>
        <w:tc>
          <w:tcPr>
            <w:tcW w:type="dxa" w:w="1872"/>
            <w:shd w:fill="F4F6F8"/>
            <w:tcMar>
              <w:top w:w="120" w:type="dxa"/>
              <w:bottom w:w="120" w:type="dxa"/>
              <w:left w:w="140" w:type="dxa"/>
              <w:right w:w="140" w:type="dxa"/>
            </w:tcMar>
          </w:tcPr>
          <w:p>
            <w:r>
              <w:rPr>
                <w:color w:val="2B2B2B"/>
                <w:sz w:val="19"/>
              </w:rPr>
              <w:t>Optional system data mapping documentation remarks.</w:t>
            </w:r>
          </w:p>
        </w:tc>
      </w:tr>
    </w:tbl>
    <w:p>
      <w:pPr>
        <w:keepNext/>
        <w:spacing w:before="280" w:after="80"/>
      </w:pPr>
      <w:r>
        <w:rPr>
          <w:b/>
          <w:color w:val="3498DB"/>
          <w:sz w:val="26"/>
        </w:rPr>
        <w:t>7.4 Table: SyncLog</w:t>
      </w:r>
    </w:p>
    <w:p>
      <w:pPr>
        <w:spacing w:after="120" w:line="276" w:lineRule="auto"/>
      </w:pPr>
      <w:r>
        <w:t>An immutable history table tracking integration, batch operations, duplicate detections, and status updates.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2313F"/>
            <w:tcMar>
              <w:top w:w="120" w:type="dxa"/>
              <w:bottom w:w="120" w:type="dxa"/>
              <w:left w:w="140" w:type="dxa"/>
              <w:right w:w="140" w:type="dxa"/>
            </w:tcMar>
          </w:tcPr>
          <w:p>
            <w:pPr>
              <w:jc w:val="left"/>
            </w:pPr>
            <w:r>
              <w:rPr>
                <w:b/>
                <w:color w:val="FFFFFF"/>
                <w:sz w:val="20"/>
              </w:rPr>
              <w:t>Column Name</w:t>
            </w:r>
          </w:p>
        </w:tc>
        <w:tc>
          <w:tcPr>
            <w:tcW w:type="dxa" w:w="1872"/>
            <w:shd w:fill="22313F"/>
            <w:tcMar>
              <w:top w:w="120" w:type="dxa"/>
              <w:bottom w:w="120" w:type="dxa"/>
              <w:left w:w="140" w:type="dxa"/>
              <w:right w:w="140" w:type="dxa"/>
            </w:tcMar>
          </w:tcPr>
          <w:p>
            <w:pPr>
              <w:jc w:val="left"/>
            </w:pPr>
            <w:r>
              <w:rPr>
                <w:b/>
                <w:color w:val="FFFFFF"/>
                <w:sz w:val="20"/>
              </w:rPr>
              <w:t>Data Type</w:t>
            </w:r>
          </w:p>
        </w:tc>
        <w:tc>
          <w:tcPr>
            <w:tcW w:type="dxa" w:w="1872"/>
            <w:shd w:fill="22313F"/>
            <w:tcMar>
              <w:top w:w="120" w:type="dxa"/>
              <w:bottom w:w="120" w:type="dxa"/>
              <w:left w:w="140" w:type="dxa"/>
              <w:right w:w="140" w:type="dxa"/>
            </w:tcMar>
          </w:tcPr>
          <w:p>
            <w:pPr>
              <w:jc w:val="left"/>
            </w:pPr>
            <w:r>
              <w:rPr>
                <w:b/>
                <w:color w:val="FFFFFF"/>
                <w:sz w:val="20"/>
              </w:rPr>
              <w:t>Key/Constraint</w:t>
            </w:r>
          </w:p>
        </w:tc>
        <w:tc>
          <w:tcPr>
            <w:tcW w:type="dxa" w:w="1872"/>
            <w:shd w:fill="22313F"/>
            <w:tcMar>
              <w:top w:w="120" w:type="dxa"/>
              <w:bottom w:w="120" w:type="dxa"/>
              <w:left w:w="140" w:type="dxa"/>
              <w:right w:w="140" w:type="dxa"/>
            </w:tcMar>
          </w:tcPr>
          <w:p>
            <w:pPr>
              <w:jc w:val="left"/>
            </w:pPr>
            <w:r>
              <w:rPr>
                <w:b/>
                <w:color w:val="FFFFFF"/>
                <w:sz w:val="20"/>
              </w:rPr>
              <w:t>Nullability</w:t>
            </w:r>
          </w:p>
        </w:tc>
        <w:tc>
          <w:tcPr>
            <w:tcW w:type="dxa" w:w="1872"/>
            <w:shd w:fill="22313F"/>
            <w:tcMar>
              <w:top w:w="120" w:type="dxa"/>
              <w:bottom w:w="120" w:type="dxa"/>
              <w:left w:w="140" w:type="dxa"/>
              <w:right w:w="140" w:type="dxa"/>
            </w:tcMar>
          </w:tcPr>
          <w:p>
            <w:pPr>
              <w:jc w:val="left"/>
            </w:pPr>
            <w:r>
              <w:rPr>
                <w:b/>
                <w:color w:val="FFFFFF"/>
                <w:sz w:val="20"/>
              </w:rPr>
              <w:t>Description</w:t>
            </w:r>
          </w:p>
        </w:tc>
      </w:tr>
      <w:tr>
        <w:tc>
          <w:tcPr>
            <w:tcW w:type="dxa" w:w="1872"/>
            <w:shd w:fill="FFFFFF"/>
            <w:tcMar>
              <w:top w:w="120" w:type="dxa"/>
              <w:bottom w:w="120" w:type="dxa"/>
              <w:left w:w="140" w:type="dxa"/>
              <w:right w:w="140" w:type="dxa"/>
            </w:tcMar>
          </w:tcPr>
          <w:p>
            <w:r>
              <w:rPr>
                <w:color w:val="2B2B2B"/>
                <w:sz w:val="19"/>
              </w:rPr>
              <w:t>LogID</w:t>
            </w:r>
          </w:p>
        </w:tc>
        <w:tc>
          <w:tcPr>
            <w:tcW w:type="dxa" w:w="1872"/>
            <w:shd w:fill="FFFFFF"/>
            <w:tcMar>
              <w:top w:w="120" w:type="dxa"/>
              <w:bottom w:w="120" w:type="dxa"/>
              <w:left w:w="140" w:type="dxa"/>
              <w:right w:w="140" w:type="dxa"/>
            </w:tcMar>
          </w:tcPr>
          <w:p>
            <w:r>
              <w:rPr>
                <w:color w:val="2B2B2B"/>
                <w:sz w:val="19"/>
              </w:rPr>
              <w:t>INT</w:t>
            </w:r>
          </w:p>
        </w:tc>
        <w:tc>
          <w:tcPr>
            <w:tcW w:type="dxa" w:w="1872"/>
            <w:shd w:fill="FFFFFF"/>
            <w:tcMar>
              <w:top w:w="120" w:type="dxa"/>
              <w:bottom w:w="120" w:type="dxa"/>
              <w:left w:w="140" w:type="dxa"/>
              <w:right w:w="140" w:type="dxa"/>
            </w:tcMar>
          </w:tcPr>
          <w:p>
            <w:r>
              <w:rPr>
                <w:color w:val="2B2B2B"/>
                <w:sz w:val="19"/>
              </w:rPr>
              <w:t>PK Identity(1,1)</w:t>
            </w:r>
          </w:p>
        </w:tc>
        <w:tc>
          <w:tcPr>
            <w:tcW w:type="dxa" w:w="1872"/>
            <w:shd w:fill="FFFFFF"/>
            <w:tcMar>
              <w:top w:w="120" w:type="dxa"/>
              <w:bottom w:w="120" w:type="dxa"/>
              <w:left w:w="140" w:type="dxa"/>
              <w:right w:w="140" w:type="dxa"/>
            </w:tcMar>
          </w:tcPr>
          <w:p>
            <w:r>
              <w:rPr>
                <w:color w:val="2B2B2B"/>
                <w:sz w:val="19"/>
              </w:rPr>
              <w:t>NOT NULL</w:t>
            </w:r>
          </w:p>
        </w:tc>
        <w:tc>
          <w:tcPr>
            <w:tcW w:type="dxa" w:w="1872"/>
            <w:shd w:fill="FFFFFF"/>
            <w:tcMar>
              <w:top w:w="120" w:type="dxa"/>
              <w:bottom w:w="120" w:type="dxa"/>
              <w:left w:w="140" w:type="dxa"/>
              <w:right w:w="140" w:type="dxa"/>
            </w:tcMar>
          </w:tcPr>
          <w:p>
            <w:r>
              <w:rPr>
                <w:color w:val="2B2B2B"/>
                <w:sz w:val="19"/>
              </w:rPr>
              <w:t>Auto-incrementing audit entry counter sequence.</w:t>
            </w:r>
          </w:p>
        </w:tc>
      </w:tr>
      <w:tr>
        <w:tc>
          <w:tcPr>
            <w:tcW w:type="dxa" w:w="1872"/>
            <w:shd w:fill="F4F6F8"/>
            <w:tcMar>
              <w:top w:w="120" w:type="dxa"/>
              <w:bottom w:w="120" w:type="dxa"/>
              <w:left w:w="140" w:type="dxa"/>
              <w:right w:w="140" w:type="dxa"/>
            </w:tcMar>
          </w:tcPr>
          <w:p>
            <w:r>
              <w:rPr>
                <w:color w:val="2B2B2B"/>
                <w:sz w:val="19"/>
              </w:rPr>
              <w:t>CustomerID</w:t>
            </w:r>
          </w:p>
        </w:tc>
        <w:tc>
          <w:tcPr>
            <w:tcW w:type="dxa" w:w="1872"/>
            <w:shd w:fill="F4F6F8"/>
            <w:tcMar>
              <w:top w:w="120" w:type="dxa"/>
              <w:bottom w:w="120" w:type="dxa"/>
              <w:left w:w="140" w:type="dxa"/>
              <w:right w:w="140" w:type="dxa"/>
            </w:tcMar>
          </w:tcPr>
          <w:p>
            <w:r>
              <w:rPr>
                <w:color w:val="2B2B2B"/>
                <w:sz w:val="19"/>
              </w:rPr>
              <w:t>VARCHAR(50)</w:t>
            </w:r>
          </w:p>
        </w:tc>
        <w:tc>
          <w:tcPr>
            <w:tcW w:type="dxa" w:w="1872"/>
            <w:shd w:fill="F4F6F8"/>
            <w:tcMar>
              <w:top w:w="120" w:type="dxa"/>
              <w:bottom w:w="120" w:type="dxa"/>
              <w:left w:w="140" w:type="dxa"/>
              <w:right w:w="140" w:type="dxa"/>
            </w:tcMar>
          </w:tcPr>
          <w:p>
            <w:r>
              <w:rPr>
                <w:color w:val="2B2B2B"/>
                <w:sz w:val="19"/>
              </w:rPr>
              <w:t>None</w:t>
            </w:r>
          </w:p>
        </w:tc>
        <w:tc>
          <w:tcPr>
            <w:tcW w:type="dxa" w:w="1872"/>
            <w:shd w:fill="F4F6F8"/>
            <w:tcMar>
              <w:top w:w="120" w:type="dxa"/>
              <w:bottom w:w="120" w:type="dxa"/>
              <w:left w:w="140" w:type="dxa"/>
              <w:right w:w="140" w:type="dxa"/>
            </w:tcMar>
          </w:tcPr>
          <w:p>
            <w:r>
              <w:rPr>
                <w:color w:val="2B2B2B"/>
                <w:sz w:val="19"/>
              </w:rPr>
              <w:t>NOT NULL</w:t>
            </w:r>
          </w:p>
        </w:tc>
        <w:tc>
          <w:tcPr>
            <w:tcW w:type="dxa" w:w="1872"/>
            <w:shd w:fill="F4F6F8"/>
            <w:tcMar>
              <w:top w:w="120" w:type="dxa"/>
              <w:bottom w:w="120" w:type="dxa"/>
              <w:left w:w="140" w:type="dxa"/>
              <w:right w:w="140" w:type="dxa"/>
            </w:tcMar>
          </w:tcPr>
          <w:p>
            <w:r>
              <w:rPr>
                <w:color w:val="2B2B2B"/>
                <w:sz w:val="19"/>
              </w:rPr>
              <w:t>The referenced natural CRM identifier key checked during processing.</w:t>
            </w:r>
          </w:p>
        </w:tc>
      </w:tr>
      <w:tr>
        <w:tc>
          <w:tcPr>
            <w:tcW w:type="dxa" w:w="1872"/>
            <w:shd w:fill="FFFFFF"/>
            <w:tcMar>
              <w:top w:w="120" w:type="dxa"/>
              <w:bottom w:w="120" w:type="dxa"/>
              <w:left w:w="140" w:type="dxa"/>
              <w:right w:w="140" w:type="dxa"/>
            </w:tcMar>
          </w:tcPr>
          <w:p>
            <w:r>
              <w:rPr>
                <w:color w:val="2B2B2B"/>
                <w:sz w:val="19"/>
              </w:rPr>
              <w:t>Status</w:t>
            </w:r>
          </w:p>
        </w:tc>
        <w:tc>
          <w:tcPr>
            <w:tcW w:type="dxa" w:w="1872"/>
            <w:shd w:fill="FFFFFF"/>
            <w:tcMar>
              <w:top w:w="120" w:type="dxa"/>
              <w:bottom w:w="120" w:type="dxa"/>
              <w:left w:w="140" w:type="dxa"/>
              <w:right w:w="140" w:type="dxa"/>
            </w:tcMar>
          </w:tcPr>
          <w:p>
            <w:r>
              <w:rPr>
                <w:color w:val="2B2B2B"/>
                <w:sz w:val="19"/>
              </w:rPr>
              <w:t>VARCHAR(50)</w:t>
            </w:r>
          </w:p>
        </w:tc>
        <w:tc>
          <w:tcPr>
            <w:tcW w:type="dxa" w:w="1872"/>
            <w:shd w:fill="FFFFFF"/>
            <w:tcMar>
              <w:top w:w="120" w:type="dxa"/>
              <w:bottom w:w="120" w:type="dxa"/>
              <w:left w:w="140" w:type="dxa"/>
              <w:right w:w="140" w:type="dxa"/>
            </w:tcMar>
          </w:tcPr>
          <w:p>
            <w:r>
              <w:rPr>
                <w:color w:val="2B2B2B"/>
                <w:sz w:val="19"/>
              </w:rPr>
              <w:t>None</w:t>
            </w:r>
          </w:p>
        </w:tc>
        <w:tc>
          <w:tcPr>
            <w:tcW w:type="dxa" w:w="1872"/>
            <w:shd w:fill="FFFFFF"/>
            <w:tcMar>
              <w:top w:w="120" w:type="dxa"/>
              <w:bottom w:w="120" w:type="dxa"/>
              <w:left w:w="140" w:type="dxa"/>
              <w:right w:w="140" w:type="dxa"/>
            </w:tcMar>
          </w:tcPr>
          <w:p>
            <w:r>
              <w:rPr>
                <w:color w:val="2B2B2B"/>
                <w:sz w:val="19"/>
              </w:rPr>
              <w:t>NOT NULL</w:t>
            </w:r>
          </w:p>
        </w:tc>
        <w:tc>
          <w:tcPr>
            <w:tcW w:type="dxa" w:w="1872"/>
            <w:shd w:fill="FFFFFF"/>
            <w:tcMar>
              <w:top w:w="120" w:type="dxa"/>
              <w:bottom w:w="120" w:type="dxa"/>
              <w:left w:w="140" w:type="dxa"/>
              <w:right w:w="140" w:type="dxa"/>
            </w:tcMar>
          </w:tcPr>
          <w:p>
            <w:r>
              <w:rPr>
                <w:color w:val="2B2B2B"/>
                <w:sz w:val="19"/>
              </w:rPr>
              <w:t>The operation status result state (Success, Skipped, Failed).</w:t>
            </w:r>
          </w:p>
        </w:tc>
      </w:tr>
      <w:tr>
        <w:tc>
          <w:tcPr>
            <w:tcW w:type="dxa" w:w="1872"/>
            <w:shd w:fill="F4F6F8"/>
            <w:tcMar>
              <w:top w:w="120" w:type="dxa"/>
              <w:bottom w:w="120" w:type="dxa"/>
              <w:left w:w="140" w:type="dxa"/>
              <w:right w:w="140" w:type="dxa"/>
            </w:tcMar>
          </w:tcPr>
          <w:p>
            <w:r>
              <w:rPr>
                <w:color w:val="2B2B2B"/>
                <w:sz w:val="19"/>
              </w:rPr>
              <w:t>Message</w:t>
            </w:r>
          </w:p>
        </w:tc>
        <w:tc>
          <w:tcPr>
            <w:tcW w:type="dxa" w:w="1872"/>
            <w:shd w:fill="F4F6F8"/>
            <w:tcMar>
              <w:top w:w="120" w:type="dxa"/>
              <w:bottom w:w="120" w:type="dxa"/>
              <w:left w:w="140" w:type="dxa"/>
              <w:right w:w="140" w:type="dxa"/>
            </w:tcMar>
          </w:tcPr>
          <w:p>
            <w:r>
              <w:rPr>
                <w:color w:val="2B2B2B"/>
                <w:sz w:val="19"/>
              </w:rPr>
              <w:t>VARCHAR(255)</w:t>
            </w:r>
          </w:p>
        </w:tc>
        <w:tc>
          <w:tcPr>
            <w:tcW w:type="dxa" w:w="1872"/>
            <w:shd w:fill="F4F6F8"/>
            <w:tcMar>
              <w:top w:w="120" w:type="dxa"/>
              <w:bottom w:w="120" w:type="dxa"/>
              <w:left w:w="140" w:type="dxa"/>
              <w:right w:w="140" w:type="dxa"/>
            </w:tcMar>
          </w:tcPr>
          <w:p>
            <w:r>
              <w:rPr>
                <w:color w:val="2B2B2B"/>
                <w:sz w:val="19"/>
              </w:rPr>
              <w:t>None</w:t>
            </w:r>
          </w:p>
        </w:tc>
        <w:tc>
          <w:tcPr>
            <w:tcW w:type="dxa" w:w="1872"/>
            <w:shd w:fill="F4F6F8"/>
            <w:tcMar>
              <w:top w:w="120" w:type="dxa"/>
              <w:bottom w:w="120" w:type="dxa"/>
              <w:left w:w="140" w:type="dxa"/>
              <w:right w:w="140" w:type="dxa"/>
            </w:tcMar>
          </w:tcPr>
          <w:p>
            <w:r>
              <w:rPr>
                <w:color w:val="2B2B2B"/>
                <w:sz w:val="19"/>
              </w:rPr>
              <w:t>NOT NULL</w:t>
            </w:r>
          </w:p>
        </w:tc>
        <w:tc>
          <w:tcPr>
            <w:tcW w:type="dxa" w:w="1872"/>
            <w:shd w:fill="F4F6F8"/>
            <w:tcMar>
              <w:top w:w="120" w:type="dxa"/>
              <w:bottom w:w="120" w:type="dxa"/>
              <w:left w:w="140" w:type="dxa"/>
              <w:right w:w="140" w:type="dxa"/>
            </w:tcMar>
          </w:tcPr>
          <w:p>
            <w:r>
              <w:rPr>
                <w:color w:val="2B2B2B"/>
                <w:sz w:val="19"/>
              </w:rPr>
              <w:t>Explicit descriptive diagnostic result tracking remarks.</w:t>
            </w:r>
          </w:p>
        </w:tc>
      </w:tr>
      <w:tr>
        <w:tc>
          <w:tcPr>
            <w:tcW w:type="dxa" w:w="1872"/>
            <w:shd w:fill="FFFFFF"/>
            <w:tcMar>
              <w:top w:w="120" w:type="dxa"/>
              <w:bottom w:w="120" w:type="dxa"/>
              <w:left w:w="140" w:type="dxa"/>
              <w:right w:w="140" w:type="dxa"/>
            </w:tcMar>
          </w:tcPr>
          <w:p>
            <w:r>
              <w:rPr>
                <w:color w:val="2B2B2B"/>
                <w:sz w:val="19"/>
              </w:rPr>
              <w:t>Timestamp</w:t>
            </w:r>
          </w:p>
        </w:tc>
        <w:tc>
          <w:tcPr>
            <w:tcW w:type="dxa" w:w="1872"/>
            <w:shd w:fill="FFFFFF"/>
            <w:tcMar>
              <w:top w:w="120" w:type="dxa"/>
              <w:bottom w:w="120" w:type="dxa"/>
              <w:left w:w="140" w:type="dxa"/>
              <w:right w:w="140" w:type="dxa"/>
            </w:tcMar>
          </w:tcPr>
          <w:p>
            <w:r>
              <w:rPr>
                <w:color w:val="2B2B2B"/>
                <w:sz w:val="19"/>
              </w:rPr>
              <w:t>DATETIME</w:t>
            </w:r>
          </w:p>
        </w:tc>
        <w:tc>
          <w:tcPr>
            <w:tcW w:type="dxa" w:w="1872"/>
            <w:shd w:fill="FFFFFF"/>
            <w:tcMar>
              <w:top w:w="120" w:type="dxa"/>
              <w:bottom w:w="120" w:type="dxa"/>
              <w:left w:w="140" w:type="dxa"/>
              <w:right w:w="140" w:type="dxa"/>
            </w:tcMar>
          </w:tcPr>
          <w:p>
            <w:r>
              <w:rPr>
                <w:color w:val="2B2B2B"/>
                <w:sz w:val="19"/>
              </w:rPr>
              <w:t>Default GETDATE()</w:t>
            </w:r>
          </w:p>
        </w:tc>
        <w:tc>
          <w:tcPr>
            <w:tcW w:type="dxa" w:w="1872"/>
            <w:shd w:fill="FFFFFF"/>
            <w:tcMar>
              <w:top w:w="120" w:type="dxa"/>
              <w:bottom w:w="120" w:type="dxa"/>
              <w:left w:w="140" w:type="dxa"/>
              <w:right w:w="140" w:type="dxa"/>
            </w:tcMar>
          </w:tcPr>
          <w:p>
            <w:r>
              <w:rPr>
                <w:color w:val="2B2B2B"/>
                <w:sz w:val="19"/>
              </w:rPr>
              <w:t>NOT NULL</w:t>
            </w:r>
          </w:p>
        </w:tc>
        <w:tc>
          <w:tcPr>
            <w:tcW w:type="dxa" w:w="1872"/>
            <w:shd w:fill="FFFFFF"/>
            <w:tcMar>
              <w:top w:w="120" w:type="dxa"/>
              <w:bottom w:w="120" w:type="dxa"/>
              <w:left w:w="140" w:type="dxa"/>
              <w:right w:w="140" w:type="dxa"/>
            </w:tcMar>
          </w:tcPr>
          <w:p>
            <w:r>
              <w:rPr>
                <w:color w:val="2B2B2B"/>
                <w:sz w:val="19"/>
              </w:rPr>
              <w:t>Chronological time marker registering execution.</w:t>
            </w:r>
          </w:p>
        </w:tc>
      </w:tr>
    </w:tbl>
    <w:p>
      <w:pPr>
        <w:keepNext/>
        <w:spacing w:before="440" w:after="120"/>
      </w:pPr>
      <w:r>
        <w:rPr>
          <w:b/>
          <w:color w:val="22313F"/>
          <w:sz w:val="32"/>
        </w:rPr>
        <w:t>8. Security Design &amp; Database-Level Perimeter Hardening</w:t>
      </w:r>
    </w:p>
    <w:p>
      <w:pPr>
        <w:spacing w:after="120" w:line="276" w:lineRule="auto"/>
      </w:pPr>
      <w:r>
        <w:t>• Account Password Security: Cleartext parameters are restricted from storage; incoming tokens are validated after salting and checking with BCrypt encryption.</w:t>
      </w:r>
    </w:p>
    <w:p>
      <w:pPr>
        <w:spacing w:after="120" w:line="276" w:lineRule="auto"/>
      </w:pPr>
      <w:r>
        <w:t>• SQL Injection &amp; Mass-Assignment Defenses: Every transaction runs using LINQ parametrized statements via Entity Framework Core, blocking dynamic SQL interpretation vectors. Data tables remain internal and are not exposed directly to consumer objects.</w:t>
      </w:r>
    </w:p>
    <w:p>
      <w:pPr>
        <w:keepNext/>
        <w:spacing w:before="440" w:after="120"/>
      </w:pPr>
      <w:r>
        <w:rPr>
          <w:b/>
          <w:color w:val="22313F"/>
          <w:sz w:val="32"/>
        </w:rPr>
        <w:t>9. Enterprise Business Rules &amp; Relational Constraints</w:t>
      </w:r>
    </w:p>
    <w:p>
      <w:pPr>
        <w:spacing w:after="120" w:line="276" w:lineRule="auto"/>
      </w:pPr>
      <w:r>
        <w:t>• Business Soft-Delete Pattern: Dropping a record runs an update instruction mapping `IsDeleted = 1`. Queries enforce global entity filters to exclude soft-deleted elements from standard consumer access paths.</w:t>
      </w:r>
    </w:p>
    <w:p>
      <w:pPr>
        <w:spacing w:after="120" w:line="276" w:lineRule="auto"/>
      </w:pPr>
      <w:r>
        <w:t>• Duplicate Constraint Filtering: Inbound requests carrying a pre-existing natural key (`CustomerID`) abort early during database record insertion, writing a 'Skipped' trace message to the logging ledger.</w:t>
      </w:r>
    </w:p>
    <w:p>
      <w:pPr>
        <w:keepNext/>
        <w:spacing w:before="440" w:after="120"/>
      </w:pPr>
      <w:r>
        <w:rPr>
          <w:b/>
          <w:color w:val="22313F"/>
          <w:sz w:val="32"/>
        </w:rPr>
        <w:t>10. Authentication Architecture &amp; Token Parameters</w:t>
      </w:r>
    </w:p>
    <w:p>
      <w:pPr>
        <w:spacing w:after="120" w:line="276" w:lineRule="auto"/>
      </w:pPr>
      <w:r>
        <w:t>Access to underlying resources requires programmatic JWT payload evaluation. The runtime asserts validity using HMAC-SHA256 signature verifications, lifetime expiration limits, and target scope keys.</w:t>
      </w:r>
    </w:p>
    <w:p>
      <w:pPr>
        <w:keepNext/>
        <w:spacing w:before="440" w:after="120"/>
      </w:pPr>
      <w:r>
        <w:rPr>
          <w:b/>
          <w:color w:val="22313F"/>
          <w:sz w:val="32"/>
        </w:rPr>
        <w:t>11. Authorization Matrix &amp; Row-Level Filtering Rules</w:t>
      </w:r>
    </w:p>
    <w:p>
      <w:pPr>
        <w:spacing w:after="120" w:line="276" w:lineRule="auto"/>
      </w:pPr>
      <w:r>
        <w:t>The storage engine restricts records using explicit database bridge links:</w:t>
      </w:r>
    </w:p>
    <w:p>
      <w:pPr>
        <w:spacing w:after="120" w:line="276" w:lineRule="auto"/>
      </w:pPr>
      <w:r>
        <w:t>• Admin Role: Inherits systemic capability to access and mutate any customer record, completely ignoring localized boundary maps.</w:t>
      </w:r>
    </w:p>
    <w:p>
      <w:pPr>
        <w:spacing w:after="120" w:line="276" w:lineRule="auto"/>
      </w:pPr>
      <w:r>
        <w:t>• QA/Customer Profiles: Regulated via structural links inside `CustomerAccess`. Statements query the relational table using inner joins against the verified token username string, enforcing strict record isolation.</w:t>
      </w:r>
    </w:p>
    <w:p>
      <w:pPr>
        <w:keepNext/>
        <w:spacing w:before="440" w:after="120"/>
      </w:pPr>
      <w:r>
        <w:rPr>
          <w:b/>
          <w:color w:val="22313F"/>
          <w:sz w:val="32"/>
        </w:rPr>
        <w:t>12. Input Schema Struct Validation &amp; Model Interceptors</w:t>
      </w:r>
    </w:p>
    <w:p>
      <w:pPr>
        <w:spacing w:after="120" w:line="276" w:lineRule="auto"/>
      </w:pPr>
      <w:r>
        <w:t>Incoming payloads run against data constraints before execution. Out-of-bounds parameters, malformed structural layouts, or missing column fields are dropped early at the presentation perimeter.</w:t>
      </w:r>
    </w:p>
    <w:p>
      <w:pPr>
        <w:keepNext/>
        <w:spacing w:before="440" w:after="120"/>
      </w:pPr>
      <w:r>
        <w:rPr>
          <w:b/>
          <w:color w:val="22313F"/>
          <w:sz w:val="32"/>
        </w:rPr>
        <w:t>13. Global Exception Filters, Error Modeling &amp; RFC 7807 Mapping</w:t>
      </w:r>
    </w:p>
    <w:p>
      <w:pPr>
        <w:spacing w:after="120" w:line="276" w:lineRule="auto"/>
      </w:pPr>
      <w:r>
        <w:t>Internal relational structural exception outputs (e.g., unique key conflicts, constraint errors) are intercepted by custom middleware. The system cleans raw runtime exceptions and transforms error metadata into sanitized RFC 7807 JSON formats.</w:t>
      </w:r>
    </w:p>
    <w:p>
      <w:pPr>
        <w:keepNext/>
        <w:spacing w:before="440" w:after="120"/>
      </w:pPr>
      <w:r>
        <w:rPr>
          <w:b/>
          <w:color w:val="22313F"/>
          <w:sz w:val="32"/>
        </w:rPr>
        <w:t>14. Testing Strategy, Idempotency Analysis &amp; State Reset Standards</w:t>
      </w:r>
    </w:p>
    <w:p>
      <w:pPr>
        <w:spacing w:after="120" w:line="276" w:lineRule="auto"/>
      </w:pPr>
      <w:r>
        <w:t>This section addresses critical operational considerations regarding data anomalies, data corruption risks, and integration test execution isolation.</w:t>
      </w:r>
    </w:p>
    <w:p>
      <w:pPr>
        <w:keepNext/>
        <w:spacing w:before="280" w:after="80"/>
      </w:pPr>
      <w:r>
        <w:rPr>
          <w:b/>
          <w:color w:val="3498DB"/>
          <w:sz w:val="26"/>
        </w:rPr>
        <w:t>14.1 Analysis of Current Data State Anomalies</w:t>
      </w:r>
    </w:p>
    <w:p>
      <w:pPr>
        <w:spacing w:after="120" w:line="276" w:lineRule="auto"/>
      </w:pPr>
      <w:r>
        <w:t>Review of the system state records shows a clear transaction isolation anomaly. The active database snapshot displays the following record configuration:</w:t>
      </w:r>
    </w:p>
    <w:p>
      <w:pPr>
        <w:spacing w:after="80" w:before="80"/>
        <w:ind w:left="360"/>
      </w:pPr>
      <w:r>
        <w:rPr>
          <w:rFonts w:ascii="Consolas" w:hAnsi="Consolas"/>
          <w:color w:val="22313F"/>
          <w:sz w:val="19"/>
        </w:rPr>
        <w:t xml:space="preserve">  User Record Row:</w:t>
        <w:br/>
        <w:t xml:space="preserve">  Username: admin  │  Role: Customer  │  CustomerID: CRM100  │  TenantId: 1</w:t>
        <w:br/>
        <w:br/>
        <w:t xml:space="preserve">  Customer Record Row:</w:t>
        <w:br/>
        <w:t xml:space="preserve">  CustomerID: CRM001 │ CompanyName: admin │ Email: admin@test.com</w:t>
      </w:r>
    </w:p>
    <w:p>
      <w:pPr>
        <w:spacing w:after="120" w:line="276" w:lineRule="auto"/>
      </w:pPr>
      <w:r>
        <w:t>Architectural Breakdown of the Anomaly:</w:t>
      </w:r>
    </w:p>
    <w:p>
      <w:pPr>
        <w:spacing w:after="120" w:line="276" w:lineRule="auto"/>
      </w:pPr>
      <w:r>
        <w:t>1. Data Drift: The user account profile for 'admin' points to `CustomerID = 'CRM100'`. However, the baseline master row lists the admin record under `CustomerID = 'CRM001'`. This results in data drift across system tables.</w:t>
      </w:r>
    </w:p>
    <w:p>
      <w:pPr>
        <w:spacing w:after="120" w:line="276" w:lineRule="auto"/>
      </w:pPr>
      <w:r>
        <w:t>2. Identity Conflict: The identity configuration lists the user 'admin' under a role claim value of 'Customer' instead of 'Admin', blocking the account from system administrative functions.</w:t>
      </w:r>
    </w:p>
    <w:p>
      <w:pPr>
        <w:spacing w:after="120" w:line="276" w:lineRule="auto"/>
      </w:pPr>
      <w:r>
        <w:t>3. State Leakage: The `CustomerAccess` bridge matches user account handles directly to out-of-bounds rows (`admin -&gt; CRM100`, `admin -&gt; CRM300`, `admin -&gt; CRM001`). This indicates that data states are leaking across integration test runs.</w:t>
      </w:r>
    </w:p>
    <w:p>
      <w:pPr>
        <w:keepNext/>
        <w:spacing w:before="280" w:after="80"/>
      </w:pPr>
      <w:r>
        <w:rPr>
          <w:b/>
          <w:color w:val="3498DB"/>
          <w:sz w:val="26"/>
        </w:rPr>
        <w:t>14.2 The Critical Requirement for Data State Resets Between Test Cases</w:t>
      </w:r>
    </w:p>
    <w:p>
      <w:pPr>
        <w:spacing w:after="120" w:line="276" w:lineRule="auto"/>
      </w:pPr>
      <w:r>
        <w:t>To achieve 100% reliable test execution and eliminate validation anomalies, the system must enforce strict isolation boundaries between test methods. Running integration loops against a persistent database instance without cleanups causes data contamination and test instability.</w:t>
      </w:r>
    </w:p>
    <w:p>
      <w:pPr>
        <w:spacing w:after="120" w:line="276" w:lineRule="auto"/>
      </w:pPr>
      <w:r>
        <w:t>• Prevent Inter-Test State Contamination: Modifications executed by an individual test method (e.g., updating a customer ID to CRM100) persist in the database, causing downstream test cases to fail on shared assertions.</w:t>
      </w:r>
    </w:p>
    <w:p>
      <w:pPr>
        <w:spacing w:after="120" w:line="276" w:lineRule="auto"/>
      </w:pPr>
      <w:r>
        <w:t>• Guarantee Idempotent Test Isolation: Each test method must execute within a completely clean database state, ensuring results remain fully reproducible regardless of execution sequence or parallel runs.</w:t>
      </w:r>
    </w:p>
    <w:p>
      <w:pPr>
        <w:spacing w:after="120" w:line="276" w:lineRule="auto"/>
      </w:pPr>
      <w:r>
        <w:t>• Strategic Remediation: Implement automated database teardown and re-seeding mechanisms using xUnit `IAsyncLifetime` or transactional rollbacks to revert states after every test run, keeping the database in a consistent 'Pass' configuration.</w:t>
      </w:r>
    </w:p>
    <w:p>
      <w:pPr>
        <w:keepNext/>
        <w:spacing w:before="280" w:after="80"/>
      </w:pPr>
      <w:r>
        <w:rPr>
          <w:b/>
          <w:color w:val="3498DB"/>
          <w:sz w:val="26"/>
        </w:rPr>
        <w:t>14.3 Enterprise Database State Re-Seeding Script</w:t>
      </w:r>
    </w:p>
    <w:p>
      <w:pPr>
        <w:spacing w:after="120" w:line="276" w:lineRule="auto"/>
      </w:pPr>
      <w:r>
        <w:t>The following SQL implementation script defines the standardized database setup and configuration baseline. It explicitly updates the 'admin' identifier tracking row to `CRM001` and resets user roles to ensure data consistency:</w:t>
      </w:r>
    </w:p>
    <w:p>
      <w:pPr>
        <w:spacing w:after="80" w:before="80"/>
        <w:ind w:left="360"/>
      </w:pPr>
      <w:r>
        <w:rPr>
          <w:rFonts w:ascii="Consolas" w:hAnsi="Consolas"/>
          <w:color w:val="22313F"/>
          <w:sz w:val="19"/>
        </w:rPr>
        <w:t xml:space="preserve">  -- 1. Purge Existing Relational Records to Prevent Constraint Violations</w:t>
        <w:br/>
        <w:t xml:space="preserve">  DELETE FROM SyncLog;</w:t>
        <w:br/>
        <w:t xml:space="preserve">  DELETE FROM CustomerAccess;</w:t>
        <w:br/>
        <w:t xml:space="preserve">  DELETE FROM Users;</w:t>
        <w:br/>
        <w:t xml:space="preserve">  DELETE FROM Customers;</w:t>
        <w:br/>
        <w:br/>
        <w:t xml:space="preserve">  -- 2. Seed Clean Master Customer Entity Base Records</w:t>
        <w:br/>
        <w:t xml:space="preserve">  INSERT INTO Customers (CustomerID, FirstName, LastName, Email, IsDeleted, Phone)</w:t>
        <w:br/>
        <w:t xml:space="preserve">  VALUES </w:t>
        <w:br/>
        <w:t xml:space="preserve">    ('CRM001', 'Admin', 'User', 'admin@test.com', 0, '6040000000'),</w:t>
        <w:br/>
        <w:t xml:space="preserve">    ('CRM100', 'Michael', 'Test', 'michael@test.com', 0, '6041111111'),</w:t>
        <w:br/>
        <w:t xml:space="preserve">    ('CRM101', 'Sarah', 'Test', 'sarah@test.com', 0, '6042222222'),</w:t>
        <w:br/>
        <w:t xml:space="preserve">    ('CRM103', 'Owner', 'User', 'owner@test.com', 0, '6043333333'),</w:t>
        <w:br/>
        <w:t xml:space="preserve">    ('CRM300', 'Other', 'User', 'other@test.com', 0, '6044444444'),</w:t>
        <w:br/>
        <w:t xml:space="preserve">    ('CRM301', 'Owner2', 'User', 'owner2@test.com', 0, '6045555555');</w:t>
        <w:br/>
        <w:br/>
        <w:t xml:space="preserve">  -- 3. Seed Users with Corrected Role Specifications and Linked Keys</w:t>
        <w:br/>
        <w:t xml:space="preserve">  INSERT INTO Users (Username, PasswordHash, Role, CustomerID, TenantId)</w:t>
        <w:br/>
        <w:t xml:space="preserve">  VALUES </w:t>
        <w:br/>
        <w:t xml:space="preserve">    ('admin', '$2a$11$CVy0LpgX98DcfUgfKiQYweHyRX5zLg8f74NnPTNzbaB7dTX4dfdAu', 'Admin', 'CRM001', 1),</w:t>
        <w:br/>
        <w:t xml:space="preserve">    ('qauser', '$2a$11$VudmCpNX1/dNpyWpUJwJ3uI/tXyseOCGj.1yFP9vwEbla4c.17qcy', 'QA', 'CRM100', 1),</w:t>
        <w:br/>
        <w:t xml:space="preserve">    ('michael', '$2a$11$cEqt9HRcapp4ERxKPh7bnOTWFo72a6IhR.5UXslaZCJbfz/kk3uny', 'Customer', 'CRM100', 1),</w:t>
        <w:br/>
        <w:t xml:space="preserve">    ('sarah', '$2a$11$CTGbjzKYsBFyA0qskjP.OboAY/0QQZKFEdgV4ArDK8d4cqn.WCiq', 'Customer', 'CRM101', 1),</w:t>
        <w:br/>
        <w:t xml:space="preserve">    ('owner1', '$2a$11$VudmCpNX1/dNpyWpUJwJ3uI/tXyseOCGj.1yFP9vwEbla4c.17qcy', 'Customer', 'CRM103', 1);</w:t>
        <w:br/>
        <w:br/>
        <w:t xml:space="preserve">  -- 4. Re-establish Corrected Operational Access Mapping Bridges</w:t>
        <w:br/>
        <w:t xml:space="preserve">  INSERT INTO CustomerAccess (Username, CustomerID, Notes)</w:t>
        <w:br/>
        <w:t xml:space="preserve">  VALUES </w:t>
        <w:br/>
        <w:t xml:space="preserve">    ('admin', 'CRM100', NULL),</w:t>
        <w:br/>
        <w:t xml:space="preserve">    ('sarah', 'CRM101', NULL),</w:t>
        <w:br/>
        <w:t xml:space="preserve">    ('owner1', 'CRM103', NULL),</w:t>
        <w:br/>
        <w:t xml:space="preserve">    ('owner1', 'CRM301', NULL),</w:t>
        <w:br/>
        <w:t xml:space="preserve">    ('admin', 'CRM300', NULL),</w:t>
        <w:br/>
        <w:t xml:space="preserve">    ('admin', 'CRM001', NULL);</w:t>
      </w:r>
    </w:p>
    <w:p>
      <w:pPr>
        <w:keepNext/>
        <w:spacing w:before="440" w:after="120"/>
      </w:pPr>
      <w:r>
        <w:rPr>
          <w:b/>
          <w:color w:val="22313F"/>
          <w:sz w:val="32"/>
        </w:rPr>
        <w:t>15. Future Improvements &amp; Advanced Engineering Roadmap (Milestones 5-8)</w:t>
      </w:r>
    </w:p>
    <w:p>
      <w:pPr>
        <w:spacing w:after="120" w:line="276" w:lineRule="auto"/>
      </w:pPr>
      <w:r>
        <w:t>• Milestone 5 (Architecture Separation): Refactor data access code into a clean Service and Repository pattern to separate business logic from EF Core operations.</w:t>
      </w:r>
    </w:p>
    <w:p>
      <w:pPr>
        <w:spacing w:after="120" w:line="276" w:lineRule="auto"/>
      </w:pPr>
      <w:r>
        <w:t>• Milestone 6 (Advanced Validation Schemes): Implement database concurrency handling checks via strict row-versioning tokens.</w:t>
      </w:r>
    </w:p>
    <w:p>
      <w:pPr>
        <w:spacing w:after="120" w:line="276" w:lineRule="auto"/>
      </w:pPr>
      <w:r>
        <w:t>• Milestone 7 (Database Reporting Analytics): Add analytical SQL views to query data sync processing speeds and exception metrics.</w:t>
      </w:r>
    </w:p>
    <w:p>
      <w:pPr>
        <w:spacing w:after="120" w:line="276" w:lineRule="auto"/>
      </w:pPr>
      <w:r>
        <w:t>• Milestone 8 (Technical Portfolio Finalization): Complete multi-layered documentation blocks, technical diagrams, and project demo scripts.</w:t>
      </w:r>
    </w:p>
    <w:p>
      <w:pPr>
        <w:keepNext/>
        <w:spacing w:before="440" w:after="120"/>
      </w:pPr>
      <w:r>
        <w:rPr>
          <w:b/>
          <w:color w:val="22313F"/>
          <w:sz w:val="32"/>
        </w:rPr>
        <w:t>16. Lessons Learned &amp; System Architecture Retrospective</w:t>
      </w:r>
    </w:p>
    <w:p>
      <w:pPr>
        <w:spacing w:after="120" w:line="276" w:lineRule="auto"/>
      </w:pPr>
      <w:r>
        <w:t>• Automated data state cleanup prevents downstream test failures. Implementing structured, repeatable seeding routines eliminates data drift across integration checks.</w:t>
      </w:r>
    </w:p>
    <w:p>
      <w:pPr>
        <w:spacing w:after="120" w:line="276" w:lineRule="auto"/>
      </w:pPr>
      <w:r>
        <w:t>• Separating domain identity tables from application access tables ensures security compliance and allows the system to easily adapt to audit modifications.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