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40"/>
        <w:jc w:val="center"/>
      </w:pPr>
      <w:r>
        <w:rPr>
          <w:b/>
          <w:color w:val="1F3A56"/>
          <w:sz w:val="48"/>
        </w:rPr>
        <w:t>DEMOERP ENTERPRISE API PROJECT</w:t>
      </w:r>
    </w:p>
    <w:p>
      <w:pPr>
        <w:spacing w:after="800"/>
        <w:jc w:val="center"/>
      </w:pPr>
      <w:r>
        <w:rPr>
          <w:color w:val="466E91"/>
          <w:sz w:val="28"/>
        </w:rPr>
        <w:t>System Design Document (SDD) — Advanced Edition v4.7</w:t>
        <w:br/>
        <w:t>Enhanced Visual Architecture &amp; Multi-Layer System Data Models</w:t>
      </w:r>
    </w:p>
    <w:p>
      <w:pPr>
        <w:spacing w:before="3600"/>
        <w:jc w:val="center"/>
      </w:pPr>
      <w:r>
        <w:rPr>
          <w:b/>
        </w:rPr>
        <w:t>Prepared by: Software Engineer &amp; Technical Data Analyst Portfolio</w:t>
        <w:br/>
      </w:r>
      <w:r>
        <w:t>Project Target: System Architecture, Database Topology &amp; QA Verification Tracing</w:t>
        <w:br/>
        <w:t>Date: July 09, 2026</w:t>
        <w:br/>
        <w:t>Format: Enterprise Solutions Engineering Document</w:t>
      </w:r>
    </w:p>
    <w:p>
      <w:r>
        <w:br w:type="page"/>
      </w:r>
    </w:p>
    <w:p>
      <w:pPr>
        <w:keepNext/>
        <w:spacing w:before="440" w:after="120"/>
      </w:pPr>
      <w:r>
        <w:rPr>
          <w:rFonts w:ascii="Calibri" w:hAnsi="Calibri"/>
          <w:b/>
          <w:color w:val="1F3A56"/>
          <w:sz w:val="32"/>
        </w:rPr>
        <w:t>Table of Contents</w:t>
      </w:r>
    </w:p>
    <w:p>
      <w:pPr>
        <w:spacing w:after="120" w:line="276" w:lineRule="auto"/>
      </w:pPr>
      <w:r>
        <w:rPr>
          <w:b w:val="0"/>
        </w:rPr>
        <w:t>1. Executive Summary</w:t>
        <w:br/>
        <w:t>2. Business Objectives &amp; Data Governance Mapping</w:t>
        <w:br/>
        <w:t>3. Functional Requirements Specification Table</w:t>
        <w:br/>
        <w:t>4. Non-functional Requirements &amp; Operational Performance Metrics</w:t>
        <w:br/>
        <w:t>5. Solution Technology Stack Matrix</w:t>
        <w:br/>
        <w:t>6. Component Architecture &amp; System Design Workflows</w:t>
        <w:br/>
        <w:t>7. Database Design, Logical Schema &amp; Table Topography</w:t>
        <w:br/>
        <w:t>8. Security Design &amp; Perimeter Protection Policies</w:t>
        <w:br/>
        <w:t>9. Enterprise Business Logic Rules</w:t>
        <w:br/>
        <w:t>10. Cryptographic Token Authentication Schema</w:t>
        <w:br/>
        <w:t>11. Role-Based Access Control (RBAC) Authorization Matrix</w:t>
        <w:br/>
        <w:t>12. Input Schema Struct Validation &amp; Model Binding</w:t>
        <w:br/>
        <w:t>13. Global Exception Filters &amp; Unified Problem Details</w:t>
        <w:br/>
        <w:t>14. Automated Quality Harness &amp; System Integration Test Strategy</w:t>
        <w:br/>
        <w:t>15. Technical Roadmap &amp; Milestone Extensions (Milestones 5-8)</w:t>
        <w:br/>
        <w:t>16. Project Retrospective &amp; Solutions Architectural Lessons Learned</w:t>
      </w:r>
    </w:p>
    <w:p>
      <w:r>
        <w:br w:type="page"/>
      </w:r>
    </w:p>
    <w:p>
      <w:pPr>
        <w:keepNext/>
        <w:spacing w:before="440" w:after="120"/>
      </w:pPr>
      <w:r>
        <w:rPr>
          <w:rFonts w:ascii="Calibri" w:hAnsi="Calibri"/>
          <w:b/>
          <w:color w:val="1F3A56"/>
          <w:sz w:val="32"/>
        </w:rPr>
        <w:t>1. Executive Summary</w:t>
      </w:r>
    </w:p>
    <w:p>
      <w:pPr>
        <w:spacing w:after="120" w:line="276" w:lineRule="auto"/>
      </w:pPr>
      <w:r>
        <w:rPr>
          <w:b w:val="0"/>
        </w:rPr>
        <w:t>This Advanced System Design Document (SDD) outlines the technical architecture, data processing workflows, and verification models for the DemoERP Customer Management API module. Fulfilling the precise technical documentation standards of an enterprise platform, this artifact maps business imperatives directly to software implementation layers and automated xUnit verification matrices. Through clear visual models and clean structure, this document highlights architectural capability, pipeline security enforcement, and database structure suitable for Senior Software Engineer and Data Analyst interview reviews.</w:t>
      </w:r>
    </w:p>
    <w:p>
      <w:pPr>
        <w:keepNext/>
        <w:spacing w:before="440" w:after="120"/>
      </w:pPr>
      <w:r>
        <w:rPr>
          <w:rFonts w:ascii="Calibri" w:hAnsi="Calibri"/>
          <w:b/>
          <w:color w:val="1F3A56"/>
          <w:sz w:val="32"/>
        </w:rPr>
        <w:t>2. Business Objectives &amp; Data Governance Mapping</w:t>
      </w:r>
    </w:p>
    <w:p>
      <w:pPr>
        <w:spacing w:after="120" w:line="276" w:lineRule="auto"/>
      </w:pPr>
      <w:r>
        <w:rPr>
          <w:b w:val="0"/>
        </w:rPr>
        <w:t>The operational infrastructure guarantees data reliability, multi-tenant isolation, and strict verification predictability:</w:t>
      </w:r>
    </w:p>
    <w:p>
      <w:pPr>
        <w:pStyle w:val="ListBullet"/>
      </w:pPr>
      <w:r>
        <w:rPr>
          <w:b/>
        </w:rPr>
        <w:t xml:space="preserve">Data Quality Boundaries: </w:t>
      </w:r>
      <w:r>
        <w:t>Prevent malformed or duplicate telemetry from modifying persistent store records using structural pipeline guards.</w:t>
      </w:r>
    </w:p>
    <w:p>
      <w:pPr>
        <w:pStyle w:val="ListBullet"/>
      </w:pPr>
      <w:r>
        <w:rPr>
          <w:b/>
        </w:rPr>
        <w:t xml:space="preserve">Analytical Continuity: </w:t>
      </w:r>
      <w:r>
        <w:t>Maintain complete record history via historical soft-deletion models, ensuring auditability for data warehouse extraction loops.</w:t>
      </w:r>
    </w:p>
    <w:p>
      <w:pPr>
        <w:keepNext/>
        <w:spacing w:before="440" w:after="120"/>
      </w:pPr>
      <w:r>
        <w:rPr>
          <w:rFonts w:ascii="Calibri" w:hAnsi="Calibri"/>
          <w:b/>
          <w:color w:val="1F3A56"/>
          <w:sz w:val="32"/>
        </w:rPr>
        <w:t>3. Functional Requirements Specification Table</w:t>
      </w:r>
    </w:p>
    <w:p>
      <w:pPr>
        <w:spacing w:after="120" w:line="276" w:lineRule="auto"/>
      </w:pPr>
      <w:r>
        <w:rPr>
          <w:b w:val="0"/>
        </w:rPr>
        <w:t>The underlying system architecture satisfies the core functional requirements defined below for the Milestone 4.7 deployment:</w:t>
      </w:r>
    </w:p>
    <w:tbl>
      <w:tblPr>
        <w:tblW w:type="auto" w:w="0"/>
        <w:jc w:val="center"/>
        <w:tblLook w:firstColumn="1" w:firstRow="1" w:lastColumn="0" w:lastRow="0" w:noHBand="0" w:noVBand="1" w:val="04A0"/>
      </w:tblPr>
      <w:tblGrid>
        <w:gridCol w:w="2340"/>
        <w:gridCol w:w="2340"/>
        <w:gridCol w:w="2340"/>
        <w:gridCol w:w="2340"/>
      </w:tblGrid>
      <w:tr>
        <w:tc>
          <w:tcPr>
            <w:tcW w:type="dxa" w:w="2340"/>
            <w:shd w:fill="1F3A56"/>
            <w:tcMar>
              <w:top w:w="120" w:type="dxa"/>
              <w:bottom w:w="120" w:type="dxa"/>
              <w:left w:w="150" w:type="dxa"/>
              <w:right w:w="150" w:type="dxa"/>
            </w:tcMar>
          </w:tcPr>
          <w:p>
            <w:pPr>
              <w:jc w:val="left"/>
            </w:pPr>
            <w:r>
              <w:rPr>
                <w:b/>
                <w:color w:val="FFFFFF"/>
                <w:sz w:val="20"/>
              </w:rPr>
              <w:t>ID</w:t>
            </w:r>
          </w:p>
        </w:tc>
        <w:tc>
          <w:tcPr>
            <w:tcW w:type="dxa" w:w="2340"/>
            <w:shd w:fill="1F3A56"/>
            <w:tcMar>
              <w:top w:w="120" w:type="dxa"/>
              <w:bottom w:w="120" w:type="dxa"/>
              <w:left w:w="150" w:type="dxa"/>
              <w:right w:w="150" w:type="dxa"/>
            </w:tcMar>
          </w:tcPr>
          <w:p>
            <w:pPr>
              <w:jc w:val="left"/>
            </w:pPr>
            <w:r>
              <w:rPr>
                <w:b/>
                <w:color w:val="FFFFFF"/>
                <w:sz w:val="20"/>
              </w:rPr>
              <w:t>System Domain</w:t>
            </w:r>
          </w:p>
        </w:tc>
        <w:tc>
          <w:tcPr>
            <w:tcW w:type="dxa" w:w="2340"/>
            <w:shd w:fill="1F3A56"/>
            <w:tcMar>
              <w:top w:w="120" w:type="dxa"/>
              <w:bottom w:w="120" w:type="dxa"/>
              <w:left w:w="150" w:type="dxa"/>
              <w:right w:w="150" w:type="dxa"/>
            </w:tcMar>
          </w:tcPr>
          <w:p>
            <w:pPr>
              <w:jc w:val="left"/>
            </w:pPr>
            <w:r>
              <w:rPr>
                <w:b/>
                <w:color w:val="FFFFFF"/>
                <w:sz w:val="20"/>
              </w:rPr>
              <w:t>Functional Requirement Description</w:t>
            </w:r>
          </w:p>
        </w:tc>
        <w:tc>
          <w:tcPr>
            <w:tcW w:type="dxa" w:w="2340"/>
            <w:shd w:fill="1F3A56"/>
            <w:tcMar>
              <w:top w:w="120" w:type="dxa"/>
              <w:bottom w:w="120" w:type="dxa"/>
              <w:left w:w="150" w:type="dxa"/>
              <w:right w:w="150" w:type="dxa"/>
            </w:tcMar>
          </w:tcPr>
          <w:p>
            <w:pPr>
              <w:jc w:val="left"/>
            </w:pPr>
            <w:r>
              <w:rPr>
                <w:b/>
                <w:color w:val="FFFFFF"/>
                <w:sz w:val="20"/>
              </w:rPr>
              <w:t>Priority</w:t>
            </w:r>
          </w:p>
        </w:tc>
      </w:tr>
      <w:tr>
        <w:tc>
          <w:tcPr>
            <w:tcW w:type="dxa" w:w="2340"/>
            <w:shd w:fill="FFFFFF"/>
            <w:tcMar>
              <w:top w:w="120" w:type="dxa"/>
              <w:bottom w:w="120" w:type="dxa"/>
              <w:left w:w="150" w:type="dxa"/>
              <w:right w:w="150" w:type="dxa"/>
            </w:tcMar>
          </w:tcPr>
          <w:p>
            <w:r>
              <w:rPr>
                <w:color w:val="2D3741"/>
                <w:sz w:val="19"/>
              </w:rPr>
              <w:t>BR-AUTH</w:t>
            </w:r>
          </w:p>
        </w:tc>
        <w:tc>
          <w:tcPr>
            <w:tcW w:type="dxa" w:w="2340"/>
            <w:shd w:fill="FFFFFF"/>
            <w:tcMar>
              <w:top w:w="120" w:type="dxa"/>
              <w:bottom w:w="120" w:type="dxa"/>
              <w:left w:w="150" w:type="dxa"/>
              <w:right w:w="150" w:type="dxa"/>
            </w:tcMar>
          </w:tcPr>
          <w:p>
            <w:r>
              <w:rPr>
                <w:color w:val="2D3741"/>
                <w:sz w:val="19"/>
              </w:rPr>
              <w:t>Authentication</w:t>
            </w:r>
          </w:p>
        </w:tc>
        <w:tc>
          <w:tcPr>
            <w:tcW w:type="dxa" w:w="2340"/>
            <w:shd w:fill="FFFFFF"/>
            <w:tcMar>
              <w:top w:w="120" w:type="dxa"/>
              <w:bottom w:w="120" w:type="dxa"/>
              <w:left w:w="150" w:type="dxa"/>
              <w:right w:w="150" w:type="dxa"/>
            </w:tcMar>
          </w:tcPr>
          <w:p>
            <w:r>
              <w:rPr>
                <w:color w:val="2D3741"/>
                <w:sz w:val="19"/>
              </w:rPr>
              <w:t>The login endpoint shall authenticate valid credentials and reject invalid or malformed requests.</w:t>
            </w:r>
          </w:p>
        </w:tc>
        <w:tc>
          <w:tcPr>
            <w:tcW w:type="dxa" w:w="2340"/>
            <w:shd w:fill="FFFFFF"/>
            <w:tcMar>
              <w:top w:w="120" w:type="dxa"/>
              <w:bottom w:w="120" w:type="dxa"/>
              <w:left w:w="150" w:type="dxa"/>
              <w:right w:w="150" w:type="dxa"/>
            </w:tcMar>
          </w:tcPr>
          <w:p>
            <w:r>
              <w:rPr>
                <w:color w:val="2D3741"/>
                <w:sz w:val="19"/>
              </w:rPr>
              <w:t>High</w:t>
            </w:r>
          </w:p>
        </w:tc>
      </w:tr>
      <w:tr>
        <w:tc>
          <w:tcPr>
            <w:tcW w:type="dxa" w:w="2340"/>
            <w:shd w:fill="F4F7FA"/>
            <w:tcMar>
              <w:top w:w="120" w:type="dxa"/>
              <w:bottom w:w="120" w:type="dxa"/>
              <w:left w:w="150" w:type="dxa"/>
              <w:right w:w="150" w:type="dxa"/>
            </w:tcMar>
          </w:tcPr>
          <w:p>
            <w:r>
              <w:rPr>
                <w:color w:val="2D3741"/>
                <w:sz w:val="19"/>
              </w:rPr>
              <w:t>BR-SEC</w:t>
            </w:r>
          </w:p>
        </w:tc>
        <w:tc>
          <w:tcPr>
            <w:tcW w:type="dxa" w:w="2340"/>
            <w:shd w:fill="F4F7FA"/>
            <w:tcMar>
              <w:top w:w="120" w:type="dxa"/>
              <w:bottom w:w="120" w:type="dxa"/>
              <w:left w:w="150" w:type="dxa"/>
              <w:right w:w="150" w:type="dxa"/>
            </w:tcMar>
          </w:tcPr>
          <w:p>
            <w:r>
              <w:rPr>
                <w:color w:val="2D3741"/>
                <w:sz w:val="19"/>
              </w:rPr>
              <w:t>Authorization</w:t>
            </w:r>
          </w:p>
        </w:tc>
        <w:tc>
          <w:tcPr>
            <w:tcW w:type="dxa" w:w="2340"/>
            <w:shd w:fill="F4F7FA"/>
            <w:tcMar>
              <w:top w:w="120" w:type="dxa"/>
              <w:bottom w:w="120" w:type="dxa"/>
              <w:left w:w="150" w:type="dxa"/>
              <w:right w:w="150" w:type="dxa"/>
            </w:tcMar>
          </w:tcPr>
          <w:p>
            <w:r>
              <w:rPr>
                <w:color w:val="2D3741"/>
                <w:sz w:val="19"/>
              </w:rPr>
              <w:t>Protected endpoints shall require a valid JWT. Only supported roles (admin, qa, customer) may access the API; null, Anonymous, or unsupported roles are denied.</w:t>
            </w:r>
          </w:p>
        </w:tc>
        <w:tc>
          <w:tcPr>
            <w:tcW w:type="dxa" w:w="2340"/>
            <w:shd w:fill="F4F7FA"/>
            <w:tcMar>
              <w:top w:w="120" w:type="dxa"/>
              <w:bottom w:w="120" w:type="dxa"/>
              <w:left w:w="150" w:type="dxa"/>
              <w:right w:w="150" w:type="dxa"/>
            </w:tcMar>
          </w:tcPr>
          <w:p>
            <w:r>
              <w:rPr>
                <w:color w:val="2D3741"/>
                <w:sz w:val="19"/>
              </w:rPr>
              <w:t>Critical</w:t>
            </w:r>
          </w:p>
        </w:tc>
      </w:tr>
      <w:tr>
        <w:tc>
          <w:tcPr>
            <w:tcW w:type="dxa" w:w="2340"/>
            <w:shd w:fill="FFFFFF"/>
            <w:tcMar>
              <w:top w:w="120" w:type="dxa"/>
              <w:bottom w:w="120" w:type="dxa"/>
              <w:left w:w="150" w:type="dxa"/>
              <w:right w:w="150" w:type="dxa"/>
            </w:tcMar>
          </w:tcPr>
          <w:p>
            <w:r>
              <w:rPr>
                <w:color w:val="2D3741"/>
                <w:sz w:val="19"/>
              </w:rPr>
              <w:t>BR-GET</w:t>
            </w:r>
          </w:p>
        </w:tc>
        <w:tc>
          <w:tcPr>
            <w:tcW w:type="dxa" w:w="2340"/>
            <w:shd w:fill="FFFFFF"/>
            <w:tcMar>
              <w:top w:w="120" w:type="dxa"/>
              <w:bottom w:w="120" w:type="dxa"/>
              <w:left w:w="150" w:type="dxa"/>
              <w:right w:w="150" w:type="dxa"/>
            </w:tcMar>
          </w:tcPr>
          <w:p>
            <w:r>
              <w:rPr>
                <w:color w:val="2D3741"/>
                <w:sz w:val="19"/>
              </w:rPr>
              <w:t>Customer Retrieval</w:t>
            </w:r>
          </w:p>
        </w:tc>
        <w:tc>
          <w:tcPr>
            <w:tcW w:type="dxa" w:w="2340"/>
            <w:shd w:fill="FFFFFF"/>
            <w:tcMar>
              <w:top w:w="120" w:type="dxa"/>
              <w:bottom w:w="120" w:type="dxa"/>
              <w:left w:w="150" w:type="dxa"/>
              <w:right w:w="150" w:type="dxa"/>
            </w:tcMar>
          </w:tcPr>
          <w:p>
            <w:r>
              <w:rPr>
                <w:color w:val="2D3741"/>
                <w:sz w:val="19"/>
              </w:rPr>
              <w:t>Admin can read any customer; QA can read customers within assignment/ownership rules; customer can read only own record.</w:t>
            </w:r>
          </w:p>
        </w:tc>
        <w:tc>
          <w:tcPr>
            <w:tcW w:type="dxa" w:w="2340"/>
            <w:shd w:fill="FFFFFF"/>
            <w:tcMar>
              <w:top w:w="120" w:type="dxa"/>
              <w:bottom w:w="120" w:type="dxa"/>
              <w:left w:w="150" w:type="dxa"/>
              <w:right w:w="150" w:type="dxa"/>
            </w:tcMar>
          </w:tcPr>
          <w:p>
            <w:r>
              <w:rPr>
                <w:color w:val="2D3741"/>
                <w:sz w:val="19"/>
              </w:rPr>
              <w:t>Critical</w:t>
            </w:r>
          </w:p>
        </w:tc>
      </w:tr>
      <w:tr>
        <w:tc>
          <w:tcPr>
            <w:tcW w:type="dxa" w:w="2340"/>
            <w:shd w:fill="F4F7FA"/>
            <w:tcMar>
              <w:top w:w="120" w:type="dxa"/>
              <w:bottom w:w="120" w:type="dxa"/>
              <w:left w:w="150" w:type="dxa"/>
              <w:right w:w="150" w:type="dxa"/>
            </w:tcMar>
          </w:tcPr>
          <w:p>
            <w:r>
              <w:rPr>
                <w:color w:val="2D3741"/>
                <w:sz w:val="19"/>
              </w:rPr>
              <w:t>BR-UPD</w:t>
            </w:r>
          </w:p>
        </w:tc>
        <w:tc>
          <w:tcPr>
            <w:tcW w:type="dxa" w:w="2340"/>
            <w:shd w:fill="F4F7FA"/>
            <w:tcMar>
              <w:top w:w="120" w:type="dxa"/>
              <w:bottom w:w="120" w:type="dxa"/>
              <w:left w:w="150" w:type="dxa"/>
              <w:right w:w="150" w:type="dxa"/>
            </w:tcMar>
          </w:tcPr>
          <w:p>
            <w:r>
              <w:rPr>
                <w:color w:val="2D3741"/>
                <w:sz w:val="19"/>
              </w:rPr>
              <w:t>Customer Update</w:t>
            </w:r>
          </w:p>
        </w:tc>
        <w:tc>
          <w:tcPr>
            <w:tcW w:type="dxa" w:w="2340"/>
            <w:shd w:fill="F4F7FA"/>
            <w:tcMar>
              <w:top w:w="120" w:type="dxa"/>
              <w:bottom w:w="120" w:type="dxa"/>
              <w:left w:w="150" w:type="dxa"/>
              <w:right w:w="150" w:type="dxa"/>
            </w:tcMar>
          </w:tcPr>
          <w:p>
            <w:r>
              <w:rPr>
                <w:color w:val="2D3741"/>
                <w:sz w:val="19"/>
              </w:rPr>
              <w:t>Admin can update any customer; QA only permitted assigned customers; customer only own profile. Validation failures return 400.</w:t>
            </w:r>
          </w:p>
        </w:tc>
        <w:tc>
          <w:tcPr>
            <w:tcW w:type="dxa" w:w="2340"/>
            <w:shd w:fill="F4F7FA"/>
            <w:tcMar>
              <w:top w:w="120" w:type="dxa"/>
              <w:bottom w:w="120" w:type="dxa"/>
              <w:left w:w="150" w:type="dxa"/>
              <w:right w:w="150" w:type="dxa"/>
            </w:tcMar>
          </w:tcPr>
          <w:p>
            <w:r>
              <w:rPr>
                <w:color w:val="2D3741"/>
                <w:sz w:val="19"/>
              </w:rPr>
              <w:t>Critical</w:t>
            </w:r>
          </w:p>
        </w:tc>
      </w:tr>
      <w:tr>
        <w:tc>
          <w:tcPr>
            <w:tcW w:type="dxa" w:w="2340"/>
            <w:shd w:fill="FFFFFF"/>
            <w:tcMar>
              <w:top w:w="120" w:type="dxa"/>
              <w:bottom w:w="120" w:type="dxa"/>
              <w:left w:w="150" w:type="dxa"/>
              <w:right w:w="150" w:type="dxa"/>
            </w:tcMar>
          </w:tcPr>
          <w:p>
            <w:r>
              <w:rPr>
                <w:color w:val="2D3741"/>
                <w:sz w:val="19"/>
              </w:rPr>
              <w:t>BR-DEL</w:t>
            </w:r>
          </w:p>
        </w:tc>
        <w:tc>
          <w:tcPr>
            <w:tcW w:type="dxa" w:w="2340"/>
            <w:shd w:fill="FFFFFF"/>
            <w:tcMar>
              <w:top w:w="120" w:type="dxa"/>
              <w:bottom w:w="120" w:type="dxa"/>
              <w:left w:w="150" w:type="dxa"/>
              <w:right w:w="150" w:type="dxa"/>
            </w:tcMar>
          </w:tcPr>
          <w:p>
            <w:r>
              <w:rPr>
                <w:color w:val="2D3741"/>
                <w:sz w:val="19"/>
              </w:rPr>
              <w:t>Customer Delete</w:t>
            </w:r>
          </w:p>
        </w:tc>
        <w:tc>
          <w:tcPr>
            <w:tcW w:type="dxa" w:w="2340"/>
            <w:shd w:fill="FFFFFF"/>
            <w:tcMar>
              <w:top w:w="120" w:type="dxa"/>
              <w:bottom w:w="120" w:type="dxa"/>
              <w:left w:w="150" w:type="dxa"/>
              <w:right w:w="150" w:type="dxa"/>
            </w:tcMar>
          </w:tcPr>
          <w:p>
            <w:r>
              <w:rPr>
                <w:color w:val="2D3741"/>
                <w:sz w:val="19"/>
              </w:rPr>
              <w:t>Delete follows role-based access rules and respects not-found/soft-delete behavior.</w:t>
            </w:r>
          </w:p>
        </w:tc>
        <w:tc>
          <w:tcPr>
            <w:tcW w:type="dxa" w:w="2340"/>
            <w:shd w:fill="FFFFFF"/>
            <w:tcMar>
              <w:top w:w="120" w:type="dxa"/>
              <w:bottom w:w="120" w:type="dxa"/>
              <w:left w:w="150" w:type="dxa"/>
              <w:right w:w="150" w:type="dxa"/>
            </w:tcMar>
          </w:tcPr>
          <w:p>
            <w:r>
              <w:rPr>
                <w:color w:val="2D3741"/>
                <w:sz w:val="19"/>
              </w:rPr>
              <w:t>High</w:t>
            </w:r>
          </w:p>
        </w:tc>
      </w:tr>
      <w:tr>
        <w:tc>
          <w:tcPr>
            <w:tcW w:type="dxa" w:w="2340"/>
            <w:shd w:fill="F4F7FA"/>
            <w:tcMar>
              <w:top w:w="120" w:type="dxa"/>
              <w:bottom w:w="120" w:type="dxa"/>
              <w:left w:w="150" w:type="dxa"/>
              <w:right w:w="150" w:type="dxa"/>
            </w:tcMar>
          </w:tcPr>
          <w:p>
            <w:r>
              <w:rPr>
                <w:color w:val="2D3741"/>
                <w:sz w:val="19"/>
              </w:rPr>
              <w:t>BR-SYNC</w:t>
            </w:r>
          </w:p>
        </w:tc>
        <w:tc>
          <w:tcPr>
            <w:tcW w:type="dxa" w:w="2340"/>
            <w:shd w:fill="F4F7FA"/>
            <w:tcMar>
              <w:top w:w="120" w:type="dxa"/>
              <w:bottom w:w="120" w:type="dxa"/>
              <w:left w:w="150" w:type="dxa"/>
              <w:right w:w="150" w:type="dxa"/>
            </w:tcMar>
          </w:tcPr>
          <w:p>
            <w:r>
              <w:rPr>
                <w:color w:val="2D3741"/>
                <w:sz w:val="19"/>
              </w:rPr>
              <w:t>Customer Sync/Create</w:t>
            </w:r>
          </w:p>
        </w:tc>
        <w:tc>
          <w:tcPr>
            <w:tcW w:type="dxa" w:w="2340"/>
            <w:shd w:fill="F4F7FA"/>
            <w:tcMar>
              <w:top w:w="120" w:type="dxa"/>
              <w:bottom w:w="120" w:type="dxa"/>
              <w:left w:w="150" w:type="dxa"/>
              <w:right w:w="150" w:type="dxa"/>
            </w:tcMar>
          </w:tcPr>
          <w:p>
            <w:r>
              <w:rPr>
                <w:color w:val="2D3741"/>
                <w:sz w:val="19"/>
              </w:rPr>
              <w:t>Sync creates or updates according to contract, prevents duplicates/conflicts, and enforces authorization/validation rules.</w:t>
            </w:r>
          </w:p>
        </w:tc>
        <w:tc>
          <w:tcPr>
            <w:tcW w:type="dxa" w:w="2340"/>
            <w:shd w:fill="F4F7FA"/>
            <w:tcMar>
              <w:top w:w="120" w:type="dxa"/>
              <w:bottom w:w="120" w:type="dxa"/>
              <w:left w:w="150" w:type="dxa"/>
              <w:right w:w="150" w:type="dxa"/>
            </w:tcMar>
          </w:tcPr>
          <w:p>
            <w:r>
              <w:rPr>
                <w:color w:val="2D3741"/>
                <w:sz w:val="19"/>
              </w:rPr>
              <w:t>Critical</w:t>
            </w:r>
          </w:p>
        </w:tc>
      </w:tr>
    </w:tbl>
    <w:p>
      <w:pPr>
        <w:keepNext/>
        <w:spacing w:before="440" w:after="120"/>
      </w:pPr>
      <w:r>
        <w:rPr>
          <w:rFonts w:ascii="Calibri" w:hAnsi="Calibri"/>
          <w:b/>
          <w:color w:val="1F3A56"/>
          <w:sz w:val="32"/>
        </w:rPr>
        <w:t>4. Non-functional Requirements &amp; Operational Performance Metrics</w:t>
      </w:r>
    </w:p>
    <w:p>
      <w:pPr>
        <w:spacing w:after="120" w:line="276" w:lineRule="auto"/>
      </w:pPr>
      <w:r>
        <w:rPr>
          <w:b w:val="0"/>
        </w:rPr>
        <w:t>• Performance Latency SLA: 95% of standard profile retrievals and bulk updates must evaluate within ≤ 200ms bounds.</w:t>
      </w:r>
    </w:p>
    <w:p>
      <w:pPr>
        <w:spacing w:after="120" w:line="276" w:lineRule="auto"/>
      </w:pPr>
      <w:r>
        <w:rPr>
          <w:b w:val="0"/>
        </w:rPr>
        <w:t>• ACID Isolation Compliance: All transactional updates execute within database unit-of-work boundaries managed by EF Core.</w:t>
      </w:r>
    </w:p>
    <w:p>
      <w:pPr>
        <w:spacing w:after="120" w:line="276" w:lineRule="auto"/>
      </w:pPr>
      <w:r>
        <w:rPr>
          <w:b w:val="0"/>
        </w:rPr>
        <w:t>• Structured Observability: Emit standardized JSON logs across all middleware blocks to enable log harvesting streams.</w:t>
      </w:r>
    </w:p>
    <w:p>
      <w:pPr>
        <w:keepNext/>
        <w:spacing w:before="440" w:after="120"/>
      </w:pPr>
      <w:r>
        <w:rPr>
          <w:rFonts w:ascii="Calibri" w:hAnsi="Calibri"/>
          <w:b/>
          <w:color w:val="1F3A56"/>
          <w:sz w:val="32"/>
        </w:rPr>
        <w:t>5. Solution Technology Stack Matrix</w:t>
      </w:r>
    </w:p>
    <w:p>
      <w:pPr>
        <w:spacing w:after="120" w:line="276" w:lineRule="auto"/>
      </w:pPr>
      <w:r>
        <w:rPr>
          <w:b w:val="0"/>
        </w:rPr>
        <w:t>• Application Core Platform: ASP.NET Core Minimal/Controller API Framework (.NET 8.0/9.0 Environments)</w:t>
      </w:r>
    </w:p>
    <w:p>
      <w:pPr>
        <w:spacing w:after="120" w:line="276" w:lineRule="auto"/>
      </w:pPr>
      <w:r>
        <w:rPr>
          <w:b w:val="0"/>
        </w:rPr>
        <w:t>• Object Relational Mapping: Entity Framework Core running LINQ mappings to relational SQL server instances</w:t>
      </w:r>
    </w:p>
    <w:p>
      <w:pPr>
        <w:spacing w:after="120" w:line="276" w:lineRule="auto"/>
      </w:pPr>
      <w:r>
        <w:rPr>
          <w:b w:val="0"/>
        </w:rPr>
        <w:t>• Automation Quality Harness: xUnit suite integrated with FluentAssertions and Microsoft WebApplicationFactory orchestration libraries</w:t>
      </w:r>
    </w:p>
    <w:p>
      <w:pPr>
        <w:keepNext/>
        <w:spacing w:before="440" w:after="120"/>
      </w:pPr>
      <w:r>
        <w:rPr>
          <w:rFonts w:ascii="Calibri" w:hAnsi="Calibri"/>
          <w:b/>
          <w:color w:val="1F3A56"/>
          <w:sz w:val="32"/>
        </w:rPr>
        <w:t>6. Component Architecture &amp; System Design Workflows</w:t>
      </w:r>
    </w:p>
    <w:p>
      <w:pPr>
        <w:spacing w:after="120" w:line="276" w:lineRule="auto"/>
      </w:pPr>
      <w:r>
        <w:rPr>
          <w:b w:val="0"/>
        </w:rPr>
        <w:t>The multi-layered system structure cleanly decouples external input filters from backend core business layers. The request workflow and process boundary layout follows the structural mapping below:</w:t>
      </w:r>
    </w:p>
    <w:p>
      <w:pPr>
        <w:keepNext/>
        <w:spacing w:before="280" w:after="80"/>
      </w:pPr>
      <w:r>
        <w:rPr>
          <w:rFonts w:ascii="Calibri" w:hAnsi="Calibri"/>
          <w:b/>
          <w:color w:val="466E91"/>
          <w:sz w:val="26"/>
        </w:rPr>
        <w:t>6.1 Dynamic Request Processing Workflow Pipeline</w:t>
      </w:r>
    </w:p>
    <w:p>
      <w:pPr>
        <w:spacing w:after="80" w:before="80"/>
        <w:ind w:left="360"/>
      </w:pPr>
      <w:r>
        <w:rPr>
          <w:rFonts w:ascii="Consolas" w:hAnsi="Consolas"/>
          <w:color w:val="1E2832"/>
          <w:sz w:val="19"/>
        </w:rPr>
        <w:t xml:space="preserve"> [Client Application] </w:t>
        <w:br/>
        <w:t xml:space="preserve">         │ (HTTP Request Payload with JWT Banner Header)</w:t>
        <w:br/>
        <w:t xml:space="preserve">         ▼</w:t>
        <w:br/>
        <w:t xml:space="preserve"> ┌────────────────────────────────────────────────────────┐</w:t>
        <w:br/>
        <w:t xml:space="preserve"> │ 1. Global Exception Handler &amp; RFC 7807 Middleware       │</w:t>
        <w:br/>
        <w:t xml:space="preserve"> └───────────────────────┬────────────────────────────────┘</w:t>
        <w:br/>
        <w:t xml:space="preserve">                         │ (If runtime is stable)</w:t>
        <w:br/>
        <w:t xml:space="preserve">                         ▼</w:t>
        <w:br/>
        <w:t xml:space="preserve"> ┌────────────────────────────────────────────────────────┐</w:t>
        <w:br/>
        <w:t xml:space="preserve"> │ 2. JWT Cryptographic Token Signature Authenticator     │</w:t>
        <w:br/>
        <w:t xml:space="preserve"> └───────────────────────┬────────────────────────────────┘</w:t>
        <w:br/>
        <w:t xml:space="preserve">                         │ (If Token Signature is verified)</w:t>
        <w:br/>
        <w:t xml:space="preserve">                         ▼</w:t>
        <w:br/>
        <w:t xml:space="preserve"> ┌────────────────────────────────────────────────────────┐</w:t>
        <w:br/>
        <w:t xml:space="preserve"> │ 3. FluentValidation Payload Schema Guard               │</w:t>
        <w:br/>
        <w:t xml:space="preserve"> └───────────────────────┬────────────────────────────────┘</w:t>
        <w:br/>
        <w:t xml:space="preserve">                         │ (If Model Struct binding passes)</w:t>
        <w:br/>
        <w:t xml:space="preserve">                         ▼</w:t>
        <w:br/>
        <w:t xml:space="preserve"> ┌────────────────────────────────────────────────────────┐</w:t>
        <w:br/>
        <w:t xml:space="preserve"> │ 4. Domain Controller / Business Logic Layer Services   │</w:t>
        <w:br/>
        <w:t xml:space="preserve"> └───────────────────────┬────────────────────────────────┘</w:t>
        <w:br/>
        <w:t xml:space="preserve">                         │ (If RBAC rules permit operation)</w:t>
        <w:br/>
        <w:t xml:space="preserve">                         ▼</w:t>
        <w:br/>
        <w:t xml:space="preserve"> ┌────────────────────────────────────────────────────────┐</w:t>
        <w:br/>
        <w:t xml:space="preserve"> │ 5. Entity Framework Core Unit of Work Repository       │</w:t>
        <w:br/>
        <w:t xml:space="preserve"> └───────────────────────┬────────────────────────────────┘</w:t>
        <w:br/>
        <w:t xml:space="preserve">                         │ (Executes safe transaction mapping)</w:t>
        <w:br/>
        <w:t xml:space="preserve">                         ▼</w:t>
        <w:br/>
        <w:t xml:space="preserve"> [Relational SQL Server Engine Instance Data Columns]</w:t>
      </w:r>
    </w:p>
    <w:p>
      <w:pPr>
        <w:keepNext/>
        <w:spacing w:before="280" w:after="80"/>
      </w:pPr>
      <w:r>
        <w:rPr>
          <w:rFonts w:ascii="Calibri" w:hAnsi="Calibri"/>
          <w:b/>
          <w:color w:val="466E91"/>
          <w:sz w:val="26"/>
        </w:rPr>
        <w:t>6.2 Multi-Layer Project Workspace Directory Structure</w:t>
      </w:r>
    </w:p>
    <w:p>
      <w:pPr>
        <w:spacing w:after="120" w:line="276" w:lineRule="auto"/>
      </w:pPr>
      <w:r>
        <w:rPr>
          <w:b w:val="0"/>
        </w:rPr>
        <w:t>To support code maintainability, project files are organized into decoupled operational directory layers:</w:t>
      </w:r>
    </w:p>
    <w:p>
      <w:pPr>
        <w:spacing w:after="80" w:before="80"/>
        <w:ind w:left="360"/>
      </w:pPr>
      <w:r>
        <w:rPr>
          <w:rFonts w:ascii="Consolas" w:hAnsi="Consolas"/>
          <w:color w:val="1E2832"/>
          <w:sz w:val="19"/>
        </w:rPr>
        <w:t xml:space="preserve"> DemoERP.Solution/</w:t>
        <w:br/>
        <w:t xml:space="preserve"> ├── DemoERP.Api/                   # Presentation Edge Interface Layer</w:t>
        <w:br/>
        <w:t xml:space="preserve"> │   ├── Controllers/               # API Routing Handlers</w:t>
        <w:br/>
        <w:t xml:space="preserve"> │   ├── Middleware/                # Exception Catchers &amp; Token Evaluators</w:t>
        <w:br/>
        <w:t xml:space="preserve"> │   └── Program.cs                 # Root IoC Container Bootstrapper</w:t>
        <w:br/>
        <w:t xml:space="preserve"> ├── DemoERP.Core/                  # Business Domain Entities &amp; Logic</w:t>
        <w:br/>
        <w:t xml:space="preserve"> │   ├── Models/                    # Database Mapping POCO Schema Models</w:t>
        <w:br/>
        <w:t xml:space="preserve"> │   ├── Services/                  # Business Logic Operators</w:t>
        <w:br/>
        <w:t xml:space="preserve"> │   └── Validators/                # FluentValidation Contract Structs</w:t>
        <w:br/>
        <w:t xml:space="preserve"> └── DemoERP.Tests/                 # Automation Test Project Suite</w:t>
        <w:br/>
        <w:t xml:space="preserve">     ├── AuthTests.cs               # Login Route Validation Paths</w:t>
        <w:br/>
        <w:t xml:space="preserve">     ├── SecurityTests.cs           # Token &amp; Perimeter Protection Scenarios</w:t>
        <w:br/>
        <w:t xml:space="preserve">     └── CustomerSyncTests.cs       # Record Synchronization Loop Asserts</w:t>
      </w:r>
    </w:p>
    <w:p>
      <w:pPr>
        <w:keepNext/>
        <w:spacing w:before="440" w:after="120"/>
      </w:pPr>
      <w:r>
        <w:rPr>
          <w:rFonts w:ascii="Calibri" w:hAnsi="Calibri"/>
          <w:b/>
          <w:color w:val="1F3A56"/>
          <w:sz w:val="32"/>
        </w:rPr>
        <w:t>7. Database Design, Logical Schema &amp; Table Topography</w:t>
      </w:r>
    </w:p>
    <w:p>
      <w:pPr>
        <w:spacing w:after="120" w:line="276" w:lineRule="auto"/>
      </w:pPr>
      <w:r>
        <w:rPr>
          <w:b w:val="0"/>
        </w:rPr>
        <w:t>The relational schema isolates core tables to maintain historical tracking information. For Milestone 4.7, customer profiles use a soft-delete architecture model to preserve historical transaction chains.</w:t>
      </w:r>
    </w:p>
    <w:p>
      <w:pPr>
        <w:keepNext/>
        <w:spacing w:before="280" w:after="80"/>
      </w:pPr>
      <w:r>
        <w:rPr>
          <w:rFonts w:ascii="Calibri" w:hAnsi="Calibri"/>
          <w:b/>
          <w:color w:val="466E91"/>
          <w:sz w:val="26"/>
        </w:rPr>
        <w:t>7.1 Relational Table Schema Structure</w:t>
      </w:r>
    </w:p>
    <w:p>
      <w:pPr>
        <w:spacing w:after="80" w:before="80"/>
        <w:ind w:left="360"/>
      </w:pPr>
      <w:r>
        <w:rPr>
          <w:rFonts w:ascii="Consolas" w:hAnsi="Consolas"/>
          <w:color w:val="1E2832"/>
          <w:sz w:val="19"/>
        </w:rPr>
        <w:t xml:space="preserve">  ┌─────────────────────────────────┐           ┌─────────────────────────────────┐</w:t>
        <w:br/>
        <w:t xml:space="preserve">  │           Users Table           │           │         Customers Table         │</w:t>
        <w:br/>
        <w:t xml:space="preserve">  ├─────────────────────────────────┤           ├─────────────────────────────────┤</w:t>
        <w:br/>
        <w:t xml:space="preserve">  │ PK │ Id           (int)         │           │ PK │ Id               (int)     │</w:t>
        <w:br/>
        <w:t xml:space="preserve">  │    │ Username     (varchar)     │           │    │ CRMCustomerID    (guid)    │</w:t>
        <w:br/>
        <w:t xml:space="preserve">  │    │ PasswordHash (varchar)     │           │    │ CompanyName      (varchar) │</w:t>
        <w:br/>
        <w:t xml:space="preserve">  │    │ Role         (varchar)     │◄─────────┼─FK │ AssignedQAUserId (int)     │</w:t>
        <w:br/>
        <w:t xml:space="preserve">  └─────────────────────────────────┘           │    │ Email            (varchar) │</w:t>
        <w:br/>
        <w:t xml:space="preserve">                                                │    │ Phone            (varchar) │</w:t>
        <w:br/>
        <w:t xml:space="preserve">                                                │    │ IsDeleted        (bit)     │</w:t>
        <w:br/>
        <w:t xml:space="preserve">                                                └─────────────────────────────────┘</w:t>
      </w:r>
    </w:p>
    <w:p>
      <w:pPr>
        <w:keepNext/>
        <w:spacing w:before="280" w:after="80"/>
      </w:pPr>
      <w:r>
        <w:rPr>
          <w:rFonts w:ascii="Calibri" w:hAnsi="Calibri"/>
          <w:b/>
          <w:color w:val="466E91"/>
          <w:sz w:val="26"/>
        </w:rPr>
        <w:t>7.2 System Soft-Delete Logical Pipeline Workflow</w:t>
      </w:r>
    </w:p>
    <w:p>
      <w:pPr>
        <w:spacing w:after="120" w:line="276" w:lineRule="auto"/>
      </w:pPr>
      <w:r>
        <w:rPr>
          <w:b w:val="0"/>
        </w:rPr>
        <w:t>When a record delete is initiated, the system executes a soft-delete process flow to safe-keep historical reporting records:</w:t>
      </w:r>
    </w:p>
    <w:p>
      <w:pPr>
        <w:spacing w:after="80" w:before="80"/>
        <w:ind w:left="360"/>
      </w:pPr>
      <w:r>
        <w:rPr>
          <w:rFonts w:ascii="Consolas" w:hAnsi="Consolas"/>
          <w:color w:val="1E2832"/>
          <w:sz w:val="19"/>
        </w:rPr>
        <w:t xml:space="preserve"> [Client Call: HTTP DELETE] -&gt; [Controller Layer] -&gt; [Toggle IsDeleted = 1] -&gt; [Commit EF Context Changes] -&gt; [Persistent SQL Database Row Preserved]</w:t>
      </w:r>
    </w:p>
    <w:p>
      <w:pPr>
        <w:keepNext/>
        <w:spacing w:before="440" w:after="120"/>
      </w:pPr>
      <w:r>
        <w:rPr>
          <w:rFonts w:ascii="Calibri" w:hAnsi="Calibri"/>
          <w:b/>
          <w:color w:val="1F3A56"/>
          <w:sz w:val="32"/>
        </w:rPr>
        <w:t>8. Security Design &amp; Perimeter Protection Policies</w:t>
      </w:r>
    </w:p>
    <w:p>
      <w:pPr>
        <w:spacing w:after="120" w:line="276" w:lineRule="auto"/>
      </w:pPr>
      <w:r>
        <w:rPr>
          <w:b w:val="0"/>
        </w:rPr>
        <w:t>Security design relies on structural payload binding and a defensive gateway perimeter. Strong object mapping blocks SQL injection risks by preventing dynamic string generation. Unauthenticated or anonymous payloads are rejected at the edge middleware boundary before running down-stream functions.</w:t>
      </w:r>
    </w:p>
    <w:p>
      <w:pPr>
        <w:keepNext/>
        <w:spacing w:before="440" w:after="120"/>
      </w:pPr>
      <w:r>
        <w:rPr>
          <w:rFonts w:ascii="Calibri" w:hAnsi="Calibri"/>
          <w:b/>
          <w:color w:val="1F3A56"/>
          <w:sz w:val="32"/>
        </w:rPr>
        <w:t>9. Enterprise Business Logic Rules</w:t>
      </w:r>
    </w:p>
    <w:p>
      <w:pPr>
        <w:spacing w:after="120" w:line="276" w:lineRule="auto"/>
      </w:pPr>
      <w:r>
        <w:rPr>
          <w:b w:val="0"/>
        </w:rPr>
        <w:t>• Spatial Scoped Access: QA operators are constrained from mutating or reading profiles outside their explicit region assignment bounds.</w:t>
      </w:r>
    </w:p>
    <w:p>
      <w:pPr>
        <w:spacing w:after="120" w:line="276" w:lineRule="auto"/>
      </w:pPr>
      <w:r>
        <w:rPr>
          <w:b w:val="0"/>
        </w:rPr>
        <w:t>• Sync Collision Resolution: Incoming integration synchronization records matching existing natural keys trigger a collision evaluation path, returning a 409 Conflict code or executing an update per contract rules.</w:t>
      </w:r>
    </w:p>
    <w:p>
      <w:pPr>
        <w:keepNext/>
        <w:spacing w:before="440" w:after="120"/>
      </w:pPr>
      <w:r>
        <w:rPr>
          <w:rFonts w:ascii="Calibri" w:hAnsi="Calibri"/>
          <w:b/>
          <w:color w:val="1F3A56"/>
          <w:sz w:val="32"/>
        </w:rPr>
        <w:t>10. Cryptographic Token Authentication Schema</w:t>
      </w:r>
    </w:p>
    <w:p>
      <w:pPr>
        <w:spacing w:after="120" w:line="276" w:lineRule="auto"/>
      </w:pPr>
      <w:r>
        <w:rPr>
          <w:b w:val="0"/>
        </w:rPr>
        <w:t>Identity validation demands cryptographically sound tokens using the asymmetric HMAC-SHA256 signature scheme. Requests must include the identity string inside the standard HTTP 'Authorization: Bearer {JWT}' header.</w:t>
      </w:r>
    </w:p>
    <w:p>
      <w:pPr>
        <w:keepNext/>
        <w:spacing w:before="440" w:after="120"/>
      </w:pPr>
      <w:r>
        <w:rPr>
          <w:rFonts w:ascii="Calibri" w:hAnsi="Calibri"/>
          <w:b/>
          <w:color w:val="1F3A56"/>
          <w:sz w:val="32"/>
        </w:rPr>
        <w:t>11. Role-Based Access Control (RBAC) Authorization Matrix</w:t>
      </w:r>
    </w:p>
    <w:p>
      <w:pPr>
        <w:spacing w:after="120" w:line="276" w:lineRule="auto"/>
      </w:pPr>
      <w:r>
        <w:rPr>
          <w:b w:val="0"/>
        </w:rPr>
        <w:t>The following authorization rules regulate endpoint accessibility across system roles:</w:t>
      </w:r>
    </w:p>
    <w:tbl>
      <w:tblPr>
        <w:tblW w:type="auto" w:w="0"/>
        <w:jc w:val="center"/>
        <w:tblLook w:firstColumn="1" w:firstRow="1" w:lastColumn="0" w:lastRow="0" w:noHBand="0" w:noVBand="1" w:val="04A0"/>
      </w:tblPr>
      <w:tblGrid>
        <w:gridCol w:w="2340"/>
        <w:gridCol w:w="2340"/>
        <w:gridCol w:w="2340"/>
        <w:gridCol w:w="2340"/>
      </w:tblGrid>
      <w:tr>
        <w:tc>
          <w:tcPr>
            <w:tcW w:type="dxa" w:w="2340"/>
            <w:shd w:fill="1F3A56"/>
            <w:tcMar>
              <w:top w:w="120" w:type="dxa"/>
              <w:bottom w:w="120" w:type="dxa"/>
              <w:left w:w="150" w:type="dxa"/>
              <w:right w:w="150" w:type="dxa"/>
            </w:tcMar>
          </w:tcPr>
          <w:p>
            <w:pPr>
              <w:jc w:val="left"/>
            </w:pPr>
            <w:r>
              <w:rPr>
                <w:b/>
                <w:color w:val="FFFFFF"/>
                <w:sz w:val="20"/>
              </w:rPr>
              <w:t>Target Endpoint</w:t>
            </w:r>
          </w:p>
        </w:tc>
        <w:tc>
          <w:tcPr>
            <w:tcW w:type="dxa" w:w="2340"/>
            <w:shd w:fill="1F3A56"/>
            <w:tcMar>
              <w:top w:w="120" w:type="dxa"/>
              <w:bottom w:w="120" w:type="dxa"/>
              <w:left w:w="150" w:type="dxa"/>
              <w:right w:w="150" w:type="dxa"/>
            </w:tcMar>
          </w:tcPr>
          <w:p>
            <w:pPr>
              <w:jc w:val="left"/>
            </w:pPr>
            <w:r>
              <w:rPr>
                <w:b/>
                <w:color w:val="FFFFFF"/>
                <w:sz w:val="20"/>
              </w:rPr>
              <w:t>Identity Context</w:t>
            </w:r>
          </w:p>
        </w:tc>
        <w:tc>
          <w:tcPr>
            <w:tcW w:type="dxa" w:w="2340"/>
            <w:shd w:fill="1F3A56"/>
            <w:tcMar>
              <w:top w:w="120" w:type="dxa"/>
              <w:bottom w:w="120" w:type="dxa"/>
              <w:left w:w="150" w:type="dxa"/>
              <w:right w:w="150" w:type="dxa"/>
            </w:tcMar>
          </w:tcPr>
          <w:p>
            <w:pPr>
              <w:jc w:val="left"/>
            </w:pPr>
            <w:r>
              <w:rPr>
                <w:b/>
                <w:color w:val="FFFFFF"/>
                <w:sz w:val="20"/>
              </w:rPr>
              <w:t>Assigned Permission Standard</w:t>
            </w:r>
          </w:p>
        </w:tc>
        <w:tc>
          <w:tcPr>
            <w:tcW w:type="dxa" w:w="2340"/>
            <w:shd w:fill="1F3A56"/>
            <w:tcMar>
              <w:top w:w="120" w:type="dxa"/>
              <w:bottom w:w="120" w:type="dxa"/>
              <w:left w:w="150" w:type="dxa"/>
              <w:right w:w="150" w:type="dxa"/>
            </w:tcMar>
          </w:tcPr>
          <w:p>
            <w:pPr>
              <w:jc w:val="left"/>
            </w:pPr>
            <w:r>
              <w:rPr>
                <w:b/>
                <w:color w:val="FFFFFF"/>
                <w:sz w:val="20"/>
              </w:rPr>
              <w:t>Domain Scope</w:t>
            </w:r>
          </w:p>
        </w:tc>
      </w:tr>
      <w:tr>
        <w:tc>
          <w:tcPr>
            <w:tcW w:type="dxa" w:w="2340"/>
            <w:shd w:fill="FFFFFF"/>
            <w:tcMar>
              <w:top w:w="120" w:type="dxa"/>
              <w:bottom w:w="120" w:type="dxa"/>
              <w:left w:w="150" w:type="dxa"/>
              <w:right w:w="150" w:type="dxa"/>
            </w:tcMar>
          </w:tcPr>
          <w:p>
            <w:r>
              <w:rPr>
                <w:color w:val="2D3741"/>
                <w:sz w:val="19"/>
              </w:rPr>
              <w:t>/api/auth/login</w:t>
            </w:r>
          </w:p>
        </w:tc>
        <w:tc>
          <w:tcPr>
            <w:tcW w:type="dxa" w:w="2340"/>
            <w:shd w:fill="FFFFFF"/>
            <w:tcMar>
              <w:top w:w="120" w:type="dxa"/>
              <w:bottom w:w="120" w:type="dxa"/>
              <w:left w:w="150" w:type="dxa"/>
              <w:right w:w="150" w:type="dxa"/>
            </w:tcMar>
          </w:tcPr>
          <w:p>
            <w:r>
              <w:rPr>
                <w:color w:val="2D3741"/>
                <w:sz w:val="19"/>
              </w:rPr>
              <w:t>Anonymous</w:t>
            </w:r>
          </w:p>
        </w:tc>
        <w:tc>
          <w:tcPr>
            <w:tcW w:type="dxa" w:w="2340"/>
            <w:shd w:fill="FFFFFF"/>
            <w:tcMar>
              <w:top w:w="120" w:type="dxa"/>
              <w:bottom w:w="120" w:type="dxa"/>
              <w:left w:w="150" w:type="dxa"/>
              <w:right w:w="150" w:type="dxa"/>
            </w:tcMar>
          </w:tcPr>
          <w:p>
            <w:r>
              <w:rPr>
                <w:color w:val="2D3741"/>
                <w:sz w:val="19"/>
              </w:rPr>
              <w:t>Allowed</w:t>
            </w:r>
          </w:p>
        </w:tc>
        <w:tc>
          <w:tcPr>
            <w:tcW w:type="dxa" w:w="2340"/>
            <w:shd w:fill="FFFFFF"/>
            <w:tcMar>
              <w:top w:w="120" w:type="dxa"/>
              <w:bottom w:w="120" w:type="dxa"/>
              <w:left w:w="150" w:type="dxa"/>
              <w:right w:w="150" w:type="dxa"/>
            </w:tcMar>
          </w:tcPr>
          <w:p>
            <w:r>
              <w:rPr>
                <w:color w:val="2D3741"/>
                <w:sz w:val="19"/>
              </w:rPr>
              <w:t>Login endpoint</w:t>
            </w:r>
          </w:p>
        </w:tc>
      </w:tr>
      <w:tr>
        <w:tc>
          <w:tcPr>
            <w:tcW w:type="dxa" w:w="2340"/>
            <w:shd w:fill="F4F7FA"/>
            <w:tcMar>
              <w:top w:w="120" w:type="dxa"/>
              <w:bottom w:w="120" w:type="dxa"/>
              <w:left w:w="150" w:type="dxa"/>
              <w:right w:w="150" w:type="dxa"/>
            </w:tcMar>
          </w:tcPr>
          <w:p>
            <w:r>
              <w:rPr>
                <w:color w:val="2D3741"/>
                <w:sz w:val="19"/>
              </w:rPr>
              <w:t>/api/customers/{id}</w:t>
            </w:r>
          </w:p>
        </w:tc>
        <w:tc>
          <w:tcPr>
            <w:tcW w:type="dxa" w:w="2340"/>
            <w:shd w:fill="F4F7FA"/>
            <w:tcMar>
              <w:top w:w="120" w:type="dxa"/>
              <w:bottom w:w="120" w:type="dxa"/>
              <w:left w:w="150" w:type="dxa"/>
              <w:right w:w="150" w:type="dxa"/>
            </w:tcMar>
          </w:tcPr>
          <w:p>
            <w:r>
              <w:rPr>
                <w:color w:val="2D3741"/>
                <w:sz w:val="19"/>
              </w:rPr>
              <w:t>Admin</w:t>
            </w:r>
          </w:p>
        </w:tc>
        <w:tc>
          <w:tcPr>
            <w:tcW w:type="dxa" w:w="2340"/>
            <w:shd w:fill="F4F7FA"/>
            <w:tcMar>
              <w:top w:w="120" w:type="dxa"/>
              <w:bottom w:w="120" w:type="dxa"/>
              <w:left w:w="150" w:type="dxa"/>
              <w:right w:w="150" w:type="dxa"/>
            </w:tcMar>
          </w:tcPr>
          <w:p>
            <w:r>
              <w:rPr>
                <w:color w:val="2D3741"/>
                <w:sz w:val="19"/>
              </w:rPr>
              <w:t>Allow any customer</w:t>
            </w:r>
          </w:p>
        </w:tc>
        <w:tc>
          <w:tcPr>
            <w:tcW w:type="dxa" w:w="2340"/>
            <w:shd w:fill="F4F7FA"/>
            <w:tcMar>
              <w:top w:w="120" w:type="dxa"/>
              <w:bottom w:w="120" w:type="dxa"/>
              <w:left w:w="150" w:type="dxa"/>
              <w:right w:w="150" w:type="dxa"/>
            </w:tcMar>
          </w:tcPr>
          <w:p>
            <w:r>
              <w:rPr>
                <w:color w:val="2D3741"/>
                <w:sz w:val="19"/>
              </w:rPr>
              <w:t>Read</w:t>
            </w:r>
          </w:p>
        </w:tc>
      </w:tr>
      <w:tr>
        <w:tc>
          <w:tcPr>
            <w:tcW w:type="dxa" w:w="2340"/>
            <w:shd w:fill="FFFFFF"/>
            <w:tcMar>
              <w:top w:w="120" w:type="dxa"/>
              <w:bottom w:w="120" w:type="dxa"/>
              <w:left w:w="150" w:type="dxa"/>
              <w:right w:w="150" w:type="dxa"/>
            </w:tcMar>
          </w:tcPr>
          <w:p>
            <w:r>
              <w:rPr>
                <w:color w:val="2D3741"/>
                <w:sz w:val="19"/>
              </w:rPr>
              <w:t>/api/customers/{id}</w:t>
            </w:r>
          </w:p>
        </w:tc>
        <w:tc>
          <w:tcPr>
            <w:tcW w:type="dxa" w:w="2340"/>
            <w:shd w:fill="FFFFFF"/>
            <w:tcMar>
              <w:top w:w="120" w:type="dxa"/>
              <w:bottom w:w="120" w:type="dxa"/>
              <w:left w:w="150" w:type="dxa"/>
              <w:right w:w="150" w:type="dxa"/>
            </w:tcMar>
          </w:tcPr>
          <w:p>
            <w:r>
              <w:rPr>
                <w:color w:val="2D3741"/>
                <w:sz w:val="19"/>
              </w:rPr>
              <w:t>QA</w:t>
            </w:r>
          </w:p>
        </w:tc>
        <w:tc>
          <w:tcPr>
            <w:tcW w:type="dxa" w:w="2340"/>
            <w:shd w:fill="FFFFFF"/>
            <w:tcMar>
              <w:top w:w="120" w:type="dxa"/>
              <w:bottom w:w="120" w:type="dxa"/>
              <w:left w:w="150" w:type="dxa"/>
              <w:right w:w="150" w:type="dxa"/>
            </w:tcMar>
          </w:tcPr>
          <w:p>
            <w:r>
              <w:rPr>
                <w:color w:val="2D3741"/>
                <w:sz w:val="19"/>
              </w:rPr>
              <w:t>Allow assigned/owned customers only</w:t>
            </w:r>
          </w:p>
        </w:tc>
        <w:tc>
          <w:tcPr>
            <w:tcW w:type="dxa" w:w="2340"/>
            <w:shd w:fill="FFFFFF"/>
            <w:tcMar>
              <w:top w:w="120" w:type="dxa"/>
              <w:bottom w:w="120" w:type="dxa"/>
              <w:left w:w="150" w:type="dxa"/>
              <w:right w:w="150" w:type="dxa"/>
            </w:tcMar>
          </w:tcPr>
          <w:p>
            <w:r>
              <w:rPr>
                <w:color w:val="2D3741"/>
                <w:sz w:val="19"/>
              </w:rPr>
              <w:t>Read</w:t>
            </w:r>
          </w:p>
        </w:tc>
      </w:tr>
      <w:tr>
        <w:tc>
          <w:tcPr>
            <w:tcW w:type="dxa" w:w="2340"/>
            <w:shd w:fill="F4F7FA"/>
            <w:tcMar>
              <w:top w:w="120" w:type="dxa"/>
              <w:bottom w:w="120" w:type="dxa"/>
              <w:left w:w="150" w:type="dxa"/>
              <w:right w:w="150" w:type="dxa"/>
            </w:tcMar>
          </w:tcPr>
          <w:p>
            <w:r>
              <w:rPr>
                <w:color w:val="2D3741"/>
                <w:sz w:val="19"/>
              </w:rPr>
              <w:t>/api/customers/{id}</w:t>
            </w:r>
          </w:p>
        </w:tc>
        <w:tc>
          <w:tcPr>
            <w:tcW w:type="dxa" w:w="2340"/>
            <w:shd w:fill="F4F7FA"/>
            <w:tcMar>
              <w:top w:w="120" w:type="dxa"/>
              <w:bottom w:w="120" w:type="dxa"/>
              <w:left w:w="150" w:type="dxa"/>
              <w:right w:w="150" w:type="dxa"/>
            </w:tcMar>
          </w:tcPr>
          <w:p>
            <w:r>
              <w:rPr>
                <w:color w:val="2D3741"/>
                <w:sz w:val="19"/>
              </w:rPr>
              <w:t>Customer</w:t>
            </w:r>
          </w:p>
        </w:tc>
        <w:tc>
          <w:tcPr>
            <w:tcW w:type="dxa" w:w="2340"/>
            <w:shd w:fill="F4F7FA"/>
            <w:tcMar>
              <w:top w:w="120" w:type="dxa"/>
              <w:bottom w:w="120" w:type="dxa"/>
              <w:left w:w="150" w:type="dxa"/>
              <w:right w:w="150" w:type="dxa"/>
            </w:tcMar>
          </w:tcPr>
          <w:p>
            <w:r>
              <w:rPr>
                <w:color w:val="2D3741"/>
                <w:sz w:val="19"/>
              </w:rPr>
              <w:t>Allow own record only</w:t>
            </w:r>
          </w:p>
        </w:tc>
        <w:tc>
          <w:tcPr>
            <w:tcW w:type="dxa" w:w="2340"/>
            <w:shd w:fill="F4F7FA"/>
            <w:tcMar>
              <w:top w:w="120" w:type="dxa"/>
              <w:bottom w:w="120" w:type="dxa"/>
              <w:left w:w="150" w:type="dxa"/>
              <w:right w:w="150" w:type="dxa"/>
            </w:tcMar>
          </w:tcPr>
          <w:p>
            <w:r>
              <w:rPr>
                <w:color w:val="2D3741"/>
                <w:sz w:val="19"/>
              </w:rPr>
              <w:t>Read</w:t>
            </w:r>
          </w:p>
        </w:tc>
      </w:tr>
      <w:tr>
        <w:tc>
          <w:tcPr>
            <w:tcW w:type="dxa" w:w="2340"/>
            <w:shd w:fill="FFFFFF"/>
            <w:tcMar>
              <w:top w:w="120" w:type="dxa"/>
              <w:bottom w:w="120" w:type="dxa"/>
              <w:left w:w="150" w:type="dxa"/>
              <w:right w:w="150" w:type="dxa"/>
            </w:tcMar>
          </w:tcPr>
          <w:p>
            <w:r>
              <w:rPr>
                <w:color w:val="2D3741"/>
                <w:sz w:val="19"/>
              </w:rPr>
              <w:t>/api/customers/{id}</w:t>
            </w:r>
          </w:p>
        </w:tc>
        <w:tc>
          <w:tcPr>
            <w:tcW w:type="dxa" w:w="2340"/>
            <w:shd w:fill="FFFFFF"/>
            <w:tcMar>
              <w:top w:w="120" w:type="dxa"/>
              <w:bottom w:w="120" w:type="dxa"/>
              <w:left w:w="150" w:type="dxa"/>
              <w:right w:w="150" w:type="dxa"/>
            </w:tcMar>
          </w:tcPr>
          <w:p>
            <w:r>
              <w:rPr>
                <w:color w:val="2D3741"/>
                <w:sz w:val="19"/>
              </w:rPr>
              <w:t>Null/Anonymous/Unsupported role</w:t>
            </w:r>
          </w:p>
        </w:tc>
        <w:tc>
          <w:tcPr>
            <w:tcW w:type="dxa" w:w="2340"/>
            <w:shd w:fill="FFFFFF"/>
            <w:tcMar>
              <w:top w:w="120" w:type="dxa"/>
              <w:bottom w:w="120" w:type="dxa"/>
              <w:left w:w="150" w:type="dxa"/>
              <w:right w:w="150" w:type="dxa"/>
            </w:tcMar>
          </w:tcPr>
          <w:p>
            <w:r>
              <w:rPr>
                <w:color w:val="2D3741"/>
                <w:sz w:val="19"/>
              </w:rPr>
              <w:t>Deny (403)</w:t>
            </w:r>
          </w:p>
        </w:tc>
        <w:tc>
          <w:tcPr>
            <w:tcW w:type="dxa" w:w="2340"/>
            <w:shd w:fill="FFFFFF"/>
            <w:tcMar>
              <w:top w:w="120" w:type="dxa"/>
              <w:bottom w:w="120" w:type="dxa"/>
              <w:left w:w="150" w:type="dxa"/>
              <w:right w:w="150" w:type="dxa"/>
            </w:tcMar>
          </w:tcPr>
          <w:p>
            <w:r>
              <w:rPr>
                <w:color w:val="2D3741"/>
                <w:sz w:val="19"/>
              </w:rPr>
              <w:t>Read</w:t>
            </w:r>
          </w:p>
        </w:tc>
      </w:tr>
      <w:tr>
        <w:tc>
          <w:tcPr>
            <w:tcW w:type="dxa" w:w="2340"/>
            <w:shd w:fill="F4F7FA"/>
            <w:tcMar>
              <w:top w:w="120" w:type="dxa"/>
              <w:bottom w:w="120" w:type="dxa"/>
              <w:left w:w="150" w:type="dxa"/>
              <w:right w:w="150" w:type="dxa"/>
            </w:tcMar>
          </w:tcPr>
          <w:p>
            <w:r>
              <w:rPr>
                <w:color w:val="2D3741"/>
                <w:sz w:val="19"/>
              </w:rPr>
              <w:t>PUT /api/customers/{id}</w:t>
            </w:r>
          </w:p>
        </w:tc>
        <w:tc>
          <w:tcPr>
            <w:tcW w:type="dxa" w:w="2340"/>
            <w:shd w:fill="F4F7FA"/>
            <w:tcMar>
              <w:top w:w="120" w:type="dxa"/>
              <w:bottom w:w="120" w:type="dxa"/>
              <w:left w:w="150" w:type="dxa"/>
              <w:right w:w="150" w:type="dxa"/>
            </w:tcMar>
          </w:tcPr>
          <w:p>
            <w:r>
              <w:rPr>
                <w:color w:val="2D3741"/>
                <w:sz w:val="19"/>
              </w:rPr>
              <w:t>Admin</w:t>
            </w:r>
          </w:p>
        </w:tc>
        <w:tc>
          <w:tcPr>
            <w:tcW w:type="dxa" w:w="2340"/>
            <w:shd w:fill="F4F7FA"/>
            <w:tcMar>
              <w:top w:w="120" w:type="dxa"/>
              <w:bottom w:w="120" w:type="dxa"/>
              <w:left w:w="150" w:type="dxa"/>
              <w:right w:w="150" w:type="dxa"/>
            </w:tcMar>
          </w:tcPr>
          <w:p>
            <w:r>
              <w:rPr>
                <w:color w:val="2D3741"/>
                <w:sz w:val="19"/>
              </w:rPr>
              <w:t>Allow any customer</w:t>
            </w:r>
          </w:p>
        </w:tc>
        <w:tc>
          <w:tcPr>
            <w:tcW w:type="dxa" w:w="2340"/>
            <w:shd w:fill="F4F7FA"/>
            <w:tcMar>
              <w:top w:w="120" w:type="dxa"/>
              <w:bottom w:w="120" w:type="dxa"/>
              <w:left w:w="150" w:type="dxa"/>
              <w:right w:w="150" w:type="dxa"/>
            </w:tcMar>
          </w:tcPr>
          <w:p>
            <w:r>
              <w:rPr>
                <w:color w:val="2D3741"/>
                <w:sz w:val="19"/>
              </w:rPr>
              <w:t>Update</w:t>
            </w:r>
          </w:p>
        </w:tc>
      </w:tr>
      <w:tr>
        <w:tc>
          <w:tcPr>
            <w:tcW w:type="dxa" w:w="2340"/>
            <w:shd w:fill="FFFFFF"/>
            <w:tcMar>
              <w:top w:w="120" w:type="dxa"/>
              <w:bottom w:w="120" w:type="dxa"/>
              <w:left w:w="150" w:type="dxa"/>
              <w:right w:w="150" w:type="dxa"/>
            </w:tcMar>
          </w:tcPr>
          <w:p>
            <w:r>
              <w:rPr>
                <w:color w:val="2D3741"/>
                <w:sz w:val="19"/>
              </w:rPr>
              <w:t>PUT /api/customers/{id}</w:t>
            </w:r>
          </w:p>
        </w:tc>
        <w:tc>
          <w:tcPr>
            <w:tcW w:type="dxa" w:w="2340"/>
            <w:shd w:fill="FFFFFF"/>
            <w:tcMar>
              <w:top w:w="120" w:type="dxa"/>
              <w:bottom w:w="120" w:type="dxa"/>
              <w:left w:w="150" w:type="dxa"/>
              <w:right w:w="150" w:type="dxa"/>
            </w:tcMar>
          </w:tcPr>
          <w:p>
            <w:r>
              <w:rPr>
                <w:color w:val="2D3741"/>
                <w:sz w:val="19"/>
              </w:rPr>
              <w:t>QA</w:t>
            </w:r>
          </w:p>
        </w:tc>
        <w:tc>
          <w:tcPr>
            <w:tcW w:type="dxa" w:w="2340"/>
            <w:shd w:fill="FFFFFF"/>
            <w:tcMar>
              <w:top w:w="120" w:type="dxa"/>
              <w:bottom w:w="120" w:type="dxa"/>
              <w:left w:w="150" w:type="dxa"/>
              <w:right w:w="150" w:type="dxa"/>
            </w:tcMar>
          </w:tcPr>
          <w:p>
            <w:r>
              <w:rPr>
                <w:color w:val="2D3741"/>
                <w:sz w:val="19"/>
              </w:rPr>
              <w:t>Allow assigned/owned customers only</w:t>
            </w:r>
          </w:p>
        </w:tc>
        <w:tc>
          <w:tcPr>
            <w:tcW w:type="dxa" w:w="2340"/>
            <w:shd w:fill="FFFFFF"/>
            <w:tcMar>
              <w:top w:w="120" w:type="dxa"/>
              <w:bottom w:w="120" w:type="dxa"/>
              <w:left w:w="150" w:type="dxa"/>
              <w:right w:w="150" w:type="dxa"/>
            </w:tcMar>
          </w:tcPr>
          <w:p>
            <w:r>
              <w:rPr>
                <w:color w:val="2D3741"/>
                <w:sz w:val="19"/>
              </w:rPr>
              <w:t>Update</w:t>
            </w:r>
          </w:p>
        </w:tc>
      </w:tr>
      <w:tr>
        <w:tc>
          <w:tcPr>
            <w:tcW w:type="dxa" w:w="2340"/>
            <w:shd w:fill="F4F7FA"/>
            <w:tcMar>
              <w:top w:w="120" w:type="dxa"/>
              <w:bottom w:w="120" w:type="dxa"/>
              <w:left w:w="150" w:type="dxa"/>
              <w:right w:w="150" w:type="dxa"/>
            </w:tcMar>
          </w:tcPr>
          <w:p>
            <w:r>
              <w:rPr>
                <w:color w:val="2D3741"/>
                <w:sz w:val="19"/>
              </w:rPr>
              <w:t>PUT /api/customers/{id}</w:t>
            </w:r>
          </w:p>
        </w:tc>
        <w:tc>
          <w:tcPr>
            <w:tcW w:type="dxa" w:w="2340"/>
            <w:shd w:fill="F4F7FA"/>
            <w:tcMar>
              <w:top w:w="120" w:type="dxa"/>
              <w:bottom w:w="120" w:type="dxa"/>
              <w:left w:w="150" w:type="dxa"/>
              <w:right w:w="150" w:type="dxa"/>
            </w:tcMar>
          </w:tcPr>
          <w:p>
            <w:r>
              <w:rPr>
                <w:color w:val="2D3741"/>
                <w:sz w:val="19"/>
              </w:rPr>
              <w:t>Customer</w:t>
            </w:r>
          </w:p>
        </w:tc>
        <w:tc>
          <w:tcPr>
            <w:tcW w:type="dxa" w:w="2340"/>
            <w:shd w:fill="F4F7FA"/>
            <w:tcMar>
              <w:top w:w="120" w:type="dxa"/>
              <w:bottom w:w="120" w:type="dxa"/>
              <w:left w:w="150" w:type="dxa"/>
              <w:right w:w="150" w:type="dxa"/>
            </w:tcMar>
          </w:tcPr>
          <w:p>
            <w:r>
              <w:rPr>
                <w:color w:val="2D3741"/>
                <w:sz w:val="19"/>
              </w:rPr>
              <w:t>Allow own record only</w:t>
            </w:r>
          </w:p>
        </w:tc>
        <w:tc>
          <w:tcPr>
            <w:tcW w:type="dxa" w:w="2340"/>
            <w:shd w:fill="F4F7FA"/>
            <w:tcMar>
              <w:top w:w="120" w:type="dxa"/>
              <w:bottom w:w="120" w:type="dxa"/>
              <w:left w:w="150" w:type="dxa"/>
              <w:right w:w="150" w:type="dxa"/>
            </w:tcMar>
          </w:tcPr>
          <w:p>
            <w:r>
              <w:rPr>
                <w:color w:val="2D3741"/>
                <w:sz w:val="19"/>
              </w:rPr>
              <w:t>Update</w:t>
            </w:r>
          </w:p>
        </w:tc>
      </w:tr>
      <w:tr>
        <w:tc>
          <w:tcPr>
            <w:tcW w:type="dxa" w:w="2340"/>
            <w:shd w:fill="FFFFFF"/>
            <w:tcMar>
              <w:top w:w="120" w:type="dxa"/>
              <w:bottom w:w="120" w:type="dxa"/>
              <w:left w:w="150" w:type="dxa"/>
              <w:right w:w="150" w:type="dxa"/>
            </w:tcMar>
          </w:tcPr>
          <w:p>
            <w:r>
              <w:rPr>
                <w:color w:val="2D3741"/>
                <w:sz w:val="19"/>
              </w:rPr>
              <w:t>PUT /api/customers/{id}</w:t>
            </w:r>
          </w:p>
        </w:tc>
        <w:tc>
          <w:tcPr>
            <w:tcW w:type="dxa" w:w="2340"/>
            <w:shd w:fill="FFFFFF"/>
            <w:tcMar>
              <w:top w:w="120" w:type="dxa"/>
              <w:bottom w:w="120" w:type="dxa"/>
              <w:left w:w="150" w:type="dxa"/>
              <w:right w:w="150" w:type="dxa"/>
            </w:tcMar>
          </w:tcPr>
          <w:p>
            <w:r>
              <w:rPr>
                <w:color w:val="2D3741"/>
                <w:sz w:val="19"/>
              </w:rPr>
              <w:t>Null/Anonymous/Unsupported role</w:t>
            </w:r>
          </w:p>
        </w:tc>
        <w:tc>
          <w:tcPr>
            <w:tcW w:type="dxa" w:w="2340"/>
            <w:shd w:fill="FFFFFF"/>
            <w:tcMar>
              <w:top w:w="120" w:type="dxa"/>
              <w:bottom w:w="120" w:type="dxa"/>
              <w:left w:w="150" w:type="dxa"/>
              <w:right w:w="150" w:type="dxa"/>
            </w:tcMar>
          </w:tcPr>
          <w:p>
            <w:r>
              <w:rPr>
                <w:color w:val="2D3741"/>
                <w:sz w:val="19"/>
              </w:rPr>
              <w:t>Deny (403)</w:t>
            </w:r>
          </w:p>
        </w:tc>
        <w:tc>
          <w:tcPr>
            <w:tcW w:type="dxa" w:w="2340"/>
            <w:shd w:fill="FFFFFF"/>
            <w:tcMar>
              <w:top w:w="120" w:type="dxa"/>
              <w:bottom w:w="120" w:type="dxa"/>
              <w:left w:w="150" w:type="dxa"/>
              <w:right w:w="150" w:type="dxa"/>
            </w:tcMar>
          </w:tcPr>
          <w:p>
            <w:r>
              <w:rPr>
                <w:color w:val="2D3741"/>
                <w:sz w:val="19"/>
              </w:rPr>
              <w:t>Update</w:t>
            </w:r>
          </w:p>
        </w:tc>
      </w:tr>
      <w:tr>
        <w:tc>
          <w:tcPr>
            <w:tcW w:type="dxa" w:w="2340"/>
            <w:shd w:fill="F4F7FA"/>
            <w:tcMar>
              <w:top w:w="120" w:type="dxa"/>
              <w:bottom w:w="120" w:type="dxa"/>
              <w:left w:w="150" w:type="dxa"/>
              <w:right w:w="150" w:type="dxa"/>
            </w:tcMar>
          </w:tcPr>
          <w:p>
            <w:r>
              <w:rPr>
                <w:color w:val="2D3741"/>
                <w:sz w:val="19"/>
              </w:rPr>
              <w:t>DELETE /api/customers/{id}</w:t>
            </w:r>
          </w:p>
        </w:tc>
        <w:tc>
          <w:tcPr>
            <w:tcW w:type="dxa" w:w="2340"/>
            <w:shd w:fill="F4F7FA"/>
            <w:tcMar>
              <w:top w:w="120" w:type="dxa"/>
              <w:bottom w:w="120" w:type="dxa"/>
              <w:left w:w="150" w:type="dxa"/>
              <w:right w:w="150" w:type="dxa"/>
            </w:tcMar>
          </w:tcPr>
          <w:p>
            <w:r>
              <w:rPr>
                <w:color w:val="2D3741"/>
                <w:sz w:val="19"/>
              </w:rPr>
              <w:t>Admin</w:t>
            </w:r>
          </w:p>
        </w:tc>
        <w:tc>
          <w:tcPr>
            <w:tcW w:type="dxa" w:w="2340"/>
            <w:shd w:fill="F4F7FA"/>
            <w:tcMar>
              <w:top w:w="120" w:type="dxa"/>
              <w:bottom w:w="120" w:type="dxa"/>
              <w:left w:w="150" w:type="dxa"/>
              <w:right w:w="150" w:type="dxa"/>
            </w:tcMar>
          </w:tcPr>
          <w:p>
            <w:r>
              <w:rPr>
                <w:color w:val="2D3741"/>
                <w:sz w:val="19"/>
              </w:rPr>
              <w:t>Allow any customer</w:t>
            </w:r>
          </w:p>
        </w:tc>
        <w:tc>
          <w:tcPr>
            <w:tcW w:type="dxa" w:w="2340"/>
            <w:shd w:fill="F4F7FA"/>
            <w:tcMar>
              <w:top w:w="120" w:type="dxa"/>
              <w:bottom w:w="120" w:type="dxa"/>
              <w:left w:w="150" w:type="dxa"/>
              <w:right w:w="150" w:type="dxa"/>
            </w:tcMar>
          </w:tcPr>
          <w:p>
            <w:r>
              <w:rPr>
                <w:color w:val="2D3741"/>
                <w:sz w:val="19"/>
              </w:rPr>
              <w:t>Delete</w:t>
            </w:r>
          </w:p>
        </w:tc>
      </w:tr>
      <w:tr>
        <w:tc>
          <w:tcPr>
            <w:tcW w:type="dxa" w:w="2340"/>
            <w:shd w:fill="FFFFFF"/>
            <w:tcMar>
              <w:top w:w="120" w:type="dxa"/>
              <w:bottom w:w="120" w:type="dxa"/>
              <w:left w:w="150" w:type="dxa"/>
              <w:right w:w="150" w:type="dxa"/>
            </w:tcMar>
          </w:tcPr>
          <w:p>
            <w:r>
              <w:rPr>
                <w:color w:val="2D3741"/>
                <w:sz w:val="19"/>
              </w:rPr>
              <w:t>DELETE /api/customers/{id}</w:t>
            </w:r>
          </w:p>
        </w:tc>
        <w:tc>
          <w:tcPr>
            <w:tcW w:type="dxa" w:w="2340"/>
            <w:shd w:fill="FFFFFF"/>
            <w:tcMar>
              <w:top w:w="120" w:type="dxa"/>
              <w:bottom w:w="120" w:type="dxa"/>
              <w:left w:w="150" w:type="dxa"/>
              <w:right w:w="150" w:type="dxa"/>
            </w:tcMar>
          </w:tcPr>
          <w:p>
            <w:r>
              <w:rPr>
                <w:color w:val="2D3741"/>
                <w:sz w:val="19"/>
              </w:rPr>
              <w:t>QA</w:t>
            </w:r>
          </w:p>
        </w:tc>
        <w:tc>
          <w:tcPr>
            <w:tcW w:type="dxa" w:w="2340"/>
            <w:shd w:fill="FFFFFF"/>
            <w:tcMar>
              <w:top w:w="120" w:type="dxa"/>
              <w:bottom w:w="120" w:type="dxa"/>
              <w:left w:w="150" w:type="dxa"/>
              <w:right w:w="150" w:type="dxa"/>
            </w:tcMar>
          </w:tcPr>
          <w:p>
            <w:r>
              <w:rPr>
                <w:color w:val="2D3741"/>
                <w:sz w:val="19"/>
              </w:rPr>
              <w:t>Allow assigned/owned customers only</w:t>
            </w:r>
          </w:p>
        </w:tc>
        <w:tc>
          <w:tcPr>
            <w:tcW w:type="dxa" w:w="2340"/>
            <w:shd w:fill="FFFFFF"/>
            <w:tcMar>
              <w:top w:w="120" w:type="dxa"/>
              <w:bottom w:w="120" w:type="dxa"/>
              <w:left w:w="150" w:type="dxa"/>
              <w:right w:w="150" w:type="dxa"/>
            </w:tcMar>
          </w:tcPr>
          <w:p>
            <w:r>
              <w:rPr>
                <w:color w:val="2D3741"/>
                <w:sz w:val="19"/>
              </w:rPr>
              <w:t>Delete</w:t>
            </w:r>
          </w:p>
        </w:tc>
      </w:tr>
      <w:tr>
        <w:tc>
          <w:tcPr>
            <w:tcW w:type="dxa" w:w="2340"/>
            <w:shd w:fill="F4F7FA"/>
            <w:tcMar>
              <w:top w:w="120" w:type="dxa"/>
              <w:bottom w:w="120" w:type="dxa"/>
              <w:left w:w="150" w:type="dxa"/>
              <w:right w:w="150" w:type="dxa"/>
            </w:tcMar>
          </w:tcPr>
          <w:p>
            <w:r>
              <w:rPr>
                <w:color w:val="2D3741"/>
                <w:sz w:val="19"/>
              </w:rPr>
              <w:t>DELETE /api/customers/{id}</w:t>
            </w:r>
          </w:p>
        </w:tc>
        <w:tc>
          <w:tcPr>
            <w:tcW w:type="dxa" w:w="2340"/>
            <w:shd w:fill="F4F7FA"/>
            <w:tcMar>
              <w:top w:w="120" w:type="dxa"/>
              <w:bottom w:w="120" w:type="dxa"/>
              <w:left w:w="150" w:type="dxa"/>
              <w:right w:w="150" w:type="dxa"/>
            </w:tcMar>
          </w:tcPr>
          <w:p>
            <w:r>
              <w:rPr>
                <w:color w:val="2D3741"/>
                <w:sz w:val="19"/>
              </w:rPr>
              <w:t>Customer</w:t>
            </w:r>
          </w:p>
        </w:tc>
        <w:tc>
          <w:tcPr>
            <w:tcW w:type="dxa" w:w="2340"/>
            <w:shd w:fill="F4F7FA"/>
            <w:tcMar>
              <w:top w:w="120" w:type="dxa"/>
              <w:bottom w:w="120" w:type="dxa"/>
              <w:left w:w="150" w:type="dxa"/>
              <w:right w:w="150" w:type="dxa"/>
            </w:tcMar>
          </w:tcPr>
          <w:p>
            <w:r>
              <w:rPr>
                <w:color w:val="2D3741"/>
                <w:sz w:val="19"/>
              </w:rPr>
              <w:t>Deny other customers; own-record behavior per contract</w:t>
            </w:r>
          </w:p>
        </w:tc>
        <w:tc>
          <w:tcPr>
            <w:tcW w:type="dxa" w:w="2340"/>
            <w:shd w:fill="F4F7FA"/>
            <w:tcMar>
              <w:top w:w="120" w:type="dxa"/>
              <w:bottom w:w="120" w:type="dxa"/>
              <w:left w:w="150" w:type="dxa"/>
              <w:right w:w="150" w:type="dxa"/>
            </w:tcMar>
          </w:tcPr>
          <w:p>
            <w:r>
              <w:rPr>
                <w:color w:val="2D3741"/>
                <w:sz w:val="19"/>
              </w:rPr>
              <w:t>Delete</w:t>
            </w:r>
          </w:p>
        </w:tc>
      </w:tr>
      <w:tr>
        <w:tc>
          <w:tcPr>
            <w:tcW w:type="dxa" w:w="2340"/>
            <w:shd w:fill="FFFFFF"/>
            <w:tcMar>
              <w:top w:w="120" w:type="dxa"/>
              <w:bottom w:w="120" w:type="dxa"/>
              <w:left w:w="150" w:type="dxa"/>
              <w:right w:w="150" w:type="dxa"/>
            </w:tcMar>
          </w:tcPr>
          <w:p>
            <w:r>
              <w:rPr>
                <w:color w:val="2D3741"/>
                <w:sz w:val="19"/>
              </w:rPr>
              <w:t>POST /api/customers/sync</w:t>
            </w:r>
          </w:p>
        </w:tc>
        <w:tc>
          <w:tcPr>
            <w:tcW w:type="dxa" w:w="2340"/>
            <w:shd w:fill="FFFFFF"/>
            <w:tcMar>
              <w:top w:w="120" w:type="dxa"/>
              <w:bottom w:w="120" w:type="dxa"/>
              <w:left w:w="150" w:type="dxa"/>
              <w:right w:w="150" w:type="dxa"/>
            </w:tcMar>
          </w:tcPr>
          <w:p>
            <w:r>
              <w:rPr>
                <w:color w:val="2D3741"/>
                <w:sz w:val="19"/>
              </w:rPr>
              <w:t>Admin</w:t>
            </w:r>
          </w:p>
        </w:tc>
        <w:tc>
          <w:tcPr>
            <w:tcW w:type="dxa" w:w="2340"/>
            <w:shd w:fill="FFFFFF"/>
            <w:tcMar>
              <w:top w:w="120" w:type="dxa"/>
              <w:bottom w:w="120" w:type="dxa"/>
              <w:left w:w="150" w:type="dxa"/>
              <w:right w:w="150" w:type="dxa"/>
            </w:tcMar>
          </w:tcPr>
          <w:p>
            <w:r>
              <w:rPr>
                <w:color w:val="2D3741"/>
                <w:sz w:val="19"/>
              </w:rPr>
              <w:t>Allow</w:t>
            </w:r>
          </w:p>
        </w:tc>
        <w:tc>
          <w:tcPr>
            <w:tcW w:type="dxa" w:w="2340"/>
            <w:shd w:fill="FFFFFF"/>
            <w:tcMar>
              <w:top w:w="120" w:type="dxa"/>
              <w:bottom w:w="120" w:type="dxa"/>
              <w:left w:w="150" w:type="dxa"/>
              <w:right w:w="150" w:type="dxa"/>
            </w:tcMar>
          </w:tcPr>
          <w:p>
            <w:r>
              <w:rPr>
                <w:color w:val="2D3741"/>
                <w:sz w:val="19"/>
              </w:rPr>
              <w:t>Sync</w:t>
            </w:r>
          </w:p>
        </w:tc>
      </w:tr>
      <w:tr>
        <w:tc>
          <w:tcPr>
            <w:tcW w:type="dxa" w:w="2340"/>
            <w:shd w:fill="F4F7FA"/>
            <w:tcMar>
              <w:top w:w="120" w:type="dxa"/>
              <w:bottom w:w="120" w:type="dxa"/>
              <w:left w:w="150" w:type="dxa"/>
              <w:right w:w="150" w:type="dxa"/>
            </w:tcMar>
          </w:tcPr>
          <w:p>
            <w:r>
              <w:rPr>
                <w:color w:val="2D3741"/>
                <w:sz w:val="19"/>
              </w:rPr>
              <w:t>POST /api/customers/sync</w:t>
            </w:r>
          </w:p>
        </w:tc>
        <w:tc>
          <w:tcPr>
            <w:tcW w:type="dxa" w:w="2340"/>
            <w:shd w:fill="F4F7FA"/>
            <w:tcMar>
              <w:top w:w="120" w:type="dxa"/>
              <w:bottom w:w="120" w:type="dxa"/>
              <w:left w:w="150" w:type="dxa"/>
              <w:right w:w="150" w:type="dxa"/>
            </w:tcMar>
          </w:tcPr>
          <w:p>
            <w:r>
              <w:rPr>
                <w:color w:val="2D3741"/>
                <w:sz w:val="19"/>
              </w:rPr>
              <w:t>QA</w:t>
            </w:r>
          </w:p>
        </w:tc>
        <w:tc>
          <w:tcPr>
            <w:tcW w:type="dxa" w:w="2340"/>
            <w:shd w:fill="F4F7FA"/>
            <w:tcMar>
              <w:top w:w="120" w:type="dxa"/>
              <w:bottom w:w="120" w:type="dxa"/>
              <w:left w:w="150" w:type="dxa"/>
              <w:right w:w="150" w:type="dxa"/>
            </w:tcMar>
          </w:tcPr>
          <w:p>
            <w:r>
              <w:rPr>
                <w:color w:val="2D3741"/>
                <w:sz w:val="19"/>
              </w:rPr>
              <w:t>Allow if business rules permit</w:t>
            </w:r>
          </w:p>
        </w:tc>
        <w:tc>
          <w:tcPr>
            <w:tcW w:type="dxa" w:w="2340"/>
            <w:shd w:fill="F4F7FA"/>
            <w:tcMar>
              <w:top w:w="120" w:type="dxa"/>
              <w:bottom w:w="120" w:type="dxa"/>
              <w:left w:w="150" w:type="dxa"/>
              <w:right w:w="150" w:type="dxa"/>
            </w:tcMar>
          </w:tcPr>
          <w:p>
            <w:r>
              <w:rPr>
                <w:color w:val="2D3741"/>
                <w:sz w:val="19"/>
              </w:rPr>
              <w:t>Sync</w:t>
            </w:r>
          </w:p>
        </w:tc>
      </w:tr>
      <w:tr>
        <w:tc>
          <w:tcPr>
            <w:tcW w:type="dxa" w:w="2340"/>
            <w:shd w:fill="FFFFFF"/>
            <w:tcMar>
              <w:top w:w="120" w:type="dxa"/>
              <w:bottom w:w="120" w:type="dxa"/>
              <w:left w:w="150" w:type="dxa"/>
              <w:right w:w="150" w:type="dxa"/>
            </w:tcMar>
          </w:tcPr>
          <w:p>
            <w:r>
              <w:rPr>
                <w:color w:val="2D3741"/>
                <w:sz w:val="19"/>
              </w:rPr>
              <w:t>POST /api/customers/sync</w:t>
            </w:r>
          </w:p>
        </w:tc>
        <w:tc>
          <w:tcPr>
            <w:tcW w:type="dxa" w:w="2340"/>
            <w:shd w:fill="FFFFFF"/>
            <w:tcMar>
              <w:top w:w="120" w:type="dxa"/>
              <w:bottom w:w="120" w:type="dxa"/>
              <w:left w:w="150" w:type="dxa"/>
              <w:right w:w="150" w:type="dxa"/>
            </w:tcMar>
          </w:tcPr>
          <w:p>
            <w:r>
              <w:rPr>
                <w:color w:val="2D3741"/>
                <w:sz w:val="19"/>
              </w:rPr>
              <w:t>Customer</w:t>
            </w:r>
          </w:p>
        </w:tc>
        <w:tc>
          <w:tcPr>
            <w:tcW w:type="dxa" w:w="2340"/>
            <w:shd w:fill="FFFFFF"/>
            <w:tcMar>
              <w:top w:w="120" w:type="dxa"/>
              <w:bottom w:w="120" w:type="dxa"/>
              <w:left w:w="150" w:type="dxa"/>
              <w:right w:w="150" w:type="dxa"/>
            </w:tcMar>
          </w:tcPr>
          <w:p>
            <w:r>
              <w:rPr>
                <w:color w:val="2D3741"/>
                <w:sz w:val="19"/>
              </w:rPr>
              <w:t>Typically deny unless explicitly allowed by contract</w:t>
            </w:r>
          </w:p>
        </w:tc>
        <w:tc>
          <w:tcPr>
            <w:tcW w:type="dxa" w:w="2340"/>
            <w:shd w:fill="FFFFFF"/>
            <w:tcMar>
              <w:top w:w="120" w:type="dxa"/>
              <w:bottom w:w="120" w:type="dxa"/>
              <w:left w:w="150" w:type="dxa"/>
              <w:right w:w="150" w:type="dxa"/>
            </w:tcMar>
          </w:tcPr>
          <w:p>
            <w:r>
              <w:rPr>
                <w:color w:val="2D3741"/>
                <w:sz w:val="19"/>
              </w:rPr>
              <w:t>Sync</w:t>
            </w:r>
          </w:p>
        </w:tc>
      </w:tr>
      <w:tr>
        <w:tc>
          <w:tcPr>
            <w:tcW w:type="dxa" w:w="2340"/>
            <w:shd w:fill="F4F7FA"/>
            <w:tcMar>
              <w:top w:w="120" w:type="dxa"/>
              <w:bottom w:w="120" w:type="dxa"/>
              <w:left w:w="150" w:type="dxa"/>
              <w:right w:w="150" w:type="dxa"/>
            </w:tcMar>
          </w:tcPr>
          <w:p>
            <w:r>
              <w:rPr>
                <w:color w:val="2D3741"/>
                <w:sz w:val="19"/>
              </w:rPr>
              <w:t>POST /api/customers/sync</w:t>
            </w:r>
          </w:p>
        </w:tc>
        <w:tc>
          <w:tcPr>
            <w:tcW w:type="dxa" w:w="2340"/>
            <w:shd w:fill="F4F7FA"/>
            <w:tcMar>
              <w:top w:w="120" w:type="dxa"/>
              <w:bottom w:w="120" w:type="dxa"/>
              <w:left w:w="150" w:type="dxa"/>
              <w:right w:w="150" w:type="dxa"/>
            </w:tcMar>
          </w:tcPr>
          <w:p>
            <w:r>
              <w:rPr>
                <w:color w:val="2D3741"/>
                <w:sz w:val="19"/>
              </w:rPr>
              <w:t>Null/Anonymous/Unsupported role</w:t>
            </w:r>
          </w:p>
        </w:tc>
        <w:tc>
          <w:tcPr>
            <w:tcW w:type="dxa" w:w="2340"/>
            <w:shd w:fill="F4F7FA"/>
            <w:tcMar>
              <w:top w:w="120" w:type="dxa"/>
              <w:bottom w:w="120" w:type="dxa"/>
              <w:left w:w="150" w:type="dxa"/>
              <w:right w:w="150" w:type="dxa"/>
            </w:tcMar>
          </w:tcPr>
          <w:p>
            <w:r>
              <w:rPr>
                <w:color w:val="2D3741"/>
                <w:sz w:val="19"/>
              </w:rPr>
              <w:t>Deny (403)</w:t>
            </w:r>
          </w:p>
        </w:tc>
        <w:tc>
          <w:tcPr>
            <w:tcW w:type="dxa" w:w="2340"/>
            <w:shd w:fill="F4F7FA"/>
            <w:tcMar>
              <w:top w:w="120" w:type="dxa"/>
              <w:bottom w:w="120" w:type="dxa"/>
              <w:left w:w="150" w:type="dxa"/>
              <w:right w:w="150" w:type="dxa"/>
            </w:tcMar>
          </w:tcPr>
          <w:p>
            <w:r>
              <w:rPr>
                <w:color w:val="2D3741"/>
                <w:sz w:val="19"/>
              </w:rPr>
              <w:t>Sync</w:t>
            </w:r>
          </w:p>
        </w:tc>
      </w:tr>
    </w:tbl>
    <w:p>
      <w:pPr>
        <w:keepNext/>
        <w:spacing w:before="440" w:after="120"/>
      </w:pPr>
      <w:r>
        <w:rPr>
          <w:rFonts w:ascii="Calibri" w:hAnsi="Calibri"/>
          <w:b/>
          <w:color w:val="1F3A56"/>
          <w:sz w:val="32"/>
        </w:rPr>
        <w:t>12. Input Schema Struct Validation &amp; Model Binding</w:t>
      </w:r>
    </w:p>
    <w:p>
      <w:pPr>
        <w:spacing w:after="120" w:line="276" w:lineRule="auto"/>
      </w:pPr>
      <w:r>
        <w:rPr>
          <w:b w:val="0"/>
        </w:rPr>
        <w:t>Incoming payloads pass through a validation layer using FluentValidation rules before reaching controller logic. Missing required properties, invalid email format structures, or empty body strings trigger early fail-fast logic, immediately returning a 400 Bad Request status code.</w:t>
      </w:r>
    </w:p>
    <w:p>
      <w:pPr>
        <w:keepNext/>
        <w:spacing w:before="440" w:after="120"/>
      </w:pPr>
      <w:r>
        <w:rPr>
          <w:rFonts w:ascii="Calibri" w:hAnsi="Calibri"/>
          <w:b/>
          <w:color w:val="1F3A56"/>
          <w:sz w:val="32"/>
        </w:rPr>
        <w:t>13. Global Exception Filters &amp; Unified Problem Details</w:t>
      </w:r>
    </w:p>
    <w:p>
      <w:pPr>
        <w:spacing w:after="120" w:line="276" w:lineRule="auto"/>
      </w:pPr>
      <w:r>
        <w:rPr>
          <w:b w:val="0"/>
        </w:rPr>
        <w:t>Unhandled exceptions are caught by a custom global middleware block that maps errors into the uniform RFC 7807 Problem Details payload schema. This approach ensures consistent error modeling and hides underlying technical data or internal database details from external clients.</w:t>
      </w:r>
    </w:p>
    <w:p>
      <w:pPr>
        <w:keepNext/>
        <w:spacing w:before="440" w:after="120"/>
      </w:pPr>
      <w:r>
        <w:rPr>
          <w:rFonts w:ascii="Calibri" w:hAnsi="Calibri"/>
          <w:b/>
          <w:color w:val="1F3A56"/>
          <w:sz w:val="32"/>
        </w:rPr>
        <w:t>14. Automated Quality Harness &amp; System Integration Test Strategy</w:t>
      </w:r>
    </w:p>
    <w:p>
      <w:pPr>
        <w:spacing w:after="120" w:line="276" w:lineRule="auto"/>
      </w:pPr>
      <w:r>
        <w:rPr>
          <w:b w:val="0"/>
        </w:rPr>
        <w:t>The automated testing framework manages 107 integration test cases split across isolated xUnit test classes. This structural isolation prevents execution interference and ensures complete coverage of both negative paths and authorization limits:</w:t>
      </w:r>
    </w:p>
    <w:tbl>
      <w:tblPr>
        <w:tblW w:type="auto" w:w="0"/>
        <w:jc w:val="center"/>
        <w:tblLook w:firstColumn="1" w:firstRow="1" w:lastColumn="0" w:lastRow="0" w:noHBand="0" w:noVBand="1" w:val="04A0"/>
      </w:tblPr>
      <w:tblGrid>
        <w:gridCol w:w="3120"/>
        <w:gridCol w:w="3120"/>
        <w:gridCol w:w="3120"/>
      </w:tblGrid>
      <w:tr>
        <w:tc>
          <w:tcPr>
            <w:tcW w:type="dxa" w:w="3120"/>
            <w:shd w:fill="1F3A56"/>
            <w:tcMar>
              <w:top w:w="120" w:type="dxa"/>
              <w:bottom w:w="120" w:type="dxa"/>
              <w:left w:w="150" w:type="dxa"/>
              <w:right w:w="150" w:type="dxa"/>
            </w:tcMar>
          </w:tcPr>
          <w:p>
            <w:pPr>
              <w:jc w:val="left"/>
            </w:pPr>
            <w:r>
              <w:rPr>
                <w:b/>
                <w:color w:val="FFFFFF"/>
                <w:sz w:val="20"/>
              </w:rPr>
              <w:t>Target Test Class</w:t>
            </w:r>
          </w:p>
        </w:tc>
        <w:tc>
          <w:tcPr>
            <w:tcW w:type="dxa" w:w="3120"/>
            <w:shd w:fill="1F3A56"/>
            <w:tcMar>
              <w:top w:w="120" w:type="dxa"/>
              <w:bottom w:w="120" w:type="dxa"/>
              <w:left w:w="150" w:type="dxa"/>
              <w:right w:w="150" w:type="dxa"/>
            </w:tcMar>
          </w:tcPr>
          <w:p>
            <w:pPr>
              <w:jc w:val="left"/>
            </w:pPr>
            <w:r>
              <w:rPr>
                <w:b/>
                <w:color w:val="FFFFFF"/>
                <w:sz w:val="20"/>
              </w:rPr>
              <w:t>Covered Automated IDs</w:t>
            </w:r>
          </w:p>
        </w:tc>
        <w:tc>
          <w:tcPr>
            <w:tcW w:type="dxa" w:w="3120"/>
            <w:shd w:fill="1F3A56"/>
            <w:tcMar>
              <w:top w:w="120" w:type="dxa"/>
              <w:bottom w:w="120" w:type="dxa"/>
              <w:left w:w="150" w:type="dxa"/>
              <w:right w:w="150" w:type="dxa"/>
            </w:tcMar>
          </w:tcPr>
          <w:p>
            <w:pPr>
              <w:jc w:val="left"/>
            </w:pPr>
            <w:r>
              <w:rPr>
                <w:b/>
                <w:color w:val="FFFFFF"/>
                <w:sz w:val="20"/>
              </w:rPr>
              <w:t>Automated Quality Scope</w:t>
            </w:r>
          </w:p>
        </w:tc>
      </w:tr>
      <w:tr>
        <w:tc>
          <w:tcPr>
            <w:tcW w:type="dxa" w:w="3120"/>
            <w:shd w:fill="FFFFFF"/>
            <w:tcMar>
              <w:top w:w="120" w:type="dxa"/>
              <w:bottom w:w="120" w:type="dxa"/>
              <w:left w:w="150" w:type="dxa"/>
              <w:right w:w="150" w:type="dxa"/>
            </w:tcMar>
          </w:tcPr>
          <w:p>
            <w:r>
              <w:rPr>
                <w:color w:val="2D3741"/>
                <w:sz w:val="19"/>
              </w:rPr>
              <w:t>AuthTests.cs</w:t>
            </w:r>
          </w:p>
        </w:tc>
        <w:tc>
          <w:tcPr>
            <w:tcW w:type="dxa" w:w="3120"/>
            <w:shd w:fill="FFFFFF"/>
            <w:tcMar>
              <w:top w:w="120" w:type="dxa"/>
              <w:bottom w:w="120" w:type="dxa"/>
              <w:left w:w="150" w:type="dxa"/>
              <w:right w:w="150" w:type="dxa"/>
            </w:tcMar>
          </w:tcPr>
          <w:p>
            <w:r>
              <w:rPr>
                <w:color w:val="2D3741"/>
                <w:sz w:val="19"/>
              </w:rPr>
              <w:t>AUTH-001 to AUTH-010</w:t>
            </w:r>
          </w:p>
        </w:tc>
        <w:tc>
          <w:tcPr>
            <w:tcW w:type="dxa" w:w="3120"/>
            <w:shd w:fill="FFFFFF"/>
            <w:tcMar>
              <w:top w:w="120" w:type="dxa"/>
              <w:bottom w:w="120" w:type="dxa"/>
              <w:left w:w="150" w:type="dxa"/>
              <w:right w:w="150" w:type="dxa"/>
            </w:tcMar>
          </w:tcPr>
          <w:p>
            <w:r>
              <w:rPr>
                <w:color w:val="2D3741"/>
                <w:sz w:val="19"/>
              </w:rPr>
              <w:t>Login request validation and authentication</w:t>
            </w:r>
          </w:p>
        </w:tc>
      </w:tr>
      <w:tr>
        <w:tc>
          <w:tcPr>
            <w:tcW w:type="dxa" w:w="3120"/>
            <w:shd w:fill="F4F7FA"/>
            <w:tcMar>
              <w:top w:w="120" w:type="dxa"/>
              <w:bottom w:w="120" w:type="dxa"/>
              <w:left w:w="150" w:type="dxa"/>
              <w:right w:w="150" w:type="dxa"/>
            </w:tcMar>
          </w:tcPr>
          <w:p>
            <w:r>
              <w:rPr>
                <w:color w:val="2D3741"/>
                <w:sz w:val="19"/>
              </w:rPr>
              <w:t>SecurityTests.cs</w:t>
            </w:r>
          </w:p>
        </w:tc>
        <w:tc>
          <w:tcPr>
            <w:tcW w:type="dxa" w:w="3120"/>
            <w:shd w:fill="F4F7FA"/>
            <w:tcMar>
              <w:top w:w="120" w:type="dxa"/>
              <w:bottom w:w="120" w:type="dxa"/>
              <w:left w:w="150" w:type="dxa"/>
              <w:right w:w="150" w:type="dxa"/>
            </w:tcMar>
          </w:tcPr>
          <w:p>
            <w:r>
              <w:rPr>
                <w:color w:val="2D3741"/>
                <w:sz w:val="19"/>
              </w:rPr>
              <w:t>AUTH-011 to AUTH-018; AUTH-045 to AUTH-047; SEC-001 to SEC-008</w:t>
            </w:r>
          </w:p>
        </w:tc>
        <w:tc>
          <w:tcPr>
            <w:tcW w:type="dxa" w:w="3120"/>
            <w:shd w:fill="F4F7FA"/>
            <w:tcMar>
              <w:top w:w="120" w:type="dxa"/>
              <w:bottom w:w="120" w:type="dxa"/>
              <w:left w:w="150" w:type="dxa"/>
              <w:right w:w="150" w:type="dxa"/>
            </w:tcMar>
          </w:tcPr>
          <w:p>
            <w:r>
              <w:rPr>
                <w:color w:val="2D3741"/>
                <w:sz w:val="19"/>
              </w:rPr>
              <w:t>JWT presence/validity and unsupported role scenarios</w:t>
            </w:r>
          </w:p>
        </w:tc>
      </w:tr>
      <w:tr>
        <w:tc>
          <w:tcPr>
            <w:tcW w:type="dxa" w:w="3120"/>
            <w:shd w:fill="FFFFFF"/>
            <w:tcMar>
              <w:top w:w="120" w:type="dxa"/>
              <w:bottom w:w="120" w:type="dxa"/>
              <w:left w:w="150" w:type="dxa"/>
              <w:right w:w="150" w:type="dxa"/>
            </w:tcMar>
          </w:tcPr>
          <w:p>
            <w:r>
              <w:rPr>
                <w:color w:val="2D3741"/>
                <w:sz w:val="19"/>
              </w:rPr>
              <w:t>CustomerGetTests.cs</w:t>
            </w:r>
          </w:p>
        </w:tc>
        <w:tc>
          <w:tcPr>
            <w:tcW w:type="dxa" w:w="3120"/>
            <w:shd w:fill="FFFFFF"/>
            <w:tcMar>
              <w:top w:w="120" w:type="dxa"/>
              <w:bottom w:w="120" w:type="dxa"/>
              <w:left w:w="150" w:type="dxa"/>
              <w:right w:w="150" w:type="dxa"/>
            </w:tcMar>
          </w:tcPr>
          <w:p>
            <w:r>
              <w:rPr>
                <w:color w:val="2D3741"/>
                <w:sz w:val="19"/>
              </w:rPr>
              <w:t>GET-001 to GET-016; AUTH-019 to AUTH-022</w:t>
            </w:r>
          </w:p>
        </w:tc>
        <w:tc>
          <w:tcPr>
            <w:tcW w:type="dxa" w:w="3120"/>
            <w:shd w:fill="FFFFFF"/>
            <w:tcMar>
              <w:top w:w="120" w:type="dxa"/>
              <w:bottom w:w="120" w:type="dxa"/>
              <w:left w:w="150" w:type="dxa"/>
              <w:right w:w="150" w:type="dxa"/>
            </w:tcMar>
          </w:tcPr>
          <w:p>
            <w:r>
              <w:rPr>
                <w:color w:val="2D3741"/>
                <w:sz w:val="19"/>
              </w:rPr>
              <w:t>Read authorization and retrieval scenarios</w:t>
            </w:r>
          </w:p>
        </w:tc>
      </w:tr>
      <w:tr>
        <w:tc>
          <w:tcPr>
            <w:tcW w:type="dxa" w:w="3120"/>
            <w:shd w:fill="F4F7FA"/>
            <w:tcMar>
              <w:top w:w="120" w:type="dxa"/>
              <w:bottom w:w="120" w:type="dxa"/>
              <w:left w:w="150" w:type="dxa"/>
              <w:right w:w="150" w:type="dxa"/>
            </w:tcMar>
          </w:tcPr>
          <w:p>
            <w:r>
              <w:rPr>
                <w:color w:val="2D3741"/>
                <w:sz w:val="19"/>
              </w:rPr>
              <w:t>CustomerUpdateTests.cs</w:t>
            </w:r>
          </w:p>
        </w:tc>
        <w:tc>
          <w:tcPr>
            <w:tcW w:type="dxa" w:w="3120"/>
            <w:shd w:fill="F4F7FA"/>
            <w:tcMar>
              <w:top w:w="120" w:type="dxa"/>
              <w:bottom w:w="120" w:type="dxa"/>
              <w:left w:w="150" w:type="dxa"/>
              <w:right w:w="150" w:type="dxa"/>
            </w:tcMar>
          </w:tcPr>
          <w:p>
            <w:r>
              <w:rPr>
                <w:color w:val="2D3741"/>
                <w:sz w:val="19"/>
              </w:rPr>
              <w:t>UPDATE-001 to UPDATE-021; AUTH-023 to AUTH-037</w:t>
            </w:r>
          </w:p>
        </w:tc>
        <w:tc>
          <w:tcPr>
            <w:tcW w:type="dxa" w:w="3120"/>
            <w:shd w:fill="F4F7FA"/>
            <w:tcMar>
              <w:top w:w="120" w:type="dxa"/>
              <w:bottom w:w="120" w:type="dxa"/>
              <w:left w:w="150" w:type="dxa"/>
              <w:right w:w="150" w:type="dxa"/>
            </w:tcMar>
          </w:tcPr>
          <w:p>
            <w:r>
              <w:rPr>
                <w:color w:val="2D3741"/>
                <w:sz w:val="19"/>
              </w:rPr>
              <w:t>Update validation and authorization scenarios</w:t>
            </w:r>
          </w:p>
        </w:tc>
      </w:tr>
      <w:tr>
        <w:tc>
          <w:tcPr>
            <w:tcW w:type="dxa" w:w="3120"/>
            <w:shd w:fill="FFFFFF"/>
            <w:tcMar>
              <w:top w:w="120" w:type="dxa"/>
              <w:bottom w:w="120" w:type="dxa"/>
              <w:left w:w="150" w:type="dxa"/>
              <w:right w:w="150" w:type="dxa"/>
            </w:tcMar>
          </w:tcPr>
          <w:p>
            <w:r>
              <w:rPr>
                <w:color w:val="2D3741"/>
                <w:sz w:val="19"/>
              </w:rPr>
              <w:t>CustomerDeleteTests.cs</w:t>
            </w:r>
          </w:p>
        </w:tc>
        <w:tc>
          <w:tcPr>
            <w:tcW w:type="dxa" w:w="3120"/>
            <w:shd w:fill="FFFFFF"/>
            <w:tcMar>
              <w:top w:w="120" w:type="dxa"/>
              <w:bottom w:w="120" w:type="dxa"/>
              <w:left w:w="150" w:type="dxa"/>
              <w:right w:w="150" w:type="dxa"/>
            </w:tcMar>
          </w:tcPr>
          <w:p>
            <w:r>
              <w:rPr>
                <w:color w:val="2D3741"/>
                <w:sz w:val="19"/>
              </w:rPr>
              <w:t>DELETE-001 to DELETE-018; AUTH-038 to AUTH-040</w:t>
            </w:r>
          </w:p>
        </w:tc>
        <w:tc>
          <w:tcPr>
            <w:tcW w:type="dxa" w:w="3120"/>
            <w:shd w:fill="FFFFFF"/>
            <w:tcMar>
              <w:top w:w="120" w:type="dxa"/>
              <w:bottom w:w="120" w:type="dxa"/>
              <w:left w:w="150" w:type="dxa"/>
              <w:right w:w="150" w:type="dxa"/>
            </w:tcMar>
          </w:tcPr>
          <w:p>
            <w:r>
              <w:rPr>
                <w:color w:val="2D3741"/>
                <w:sz w:val="19"/>
              </w:rPr>
              <w:t>Delete authorization and delete contract scenarios</w:t>
            </w:r>
          </w:p>
        </w:tc>
      </w:tr>
      <w:tr>
        <w:tc>
          <w:tcPr>
            <w:tcW w:type="dxa" w:w="3120"/>
            <w:shd w:fill="F4F7FA"/>
            <w:tcMar>
              <w:top w:w="120" w:type="dxa"/>
              <w:bottom w:w="120" w:type="dxa"/>
              <w:left w:w="150" w:type="dxa"/>
              <w:right w:w="150" w:type="dxa"/>
            </w:tcMar>
          </w:tcPr>
          <w:p>
            <w:r>
              <w:rPr>
                <w:color w:val="2D3741"/>
                <w:sz w:val="19"/>
              </w:rPr>
              <w:t>CustomerSyncTests.cs</w:t>
            </w:r>
          </w:p>
        </w:tc>
        <w:tc>
          <w:tcPr>
            <w:tcW w:type="dxa" w:w="3120"/>
            <w:shd w:fill="F4F7FA"/>
            <w:tcMar>
              <w:top w:w="120" w:type="dxa"/>
              <w:bottom w:w="120" w:type="dxa"/>
              <w:left w:w="150" w:type="dxa"/>
              <w:right w:w="150" w:type="dxa"/>
            </w:tcMar>
          </w:tcPr>
          <w:p>
            <w:r>
              <w:rPr>
                <w:color w:val="2D3741"/>
                <w:sz w:val="19"/>
              </w:rPr>
              <w:t>SYNC-001 to SYNC-016; AUTH-041 to AUTH-047</w:t>
            </w:r>
          </w:p>
        </w:tc>
        <w:tc>
          <w:tcPr>
            <w:tcW w:type="dxa" w:w="3120"/>
            <w:shd w:fill="F4F7FA"/>
            <w:tcMar>
              <w:top w:w="120" w:type="dxa"/>
              <w:bottom w:w="120" w:type="dxa"/>
              <w:left w:w="150" w:type="dxa"/>
              <w:right w:w="150" w:type="dxa"/>
            </w:tcMar>
          </w:tcPr>
          <w:p>
            <w:r>
              <w:rPr>
                <w:color w:val="2D3741"/>
                <w:sz w:val="19"/>
              </w:rPr>
              <w:t>Sync/create validation, conflicts, and authorization</w:t>
            </w:r>
          </w:p>
        </w:tc>
      </w:tr>
    </w:tbl>
    <w:p>
      <w:pPr>
        <w:keepNext/>
        <w:spacing w:before="440" w:after="120"/>
      </w:pPr>
      <w:r>
        <w:rPr>
          <w:rFonts w:ascii="Calibri" w:hAnsi="Calibri"/>
          <w:b/>
          <w:color w:val="1F3A56"/>
          <w:sz w:val="32"/>
        </w:rPr>
        <w:t>15. Technical Roadmap &amp; Milestone Extensions (Milestones 5-8)</w:t>
      </w:r>
    </w:p>
    <w:p>
      <w:pPr>
        <w:spacing w:after="120" w:line="276" w:lineRule="auto"/>
      </w:pPr>
      <w:r>
        <w:rPr>
          <w:b w:val="0"/>
        </w:rPr>
        <w:t>• Milestone 5 (Architecture Evolution): Move inline database logic into a decoupled Controller -&gt; Service -&gt; Repository layer sequence to clean up component boundaries.</w:t>
      </w:r>
    </w:p>
    <w:p>
      <w:pPr>
        <w:spacing w:after="120" w:line="276" w:lineRule="auto"/>
      </w:pPr>
      <w:r>
        <w:rPr>
          <w:b w:val="0"/>
        </w:rPr>
        <w:t>• Milestone 6 (Advanced Validation): Enforce extended validation rules, automatic duplicate detection filters, and audit fields (`CreatedAt`, `ModifiedBy`).</w:t>
      </w:r>
    </w:p>
    <w:p>
      <w:pPr>
        <w:spacing w:after="120" w:line="276" w:lineRule="auto"/>
      </w:pPr>
      <w:r>
        <w:rPr>
          <w:b w:val="0"/>
        </w:rPr>
        <w:t>• Milestone 7 (Analytics Engine Integration): Add dedicated analytical SQL query dashboards tracking system activity and data synchronization pass/fail metrics.</w:t>
      </w:r>
    </w:p>
    <w:p>
      <w:pPr>
        <w:spacing w:after="120" w:line="276" w:lineRule="auto"/>
      </w:pPr>
      <w:r>
        <w:rPr>
          <w:b w:val="0"/>
        </w:rPr>
        <w:t>• Milestone 8 (Production Readiness): Finalize deployment configurations, multi-layered documentation blocks, and end-to-end presentation demo workflows.</w:t>
      </w:r>
    </w:p>
    <w:p>
      <w:pPr>
        <w:keepNext/>
        <w:spacing w:before="440" w:after="120"/>
      </w:pPr>
      <w:r>
        <w:rPr>
          <w:rFonts w:ascii="Calibri" w:hAnsi="Calibri"/>
          <w:b/>
          <w:color w:val="1F3A56"/>
          <w:sz w:val="32"/>
        </w:rPr>
        <w:t>16. Project Retrospective &amp; Solutions Architectural Lessons Learned</w:t>
      </w:r>
    </w:p>
    <w:p>
      <w:pPr>
        <w:spacing w:after="120" w:line="276" w:lineRule="auto"/>
      </w:pPr>
      <w:r>
        <w:rPr>
          <w:b w:val="0"/>
        </w:rPr>
        <w:t>• Clear architectural planning avoids technical drift. Aligning integration test scopes directly with business requirements ensures complete coverage of system dependencies.</w:t>
      </w:r>
    </w:p>
    <w:p>
      <w:pPr>
        <w:spacing w:after="120" w:line="276" w:lineRule="auto"/>
      </w:pPr>
      <w:r>
        <w:rPr>
          <w:b w:val="0"/>
        </w:rPr>
        <w:t>• Decoupling shared database fixtures prevents data pollution when running parallel asynchronous integration test loops inside modern test environments.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