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Community Detection Report</w:t>
      </w:r>
    </w:p>
    <w:p>
      <w:pPr>
        <w:jc w:val="center"/>
      </w:pPr>
      <w:r>
        <w:rPr>
          <w:i/>
        </w:rPr>
        <w:t>Citation network analysis</w:t>
      </w:r>
    </w:p>
    <w:p>
      <w:pPr>
        <w:pStyle w:val="Heading1"/>
      </w:pPr>
      <w:r>
        <w:t>1. Results requested</w:t>
      </w:r>
    </w:p>
    <w:p>
      <w:r>
        <w:t>This report summarizes community size, singleton communities, node and edge coverage, concentration in the largest communities, modularity, and measured runtime.</w:t>
      </w:r>
    </w:p>
    <w:p>
      <w:pPr>
        <w:pStyle w:val="Heading1"/>
      </w:pPr>
      <w:r>
        <w:t>2. Community-size statistics</w:t>
      </w:r>
    </w:p>
    <w:tbl>
      <w:tblPr>
        <w:tblStyle w:val="LightShading-Accent1"/>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Minimum</w:t>
            </w:r>
          </w:p>
        </w:tc>
        <w:tc>
          <w:tcPr>
            <w:tcW w:type="dxa" w:w="4320"/>
          </w:tcPr>
          <w:p>
            <w:r>
              <w:t>1</w:t>
            </w:r>
          </w:p>
        </w:tc>
      </w:tr>
      <w:tr>
        <w:tc>
          <w:tcPr>
            <w:tcW w:type="dxa" w:w="4320"/>
          </w:tcPr>
          <w:p>
            <w:r>
              <w:t>Maximum</w:t>
            </w:r>
          </w:p>
        </w:tc>
        <w:tc>
          <w:tcPr>
            <w:tcW w:type="dxa" w:w="4320"/>
          </w:tcPr>
          <w:p>
            <w:r>
              <w:t>109,371,240</w:t>
            </w:r>
          </w:p>
        </w:tc>
      </w:tr>
      <w:tr>
        <w:tc>
          <w:tcPr>
            <w:tcW w:type="dxa" w:w="4320"/>
          </w:tcPr>
          <w:p>
            <w:r>
              <w:t>Median</w:t>
            </w:r>
          </w:p>
        </w:tc>
        <w:tc>
          <w:tcPr>
            <w:tcW w:type="dxa" w:w="4320"/>
          </w:tcPr>
          <w:p>
            <w:r>
              <w:t>3</w:t>
            </w:r>
          </w:p>
        </w:tc>
      </w:tr>
      <w:tr>
        <w:tc>
          <w:tcPr>
            <w:tcW w:type="dxa" w:w="4320"/>
          </w:tcPr>
          <w:p>
            <w:r>
              <w:t>Mean</w:t>
            </w:r>
          </w:p>
        </w:tc>
        <w:tc>
          <w:tcPr>
            <w:tcW w:type="dxa" w:w="4320"/>
          </w:tcPr>
          <w:p>
            <w:r>
              <w:t>438,279.888</w:t>
            </w:r>
          </w:p>
        </w:tc>
      </w:tr>
      <w:tr>
        <w:tc>
          <w:tcPr>
            <w:tcW w:type="dxa" w:w="4320"/>
          </w:tcPr>
          <w:p>
            <w:r>
              <w:t>25th percentile</w:t>
            </w:r>
          </w:p>
        </w:tc>
        <w:tc>
          <w:tcPr>
            <w:tcW w:type="dxa" w:w="4320"/>
          </w:tcPr>
          <w:p>
            <w:r>
              <w:t>1</w:t>
            </w:r>
          </w:p>
        </w:tc>
      </w:tr>
      <w:tr>
        <w:tc>
          <w:tcPr>
            <w:tcW w:type="dxa" w:w="4320"/>
          </w:tcPr>
          <w:p>
            <w:r>
              <w:t>75th percentile</w:t>
            </w:r>
          </w:p>
        </w:tc>
        <w:tc>
          <w:tcPr>
            <w:tcW w:type="dxa" w:w="4320"/>
          </w:tcPr>
          <w:p>
            <w:r>
              <w:t>17.5</w:t>
            </w:r>
          </w:p>
        </w:tc>
      </w:tr>
      <w:tr>
        <w:tc>
          <w:tcPr>
            <w:tcW w:type="dxa" w:w="4320"/>
          </w:tcPr>
          <w:p>
            <w:r>
              <w:t>90th percentile</w:t>
            </w:r>
          </w:p>
        </w:tc>
        <w:tc>
          <w:tcPr>
            <w:tcW w:type="dxa" w:w="4320"/>
          </w:tcPr>
          <w:p>
            <w:r>
              <w:t>212.6</w:t>
            </w:r>
          </w:p>
        </w:tc>
      </w:tr>
      <w:tr>
        <w:tc>
          <w:tcPr>
            <w:tcW w:type="dxa" w:w="4320"/>
          </w:tcPr>
          <w:p>
            <w:r>
              <w:t>99th percentile</w:t>
            </w:r>
          </w:p>
        </w:tc>
        <w:tc>
          <w:tcPr>
            <w:tcW w:type="dxa" w:w="4320"/>
          </w:tcPr>
          <w:p>
            <w:r>
              <w:t>29,150</w:t>
            </w:r>
          </w:p>
        </w:tc>
      </w:tr>
    </w:tbl>
    <w:p>
      <w:pPr>
        <w:pStyle w:val="Heading1"/>
      </w:pPr>
      <w:r>
        <w:t>3. Coverage and other metrics</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papers/nodes</w:t>
            </w:r>
          </w:p>
        </w:tc>
        <w:tc>
          <w:tcPr>
            <w:tcW w:type="dxa" w:w="4320"/>
          </w:tcPr>
          <w:p>
            <w:r>
              <w:t>109,569,972</w:t>
            </w:r>
          </w:p>
        </w:tc>
      </w:tr>
      <w:tr>
        <w:tc>
          <w:tcPr>
            <w:tcW w:type="dxa" w:w="4320"/>
          </w:tcPr>
          <w:p>
            <w:r>
              <w:t>Total citation edges</w:t>
            </w:r>
          </w:p>
        </w:tc>
        <w:tc>
          <w:tcPr>
            <w:tcW w:type="dxa" w:w="4320"/>
          </w:tcPr>
          <w:p>
            <w:r>
              <w:t>1,926,971,191</w:t>
            </w:r>
          </w:p>
        </w:tc>
      </w:tr>
      <w:tr>
        <w:tc>
          <w:tcPr>
            <w:tcW w:type="dxa" w:w="4320"/>
          </w:tcPr>
          <w:p>
            <w:r>
              <w:t>Number of communities</w:t>
            </w:r>
          </w:p>
        </w:tc>
        <w:tc>
          <w:tcPr>
            <w:tcW w:type="dxa" w:w="4320"/>
          </w:tcPr>
          <w:p>
            <w:r>
              <w:t>250</w:t>
            </w:r>
          </w:p>
        </w:tc>
      </w:tr>
      <w:tr>
        <w:tc>
          <w:tcPr>
            <w:tcW w:type="dxa" w:w="4320"/>
          </w:tcPr>
          <w:p>
            <w:r>
              <w:t>Singleton communities</w:t>
            </w:r>
          </w:p>
        </w:tc>
        <w:tc>
          <w:tcPr>
            <w:tcW w:type="dxa" w:w="4320"/>
          </w:tcPr>
          <w:p>
            <w:r>
              <w:t>91</w:t>
            </w:r>
          </w:p>
        </w:tc>
      </w:tr>
      <w:tr>
        <w:tc>
          <w:tcPr>
            <w:tcW w:type="dxa" w:w="4320"/>
          </w:tcPr>
          <w:p>
            <w:r>
              <w:t>Largest community fraction</w:t>
            </w:r>
          </w:p>
        </w:tc>
        <w:tc>
          <w:tcPr>
            <w:tcW w:type="dxa" w:w="4320"/>
          </w:tcPr>
          <w:p>
            <w:r>
              <w:t>99.8186%</w:t>
            </w:r>
          </w:p>
        </w:tc>
      </w:tr>
      <w:tr>
        <w:tc>
          <w:tcPr>
            <w:tcW w:type="dxa" w:w="4320"/>
          </w:tcPr>
          <w:p>
            <w:r>
              <w:t>Top 10 communities fraction</w:t>
            </w:r>
          </w:p>
        </w:tc>
        <w:tc>
          <w:tcPr>
            <w:tcW w:type="dxa" w:w="4320"/>
          </w:tcPr>
          <w:p>
            <w:r>
              <w:t>99.9865%</w:t>
            </w:r>
          </w:p>
        </w:tc>
      </w:tr>
      <w:tr>
        <w:tc>
          <w:tcPr>
            <w:tcW w:type="dxa" w:w="4320"/>
          </w:tcPr>
          <w:p>
            <w:r>
              <w:t>Node coverage</w:t>
            </w:r>
          </w:p>
        </w:tc>
        <w:tc>
          <w:tcPr>
            <w:tcW w:type="dxa" w:w="4320"/>
          </w:tcPr>
          <w:p>
            <w:r>
              <w:t>100%</w:t>
            </w:r>
          </w:p>
        </w:tc>
      </w:tr>
      <w:tr>
        <w:tc>
          <w:tcPr>
            <w:tcW w:type="dxa" w:w="4320"/>
          </w:tcPr>
          <w:p>
            <w:r>
              <w:t>Edge coverage</w:t>
            </w:r>
          </w:p>
        </w:tc>
        <w:tc>
          <w:tcPr>
            <w:tcW w:type="dxa" w:w="4320"/>
          </w:tcPr>
          <w:p>
            <w:r>
              <w:t>100%</w:t>
            </w:r>
          </w:p>
        </w:tc>
      </w:tr>
      <w:tr>
        <w:tc>
          <w:tcPr>
            <w:tcW w:type="dxa" w:w="4320"/>
          </w:tcPr>
          <w:p>
            <w:r>
              <w:t>Modularity Q</w:t>
            </w:r>
          </w:p>
        </w:tc>
        <w:tc>
          <w:tcPr>
            <w:tcW w:type="dxa" w:w="4320"/>
          </w:tcPr>
          <w:p>
            <w:r>
              <w:t>0.0000213681</w:t>
            </w:r>
          </w:p>
        </w:tc>
      </w:tr>
      <w:tr>
        <w:tc>
          <w:tcPr>
            <w:tcW w:type="dxa" w:w="4320"/>
          </w:tcPr>
          <w:p>
            <w:r>
              <w:t>Measured analysis runtime</w:t>
            </w:r>
          </w:p>
        </w:tc>
        <w:tc>
          <w:tcPr>
            <w:tcW w:type="dxa" w:w="4320"/>
          </w:tcPr>
          <w:p>
            <w:r>
              <w:t>70,379.24 seconds (19.55 hours)</w:t>
            </w:r>
          </w:p>
        </w:tc>
      </w:tr>
    </w:tbl>
    <w:p>
      <w:pPr>
        <w:pStyle w:val="Heading1"/>
      </w:pPr>
      <w:r>
        <w:t>4. Calculation methodology</w:t>
      </w:r>
    </w:p>
    <w:p>
      <w:r>
        <w:t>Community sizes were calculated as s_i = |{v : C(v)=i}|, where C(v) is the community assigned to paper v. The mean is the sum of all community sizes divided by the number of communities; the median and percentiles were calculated after sorting community sizes. Singleton communities were counted using sum of the indicator 1(s_i = 1). The largest-community fraction is max(s_i)/N, and the top-10 fraction is the sum of the ten largest sizes divided by N. Node coverage is assigned nodes divided by N. Edge coverage is the number of citation edges whose two endpoints have valid community assignments divided by the total number of edges.</w:t>
      </w:r>
    </w:p>
    <w:p>
      <w:r>
        <w:t>Singleton count: communities with exactly one paper. Largest-community fraction: max(s_i)/N. Top-10 fraction: sum of the ten largest community sizes divided by N. Node coverage: assigned nodes/N. Edge coverage: edges with both endpoints assigned divided by total edges.</w:t>
      </w:r>
    </w:p>
    <w:p>
      <w:pPr>
        <w:pStyle w:val="Heading1"/>
      </w:pPr>
      <w:r>
        <w:t>5. Modularity calculation</w:t>
      </w:r>
    </w:p>
    <w:p>
      <w:r>
        <w:t>Modularity was calculated using Q = sum_c [l_c/M - (d_c/(2M))^2], where l_c is the number of citation edges internal to community c, d_c is the sum of in-degree and out-degree of nodes in c, and M is the total number of citation edges. The resulting modularity was Q = 0.0000213681. A value close to zero indicates weak separation relative to a degree-preserving random-network baseline.</w:t>
      </w:r>
    </w:p>
    <w:p>
      <w:pPr>
        <w:pStyle w:val="Heading1"/>
      </w:pPr>
      <w:r>
        <w:t>6. Requested figures</w:t>
      </w:r>
    </w:p>
    <w:p>
      <w:r>
        <w:t>The community-size distribution is plotted on logarithmic axes. The cumulative fraction of papers is plotted against communities ranked by decreasing size, with a logarithmic x-axis. The supplied figures show a highly concentrated distribution: the cumulative curve reaches approximately 99.82% at the first community and remains nearly flat thereafter.</w:t>
      </w:r>
    </w:p>
    <w:p>
      <w:pPr>
        <w:pStyle w:val="Heading1"/>
      </w:pPr>
      <w:r>
        <w:t>7. Runtime calculation</w:t>
      </w:r>
    </w:p>
    <w:p>
      <w:r>
        <w:t>Runtime was measured as elapsed wall-clock time: start_time = time.time(); analysis; runtime_seconds = time.time() - start_time. The measured runtime was 70,379.24 seconds, approximately 19.55 hours. This is the analysis and modularity-calculation runtime, not confirmed original detection runtime.</w:t>
      </w:r>
    </w:p>
    <w:p>
      <w:pPr>
        <w:pStyle w:val="Heading1"/>
      </w:pPr>
      <w:r>
        <w:t>8. Interpretation</w:t>
      </w:r>
    </w:p>
    <w:p>
      <w:r>
        <w:t>The community partition is extremely imbalanced. The largest community contains nearly the entire network, while most remaining communities are very small. The modularity is close to zero, indicating weak separation relative to a degree-preserving null model. The high internal-edge fraction (99.1023%) is largely explained by the giant community and should not be interpreted alone as evidence of strong community structure.</w:t>
      </w:r>
    </w:p>
    <w:p>
      <w:pPr>
        <w:pStyle w:val="Heading1"/>
      </w:pPr>
      <w:r>
        <w:t>9. Reproducibility note</w:t>
      </w:r>
    </w:p>
    <w:p>
      <w:r>
        <w:t>Dataset: public/data/citation_network.db. The graph contains 109,569,972 nodes and 1,926,971,191 citation edges. Node and edge coverage are both 100%.</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