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Community Detection Report</w:t>
      </w:r>
    </w:p>
    <w:p>
      <w:pPr>
        <w:jc w:val="center"/>
      </w:pPr>
      <w:r>
        <w:rPr>
          <w:i/>
        </w:rPr>
        <w:t>Citation network analysis</w:t>
      </w:r>
    </w:p>
    <w:p>
      <w:pPr>
        <w:pStyle w:val="Heading1"/>
      </w:pPr>
      <w:r>
        <w:t>1. Results requested</w:t>
      </w:r>
    </w:p>
    <w:p>
      <w:r>
        <w:t>This report summarizes community size, singleton communities, node and edge coverage, concentration in the largest communities, modularity, and measured runtime.</w:t>
      </w:r>
    </w:p>
    <w:p>
      <w:pPr>
        <w:pStyle w:val="Heading1"/>
      </w:pPr>
      <w:r>
        <w:t>2. Community-size statistics</w:t>
      </w:r>
    </w:p>
    <w:tbl>
      <w:tblPr>
        <w:tblStyle w:val="LightShading-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Minimum</w:t>
            </w:r>
          </w:p>
        </w:tc>
        <w:tc>
          <w:tcPr>
            <w:tcW w:type="dxa" w:w="4320"/>
          </w:tcPr>
          <w:p>
            <w:r>
              <w:t>1</w:t>
            </w:r>
          </w:p>
        </w:tc>
      </w:tr>
      <w:tr>
        <w:tc>
          <w:tcPr>
            <w:tcW w:type="dxa" w:w="4320"/>
          </w:tcPr>
          <w:p>
            <w:r>
              <w:t>Maximum</w:t>
            </w:r>
          </w:p>
        </w:tc>
        <w:tc>
          <w:tcPr>
            <w:tcW w:type="dxa" w:w="4320"/>
          </w:tcPr>
          <w:p>
            <w:r>
              <w:t>109,371,240</w:t>
            </w:r>
          </w:p>
        </w:tc>
      </w:tr>
      <w:tr>
        <w:tc>
          <w:tcPr>
            <w:tcW w:type="dxa" w:w="4320"/>
          </w:tcPr>
          <w:p>
            <w:r>
              <w:t>Median</w:t>
            </w:r>
          </w:p>
        </w:tc>
        <w:tc>
          <w:tcPr>
            <w:tcW w:type="dxa" w:w="4320"/>
          </w:tcPr>
          <w:p>
            <w:r>
              <w:t>3</w:t>
            </w:r>
          </w:p>
        </w:tc>
      </w:tr>
      <w:tr>
        <w:tc>
          <w:tcPr>
            <w:tcW w:type="dxa" w:w="4320"/>
          </w:tcPr>
          <w:p>
            <w:r>
              <w:t>Mean</w:t>
            </w:r>
          </w:p>
        </w:tc>
        <w:tc>
          <w:tcPr>
            <w:tcW w:type="dxa" w:w="4320"/>
          </w:tcPr>
          <w:p>
            <w:r>
              <w:t>438,279.888</w:t>
            </w:r>
          </w:p>
        </w:tc>
      </w:tr>
      <w:tr>
        <w:tc>
          <w:tcPr>
            <w:tcW w:type="dxa" w:w="4320"/>
          </w:tcPr>
          <w:p>
            <w:r>
              <w:t>25th percentile</w:t>
            </w:r>
          </w:p>
        </w:tc>
        <w:tc>
          <w:tcPr>
            <w:tcW w:type="dxa" w:w="4320"/>
          </w:tcPr>
          <w:p>
            <w:r>
              <w:t>1</w:t>
            </w:r>
          </w:p>
        </w:tc>
      </w:tr>
      <w:tr>
        <w:tc>
          <w:tcPr>
            <w:tcW w:type="dxa" w:w="4320"/>
          </w:tcPr>
          <w:p>
            <w:r>
              <w:t>75th percentile</w:t>
            </w:r>
          </w:p>
        </w:tc>
        <w:tc>
          <w:tcPr>
            <w:tcW w:type="dxa" w:w="4320"/>
          </w:tcPr>
          <w:p>
            <w:r>
              <w:t>17.5</w:t>
            </w:r>
          </w:p>
        </w:tc>
      </w:tr>
      <w:tr>
        <w:tc>
          <w:tcPr>
            <w:tcW w:type="dxa" w:w="4320"/>
          </w:tcPr>
          <w:p>
            <w:r>
              <w:t>90th percentile</w:t>
            </w:r>
          </w:p>
        </w:tc>
        <w:tc>
          <w:tcPr>
            <w:tcW w:type="dxa" w:w="4320"/>
          </w:tcPr>
          <w:p>
            <w:r>
              <w:t>212.6</w:t>
            </w:r>
          </w:p>
        </w:tc>
      </w:tr>
      <w:tr>
        <w:tc>
          <w:tcPr>
            <w:tcW w:type="dxa" w:w="4320"/>
          </w:tcPr>
          <w:p>
            <w:r>
              <w:t>99th percentile</w:t>
            </w:r>
          </w:p>
        </w:tc>
        <w:tc>
          <w:tcPr>
            <w:tcW w:type="dxa" w:w="4320"/>
          </w:tcPr>
          <w:p>
            <w:r>
              <w:t>29,150</w:t>
            </w:r>
          </w:p>
        </w:tc>
      </w:tr>
    </w:tbl>
    <w:p>
      <w:pPr>
        <w:pStyle w:val="Heading1"/>
      </w:pPr>
      <w:r>
        <w:t>3. Coverage and other metrics</w:t>
      </w:r>
    </w:p>
    <w:tbl>
      <w:tblPr>
        <w:tblStyle w:val="LightShading-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papers/nodes</w:t>
            </w:r>
          </w:p>
        </w:tc>
        <w:tc>
          <w:tcPr>
            <w:tcW w:type="dxa" w:w="4320"/>
          </w:tcPr>
          <w:p>
            <w:r>
              <w:t>109,569,972</w:t>
            </w:r>
          </w:p>
        </w:tc>
      </w:tr>
      <w:tr>
        <w:tc>
          <w:tcPr>
            <w:tcW w:type="dxa" w:w="4320"/>
          </w:tcPr>
          <w:p>
            <w:r>
              <w:t>Total citation edges</w:t>
            </w:r>
          </w:p>
        </w:tc>
        <w:tc>
          <w:tcPr>
            <w:tcW w:type="dxa" w:w="4320"/>
          </w:tcPr>
          <w:p>
            <w:r>
              <w:t>1,926,971,191</w:t>
            </w:r>
          </w:p>
        </w:tc>
      </w:tr>
      <w:tr>
        <w:tc>
          <w:tcPr>
            <w:tcW w:type="dxa" w:w="4320"/>
          </w:tcPr>
          <w:p>
            <w:r>
              <w:t>Number of communities</w:t>
            </w:r>
          </w:p>
        </w:tc>
        <w:tc>
          <w:tcPr>
            <w:tcW w:type="dxa" w:w="4320"/>
          </w:tcPr>
          <w:p>
            <w:r>
              <w:t>250</w:t>
            </w:r>
          </w:p>
        </w:tc>
      </w:tr>
      <w:tr>
        <w:tc>
          <w:tcPr>
            <w:tcW w:type="dxa" w:w="4320"/>
          </w:tcPr>
          <w:p>
            <w:r>
              <w:t>Singleton communities</w:t>
            </w:r>
          </w:p>
        </w:tc>
        <w:tc>
          <w:tcPr>
            <w:tcW w:type="dxa" w:w="4320"/>
          </w:tcPr>
          <w:p>
            <w:r>
              <w:t>91</w:t>
            </w:r>
          </w:p>
        </w:tc>
      </w:tr>
      <w:tr>
        <w:tc>
          <w:tcPr>
            <w:tcW w:type="dxa" w:w="4320"/>
          </w:tcPr>
          <w:p>
            <w:r>
              <w:t>Largest community fraction</w:t>
            </w:r>
          </w:p>
        </w:tc>
        <w:tc>
          <w:tcPr>
            <w:tcW w:type="dxa" w:w="4320"/>
          </w:tcPr>
          <w:p>
            <w:r>
              <w:t>99.8186%</w:t>
            </w:r>
          </w:p>
        </w:tc>
      </w:tr>
      <w:tr>
        <w:tc>
          <w:tcPr>
            <w:tcW w:type="dxa" w:w="4320"/>
          </w:tcPr>
          <w:p>
            <w:r>
              <w:t>Top 10 communities fraction</w:t>
            </w:r>
          </w:p>
        </w:tc>
        <w:tc>
          <w:tcPr>
            <w:tcW w:type="dxa" w:w="4320"/>
          </w:tcPr>
          <w:p>
            <w:r>
              <w:t>99.9865%</w:t>
            </w:r>
          </w:p>
        </w:tc>
      </w:tr>
      <w:tr>
        <w:tc>
          <w:tcPr>
            <w:tcW w:type="dxa" w:w="4320"/>
          </w:tcPr>
          <w:p>
            <w:r>
              <w:t>Node coverage</w:t>
            </w:r>
          </w:p>
        </w:tc>
        <w:tc>
          <w:tcPr>
            <w:tcW w:type="dxa" w:w="4320"/>
          </w:tcPr>
          <w:p>
            <w:r>
              <w:t>100%</w:t>
            </w:r>
          </w:p>
        </w:tc>
      </w:tr>
      <w:tr>
        <w:tc>
          <w:tcPr>
            <w:tcW w:type="dxa" w:w="4320"/>
          </w:tcPr>
          <w:p>
            <w:r>
              <w:t>Edge coverage</w:t>
            </w:r>
          </w:p>
        </w:tc>
        <w:tc>
          <w:tcPr>
            <w:tcW w:type="dxa" w:w="4320"/>
          </w:tcPr>
          <w:p>
            <w:r>
              <w:t>100%</w:t>
            </w:r>
          </w:p>
        </w:tc>
      </w:tr>
      <w:tr>
        <w:tc>
          <w:tcPr>
            <w:tcW w:type="dxa" w:w="4320"/>
          </w:tcPr>
          <w:p>
            <w:r>
              <w:t>Modularity Q</w:t>
            </w:r>
          </w:p>
        </w:tc>
        <w:tc>
          <w:tcPr>
            <w:tcW w:type="dxa" w:w="4320"/>
          </w:tcPr>
          <w:p>
            <w:r>
              <w:t>0.0000213681</w:t>
            </w:r>
          </w:p>
        </w:tc>
      </w:tr>
      <w:tr>
        <w:tc>
          <w:tcPr>
            <w:tcW w:type="dxa" w:w="4320"/>
          </w:tcPr>
          <w:p>
            <w:r>
              <w:t>Measured analysis runtime</w:t>
            </w:r>
          </w:p>
        </w:tc>
        <w:tc>
          <w:tcPr>
            <w:tcW w:type="dxa" w:w="4320"/>
          </w:tcPr>
          <w:p>
            <w:r>
              <w:t>70,379.24 seconds (19.55 hours)</w:t>
            </w:r>
          </w:p>
        </w:tc>
      </w:tr>
    </w:tbl>
    <w:p>
      <w:pPr>
        <w:pStyle w:val="Heading1"/>
      </w:pPr>
      <w:r>
        <w:t>4. Requested figures</w:t>
      </w:r>
    </w:p>
    <w:p>
      <w:r>
        <w:t>The community-size distribution should be plotted with logarithmic axes. The cumulative fraction of papers should be plotted against communities ranked by decreasing size, with a logarithmic x-axis. The supplied figures show a highly concentrated distribution: the cumulative curve reaches approximately 99.82% at the first community and remains nearly flat thereafter.</w:t>
      </w:r>
    </w:p>
    <w:p>
      <w:pPr>
        <w:pStyle w:val="Heading1"/>
      </w:pPr>
      <w:r>
        <w:t>5. Modularity</w:t>
      </w:r>
    </w:p>
    <w:p>
      <w:r>
        <w:t>The modularity obtained from the constructed community partition is Q = 0.0000213681. This is effectively close to zero and indicates weak community separation under the degree-preserving null model.</w:t>
      </w:r>
    </w:p>
    <w:p>
      <w:pPr>
        <w:pStyle w:val="Heading1"/>
      </w:pPr>
      <w:r>
        <w:t>6. Runtime</w:t>
      </w:r>
    </w:p>
    <w:p>
      <w:r>
        <w:t>The measured runtime available in the results is 70,379.24 seconds, or approximately 19.55 hours. This is the analysis and modularity-calculation runtime. It should not be labelled as the original detection runtime unless the detection log records the same interval.</w:t>
      </w:r>
    </w:p>
    <w:p>
      <w:pPr>
        <w:pStyle w:val="Heading1"/>
      </w:pPr>
      <w:r>
        <w:t>7. Interpretation</w:t>
      </w:r>
    </w:p>
    <w:p>
      <w:r>
        <w:t>The community partition is extremely imbalanced. The largest community contains nearly the entire network, while most remaining communities are very small. The modularity is close to zero, indicating weak separation relative to a degree-preserving null model. The high internal-edge fraction (99.1023%) is largely explained by the giant community and should not be interpreted alone as evidence of strong community structure.</w:t>
      </w:r>
    </w:p>
    <w:p>
      <w:pPr>
        <w:pStyle w:val="Heading1"/>
      </w:pPr>
      <w:r>
        <w:t>8. Reproducibility note</w:t>
      </w:r>
    </w:p>
    <w:p>
      <w:r>
        <w:t>Dataset: public/data/citation_network.db. The graph contains 109,569,972 nodes and 1,926,971,191 citation edges. Node and edge coverage are both 100%.</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