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Community Detection Report</w:t>
      </w:r>
    </w:p>
    <w:p>
      <w:pPr>
        <w:jc w:val="center"/>
      </w:pPr>
      <w:r>
        <w:rPr>
          <w:i/>
        </w:rPr>
        <w:t>Citation network community analysis</w:t>
      </w:r>
    </w:p>
    <w:p>
      <w:pPr>
        <w:pStyle w:val="Heading1"/>
      </w:pPr>
      <w:r>
        <w:t>1. Dataset and scope</w:t>
      </w:r>
    </w:p>
    <w:p>
      <w:r>
        <w:t>The analysis evaluates the detected communities in the citation network, including community sizes, coverage, modularity, and runtime.</w:t>
      </w:r>
    </w:p>
    <w:p>
      <w:pPr>
        <w:pStyle w:val="Heading1"/>
      </w:pPr>
      <w:r>
        <w:t>2. Community-size statistics</w:t>
      </w:r>
    </w:p>
    <w:tbl>
      <w:tblPr>
        <w:tblStyle w:val="LightShading-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Minimum community size</w:t>
            </w:r>
          </w:p>
        </w:tc>
        <w:tc>
          <w:tcPr>
            <w:tcW w:type="dxa" w:w="4320"/>
          </w:tcPr>
          <w:p>
            <w:r>
              <w:t>1</w:t>
            </w:r>
          </w:p>
        </w:tc>
      </w:tr>
      <w:tr>
        <w:tc>
          <w:tcPr>
            <w:tcW w:type="dxa" w:w="4320"/>
          </w:tcPr>
          <w:p>
            <w:r>
              <w:t>Maximum community size</w:t>
            </w:r>
          </w:p>
        </w:tc>
        <w:tc>
          <w:tcPr>
            <w:tcW w:type="dxa" w:w="4320"/>
          </w:tcPr>
          <w:p>
            <w:r>
              <w:t>109,371,240</w:t>
            </w:r>
          </w:p>
        </w:tc>
      </w:tr>
      <w:tr>
        <w:tc>
          <w:tcPr>
            <w:tcW w:type="dxa" w:w="4320"/>
          </w:tcPr>
          <w:p>
            <w:r>
              <w:t>Median</w:t>
            </w:r>
          </w:p>
        </w:tc>
        <w:tc>
          <w:tcPr>
            <w:tcW w:type="dxa" w:w="4320"/>
          </w:tcPr>
          <w:p>
            <w:r>
              <w:t>3</w:t>
            </w:r>
          </w:p>
        </w:tc>
      </w:tr>
      <w:tr>
        <w:tc>
          <w:tcPr>
            <w:tcW w:type="dxa" w:w="4320"/>
          </w:tcPr>
          <w:p>
            <w:r>
              <w:t>Mean</w:t>
            </w:r>
          </w:p>
        </w:tc>
        <w:tc>
          <w:tcPr>
            <w:tcW w:type="dxa" w:w="4320"/>
          </w:tcPr>
          <w:p>
            <w:r>
              <w:t>438,279.89</w:t>
            </w:r>
          </w:p>
        </w:tc>
      </w:tr>
      <w:tr>
        <w:tc>
          <w:tcPr>
            <w:tcW w:type="dxa" w:w="4320"/>
          </w:tcPr>
          <w:p>
            <w:r>
              <w:t>25th percentile</w:t>
            </w:r>
          </w:p>
        </w:tc>
        <w:tc>
          <w:tcPr>
            <w:tcW w:type="dxa" w:w="4320"/>
          </w:tcPr>
          <w:p>
            <w:r>
              <w:t>1</w:t>
            </w:r>
          </w:p>
        </w:tc>
      </w:tr>
      <w:tr>
        <w:tc>
          <w:tcPr>
            <w:tcW w:type="dxa" w:w="4320"/>
          </w:tcPr>
          <w:p>
            <w:r>
              <w:t>75th percentile</w:t>
            </w:r>
          </w:p>
        </w:tc>
        <w:tc>
          <w:tcPr>
            <w:tcW w:type="dxa" w:w="4320"/>
          </w:tcPr>
          <w:p>
            <w:r>
              <w:t>17.5</w:t>
            </w:r>
          </w:p>
        </w:tc>
      </w:tr>
      <w:tr>
        <w:tc>
          <w:tcPr>
            <w:tcW w:type="dxa" w:w="4320"/>
          </w:tcPr>
          <w:p>
            <w:r>
              <w:t>90th percentile</w:t>
            </w:r>
          </w:p>
        </w:tc>
        <w:tc>
          <w:tcPr>
            <w:tcW w:type="dxa" w:w="4320"/>
          </w:tcPr>
          <w:p>
            <w:r>
              <w:t>212.6</w:t>
            </w:r>
          </w:p>
        </w:tc>
      </w:tr>
      <w:tr>
        <w:tc>
          <w:tcPr>
            <w:tcW w:type="dxa" w:w="4320"/>
          </w:tcPr>
          <w:p>
            <w:r>
              <w:t>99th percentile</w:t>
            </w:r>
          </w:p>
        </w:tc>
        <w:tc>
          <w:tcPr>
            <w:tcW w:type="dxa" w:w="4320"/>
          </w:tcPr>
          <w:p>
            <w:r>
              <w:t>29,150</w:t>
            </w:r>
          </w:p>
        </w:tc>
      </w:tr>
    </w:tbl>
    <w:p>
      <w:pPr>
        <w:pStyle w:val="Heading1"/>
      </w:pPr>
      <w:r>
        <w:t>3. Coverage and modularity</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Number of communities</w:t>
            </w:r>
          </w:p>
        </w:tc>
        <w:tc>
          <w:tcPr>
            <w:tcW w:type="dxa" w:w="4320"/>
          </w:tcPr>
          <w:p>
            <w:r>
              <w:t>250</w:t>
            </w:r>
          </w:p>
        </w:tc>
      </w:tr>
      <w:tr>
        <w:tc>
          <w:tcPr>
            <w:tcW w:type="dxa" w:w="4320"/>
          </w:tcPr>
          <w:p>
            <w:r>
              <w:t>Singleton communities</w:t>
            </w:r>
          </w:p>
        </w:tc>
        <w:tc>
          <w:tcPr>
            <w:tcW w:type="dxa" w:w="4320"/>
          </w:tcPr>
          <w:p>
            <w:r>
              <w:t>91</w:t>
            </w:r>
          </w:p>
        </w:tc>
      </w:tr>
      <w:tr>
        <w:tc>
          <w:tcPr>
            <w:tcW w:type="dxa" w:w="4320"/>
          </w:tcPr>
          <w:p>
            <w:r>
              <w:t>Largest community fraction</w:t>
            </w:r>
          </w:p>
        </w:tc>
        <w:tc>
          <w:tcPr>
            <w:tcW w:type="dxa" w:w="4320"/>
          </w:tcPr>
          <w:p>
            <w:r>
              <w:t>99.8186%</w:t>
            </w:r>
          </w:p>
        </w:tc>
      </w:tr>
      <w:tr>
        <w:tc>
          <w:tcPr>
            <w:tcW w:type="dxa" w:w="4320"/>
          </w:tcPr>
          <w:p>
            <w:r>
              <w:t>Top 10 communities fraction</w:t>
            </w:r>
          </w:p>
        </w:tc>
        <w:tc>
          <w:tcPr>
            <w:tcW w:type="dxa" w:w="4320"/>
          </w:tcPr>
          <w:p>
            <w:r>
              <w:t>99.9865%</w:t>
            </w:r>
          </w:p>
        </w:tc>
      </w:tr>
      <w:tr>
        <w:tc>
          <w:tcPr>
            <w:tcW w:type="dxa" w:w="4320"/>
          </w:tcPr>
          <w:p>
            <w:r>
              <w:t>Node coverage</w:t>
            </w:r>
          </w:p>
        </w:tc>
        <w:tc>
          <w:tcPr>
            <w:tcW w:type="dxa" w:w="4320"/>
          </w:tcPr>
          <w:p>
            <w:r>
              <w:t>100%</w:t>
            </w:r>
          </w:p>
        </w:tc>
      </w:tr>
      <w:tr>
        <w:tc>
          <w:tcPr>
            <w:tcW w:type="dxa" w:w="4320"/>
          </w:tcPr>
          <w:p>
            <w:r>
              <w:t>Edge coverage</w:t>
            </w:r>
          </w:p>
        </w:tc>
        <w:tc>
          <w:tcPr>
            <w:tcW w:type="dxa" w:w="4320"/>
          </w:tcPr>
          <w:p>
            <w:r>
              <w:t>100%</w:t>
            </w:r>
          </w:p>
        </w:tc>
      </w:tr>
      <w:tr>
        <w:tc>
          <w:tcPr>
            <w:tcW w:type="dxa" w:w="4320"/>
          </w:tcPr>
          <w:p>
            <w:r>
              <w:t>Modularity</w:t>
            </w:r>
          </w:p>
        </w:tc>
        <w:tc>
          <w:tcPr>
            <w:tcW w:type="dxa" w:w="4320"/>
          </w:tcPr>
          <w:p>
            <w:r>
              <w:t>0.00002137</w:t>
            </w:r>
          </w:p>
        </w:tc>
      </w:tr>
      <w:tr>
        <w:tc>
          <w:tcPr>
            <w:tcW w:type="dxa" w:w="4320"/>
          </w:tcPr>
          <w:p>
            <w:r>
              <w:t>Analysis and modularity runtime</w:t>
            </w:r>
          </w:p>
        </w:tc>
        <w:tc>
          <w:tcPr>
            <w:tcW w:type="dxa" w:w="4320"/>
          </w:tcPr>
          <w:p>
            <w:r>
              <w:t>70,379.24 seconds (19.55 hours)</w:t>
            </w:r>
          </w:p>
        </w:tc>
      </w:tr>
    </w:tbl>
    <w:p>
      <w:pPr>
        <w:pStyle w:val="Heading1"/>
      </w:pPr>
      <w:r>
        <w:t>4. Figures</w:t>
      </w:r>
    </w:p>
    <w:p>
      <w:r>
        <w:t>The accompanying analysis generates the community-size distribution on a logarithmic scale and the cumulative fraction of papers versus ranked communities. Attach the PNG figures produced by the analysis alongside this report.</w:t>
      </w:r>
    </w:p>
    <w:p>
      <w:pPr>
        <w:pStyle w:val="Heading1"/>
      </w:pPr>
      <w:r>
        <w:t>5. Interpretation</w:t>
      </w:r>
    </w:p>
    <w:p>
      <w:r>
        <w:t>The community structure is highly imbalanced. One community contains nearly the entire network, while most communities are very small. The modularity is close to zero, indicating weak separation relative to the degree-preserving null model. The reported runtime corresponds to the statistics and modularity analysis; the original community-detection runtime should be reported separately if available in the detection logs.</w:t>
      </w:r>
    </w:p>
    <w:p>
      <w:pPr>
        <w:pStyle w:val="Heading1"/>
      </w:pPr>
      <w:r>
        <w:t>6. Runtime note</w:t>
      </w:r>
    </w:p>
    <w:p>
      <w:r>
        <w:t>The 19.55-hour value is the analysis and modularity-calculation runtime, not confirmed original detection runtime. Replace it with the original detection runtime if it is recorded in the community-detection logs.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