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eastAsia="Calibri" w:hAnsi="Calibri" w:cs="Calibri"/>
          <w:b/>
          <w:bCs/>
          <w:color w:val="000000"/>
          <w:sz w:val="40"/>
          <w:szCs w:val="40"/>
        </w:rPr>
        <w:t xml:space="preserve">HAVEN A. CHAVOUS</w:t>
      </w:r>
    </w:p>
    <w:p>
      <w:pPr>
        <w:spacing w:after="240"/>
        <w:jc w:val="center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havenachavous@gmail.com | (302) 502-5567 | Wilmington, DE 19807</w:t>
      </w:r>
    </w:p>
    <w:p>
      <w:pPr>
        <w:pBdr>
          <w:bottom w:val="single" w:color="000000" w:sz="1" w:space="0"/>
        </w:pBdr>
        <w:spacing w:before="240" w:after="120"/>
      </w:pPr>
      <w:r>
        <w:rPr>
          <w:rFonts w:ascii="Calibri" w:eastAsia="Calibri" w:hAnsi="Calibri" w:cs="Calibri"/>
          <w:b/>
          <w:bCs/>
          <w:caps/>
          <w:color w:val="000000"/>
          <w:sz w:val="24"/>
          <w:szCs w:val="24"/>
        </w:rPr>
        <w:t xml:space="preserve">Summary</w:t>
      </w:r>
    </w:p>
    <w:p>
      <w:pPr>
        <w:spacing w:after="180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Senior financial modeling professional with 15+ years of experience spanning private equity real estate, commercial real estate, consumer lending analytics, and Fortune 500 FP&amp;A. Expert at building sophisticated, institutional-grade Excel financial models and delivering high-impact quantitative analytics for PE funds, investment committees, and executive leadership. Deep specialization in 3-statement pro forma development, fund-level modeling, portfolio performance analytics, and M&amp;A due diligence. Excel expert and Python practitioner with a consistent track record of transforming complex financial data into clear, decision-ready outputs.</w:t>
      </w:r>
    </w:p>
    <w:p>
      <w:pPr>
        <w:pBdr>
          <w:bottom w:val="single" w:color="000000" w:sz="1" w:space="0"/>
        </w:pBdr>
        <w:spacing w:before="240" w:after="120"/>
      </w:pPr>
      <w:r>
        <w:rPr>
          <w:rFonts w:ascii="Calibri" w:eastAsia="Calibri" w:hAnsi="Calibri" w:cs="Calibri"/>
          <w:b/>
          <w:bCs/>
          <w:caps/>
          <w:color w:val="000000"/>
          <w:sz w:val="24"/>
          <w:szCs w:val="24"/>
        </w:rPr>
        <w:t xml:space="preserve">Core Competencies</w:t>
      </w:r>
    </w:p>
    <w:tbl>
      <w:tblPr>
        <w:tblW w:type="dxa" w:w="10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eastAsia="Calibri" w:hAnsi="Calibri" w:cs="Calibri"/>
                <w:color w:val="333333"/>
                <w:sz w:val="22"/>
                <w:szCs w:val="22"/>
              </w:rPr>
              <w:t xml:space="preserve">Expert Financial Modeling</w:t>
            </w:r>
          </w:p>
          <w:p>
            <w:r>
              <w:rPr>
                <w:rFonts w:ascii="Calibri" w:eastAsia="Calibri" w:hAnsi="Calibri" w:cs="Calibri"/>
                <w:color w:val="333333"/>
                <w:sz w:val="22"/>
                <w:szCs w:val="22"/>
              </w:rPr>
              <w:t xml:space="preserve">Expert MS Excel</w:t>
            </w:r>
          </w:p>
          <w:p>
            <w:r>
              <w:rPr>
                <w:rFonts w:ascii="Calibri" w:eastAsia="Calibri" w:hAnsi="Calibri" w:cs="Calibri"/>
                <w:color w:val="333333"/>
                <w:sz w:val="22"/>
                <w:szCs w:val="22"/>
              </w:rPr>
              <w:t xml:space="preserve">Investment Analysis</w:t>
            </w:r>
          </w:p>
          <w:p>
            <w:r>
              <w:rPr>
                <w:rFonts w:ascii="Calibri" w:eastAsia="Calibri" w:hAnsi="Calibri" w:cs="Calibri"/>
                <w:color w:val="333333"/>
                <w:sz w:val="22"/>
                <w:szCs w:val="22"/>
              </w:rPr>
              <w:t xml:space="preserve">3-Statement Pro Formas</w:t>
            </w:r>
          </w:p>
          <w:p>
            <w:r>
              <w:rPr>
                <w:rFonts w:ascii="Calibri" w:eastAsia="Calibri" w:hAnsi="Calibri" w:cs="Calibri"/>
                <w:color w:val="333333"/>
                <w:sz w:val="22"/>
                <w:szCs w:val="22"/>
              </w:rPr>
              <w:t xml:space="preserve">Risk Assessment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eastAsia="Calibri" w:hAnsi="Calibri" w:cs="Calibri"/>
                <w:color w:val="333333"/>
                <w:sz w:val="22"/>
                <w:szCs w:val="22"/>
              </w:rPr>
              <w:t xml:space="preserve">PE Fund Modeling</w:t>
            </w:r>
          </w:p>
          <w:p>
            <w:r>
              <w:rPr>
                <w:rFonts w:ascii="Calibri" w:eastAsia="Calibri" w:hAnsi="Calibri" w:cs="Calibri"/>
                <w:color w:val="333333"/>
                <w:sz w:val="22"/>
                <w:szCs w:val="22"/>
              </w:rPr>
              <w:t xml:space="preserve">Portfolio Management</w:t>
            </w:r>
          </w:p>
          <w:p>
            <w:r>
              <w:rPr>
                <w:rFonts w:ascii="Calibri" w:eastAsia="Calibri" w:hAnsi="Calibri" w:cs="Calibri"/>
                <w:color w:val="333333"/>
                <w:sz w:val="22"/>
                <w:szCs w:val="22"/>
              </w:rPr>
              <w:t xml:space="preserve">Quantitative Methods</w:t>
            </w:r>
          </w:p>
          <w:p>
            <w:r>
              <w:rPr>
                <w:rFonts w:ascii="Calibri" w:eastAsia="Calibri" w:hAnsi="Calibri" w:cs="Calibri"/>
                <w:color w:val="333333"/>
                <w:sz w:val="22"/>
                <w:szCs w:val="22"/>
              </w:rPr>
              <w:t xml:space="preserve">Statistical Analysis</w:t>
            </w:r>
          </w:p>
          <w:p>
            <w:r>
              <w:rPr>
                <w:rFonts w:ascii="Calibri" w:eastAsia="Calibri" w:hAnsi="Calibri" w:cs="Calibri"/>
                <w:color w:val="333333"/>
                <w:sz w:val="22"/>
                <w:szCs w:val="22"/>
              </w:rPr>
              <w:t xml:space="preserve">M&amp;A Due Diligence</w:t>
            </w:r>
          </w:p>
        </w:tc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rFonts w:ascii="Calibri" w:eastAsia="Calibri" w:hAnsi="Calibri" w:cs="Calibri"/>
                <w:color w:val="333333"/>
                <w:sz w:val="22"/>
                <w:szCs w:val="22"/>
              </w:rPr>
              <w:t xml:space="preserve">Predictive Modeling</w:t>
            </w:r>
          </w:p>
          <w:p>
            <w:r>
              <w:rPr>
                <w:rFonts w:ascii="Calibri" w:eastAsia="Calibri" w:hAnsi="Calibri" w:cs="Calibri"/>
                <w:color w:val="333333"/>
                <w:sz w:val="22"/>
                <w:szCs w:val="22"/>
              </w:rPr>
              <w:t xml:space="preserve">Python</w:t>
            </w:r>
          </w:p>
          <w:p>
            <w:r>
              <w:rPr>
                <w:rFonts w:ascii="Calibri" w:eastAsia="Calibri" w:hAnsi="Calibri" w:cs="Calibri"/>
                <w:color w:val="333333"/>
                <w:sz w:val="22"/>
                <w:szCs w:val="22"/>
              </w:rPr>
              <w:t xml:space="preserve">FP&amp;A &amp; Budgeting</w:t>
            </w:r>
          </w:p>
          <w:p>
            <w:r>
              <w:rPr>
                <w:rFonts w:ascii="Calibri" w:eastAsia="Calibri" w:hAnsi="Calibri" w:cs="Calibri"/>
                <w:color w:val="333333"/>
                <w:sz w:val="22"/>
                <w:szCs w:val="22"/>
              </w:rPr>
              <w:t xml:space="preserve">Sensitivity Analysis</w:t>
            </w:r>
          </w:p>
          <w:p>
            <w:r>
              <w:rPr>
                <w:rFonts w:ascii="Calibri" w:eastAsia="Calibri" w:hAnsi="Calibri" w:cs="Calibri"/>
                <w:color w:val="333333"/>
                <w:sz w:val="22"/>
                <w:szCs w:val="22"/>
              </w:rPr>
              <w:t xml:space="preserve">Advanced Automation</w:t>
            </w:r>
          </w:p>
        </w:tc>
      </w:tr>
    </w:tbl>
    <w:p>
      <w:pPr>
        <w:pBdr>
          <w:bottom w:val="single" w:color="000000" w:sz="1" w:space="0"/>
        </w:pBdr>
        <w:spacing w:before="240" w:after="120"/>
      </w:pPr>
      <w:r>
        <w:rPr>
          <w:rFonts w:ascii="Calibri" w:eastAsia="Calibri" w:hAnsi="Calibri" w:cs="Calibri"/>
          <w:b/>
          <w:bCs/>
          <w:caps/>
          <w:color w:val="000000"/>
          <w:sz w:val="24"/>
          <w:szCs w:val="24"/>
        </w:rPr>
        <w:t xml:space="preserve">Professional Experience</w:t>
      </w:r>
    </w:p>
    <w:p>
      <w:pPr>
        <w:spacing w:before="180" w:after="60"/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Hearthfire Holdings — Senior Business Intelligence Architect</w:t>
      </w:r>
    </w:p>
    <w:p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Wilmington, DE • 03/2025 – Present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Designed and built secure web-based analytics portal with backend database infrastructure, delivering dynamic dashboards with interactive charts and real-time portfolio visualization for institutional investors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Developed AI-integrated document management platform featuring automated document summarization, intelligent search capabilities, and dynamic lending statistics visualizations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Transformed enterprise underwriting model from Excel to full-stack web application, maintaining complex financial logic while enhancing user experience through intuitive interface design and automated workflows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Engineered capital stack financing tools enabling multi-tier investment analysis, automated waterfall calculations, and scenario modeling across preferred equity, common equity, and debt structures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Developed Python-based data transformation pipelines to extract, process, and summarize complex datasets from multiple PDF and Excel sources into actionable analytics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Rebuilt existing Excel-based underwriting model to a more sophisticated, accurate, and user-friendly tool</w:t>
      </w:r>
    </w:p>
    <w:p>
      <w:pPr>
        <w:spacing w:before="180" w:after="60"/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Top Hat CRE — Director, Investment Analytics</w:t>
      </w:r>
    </w:p>
    <w:p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Wilmington, DE • 01/2022 – 12/2024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Engineered comprehensive real estate investment models in Excel for institutional-grade underwriting, resulting in successful evaluation of 100+ commercial assets across multifamily, self-storage, and mixed-use sectors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Developed proprietary Python/HTML analytics platform for deal pipeline management, investment metrics tracking, and portfolio performance analysis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Automated institutional investor reporting workflows through Python scripting, reducing report generation time by 90% while enhancing data accuracy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Drove investment strategy through advanced financial modeling, sensitivity analysis, and risk assessment for institutional investors and board members</w:t>
      </w:r>
    </w:p>
    <w:p>
      <w:pPr>
        <w:pStyle w:val="ListParagraph"/>
        <w:numPr>
          <w:ilvl w:val="0"/>
          <w:numId w:val="3"/>
        </w:numPr>
        <w:spacing w:after="50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Managed complex fund modeling including IRR calculations, waterfall distributions, and investment performance metrics for institutional-quality assets</w:t>
      </w:r>
    </w:p>
    <w:p>
      <w:pPr>
        <w:spacing w:before="180" w:after="60"/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OneMain Financial — Quantitative Analytics Lead</w:t>
      </w:r>
    </w:p>
    <w:p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Wilmington, DE • 01/2017 – 12/2021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Led quantitative analysis for $1B+ in portfolio acquisitions using statistical modeling and machine learning techniques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Implemented automated credit risk models in Excel achieving 90% accuracy in delinquency forecasting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Developed comprehensive profitability analysis framework incorporating risk-adjusted returns and portfolio optimization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Created predictive analytics models via Excel/Python to evaluate credit risk factors and borrower behavior patterns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Established enterprise-wide modeling standards for portfolio valuation and risk assessment</w:t>
      </w:r>
    </w:p>
    <w:p>
      <w:pPr>
        <w:spacing w:before="180" w:after="60"/>
      </w:pPr>
      <w:r>
        <w:rPr>
          <w:rFonts w:ascii="Calibri" w:eastAsia="Calibri" w:hAnsi="Calibri" w:cs="Calibri"/>
          <w:b/>
          <w:bCs/>
          <w:color w:val="000000"/>
          <w:sz w:val="24"/>
          <w:szCs w:val="24"/>
        </w:rPr>
        <w:t xml:space="preserve">Pro Capital, LLC — Senior Quantitative/Modeling Analyst</w:t>
      </w:r>
    </w:p>
    <w:p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Philadelphia, PA • 01/2015 – 01/2017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Sole source of financial modeling and analysis for a Private Equity Real Estate Investment firm managing six unique investment funds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Created complex five-year pro forma financials and multi-variable sensitivity analysis for each fund, anticipating changes in borrowing base, asset acquisition, and asset redemption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Engineered modeling breakthroughs to accurately forecast leverage based on targeted cash balance and automatically trigger fund sunset/redemption based on multiple variables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Presented fund performance to board members and investors on an ongoing basis; produced all presentation materials for the CEO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Calibri" w:eastAsia="Calibri" w:hAnsi="Calibri" w:cs="Calibri"/>
          <w:color w:val="333333"/>
          <w:sz w:val="22"/>
          <w:szCs w:val="22"/>
        </w:rPr>
        <w:t xml:space="preserve">Created ad-hoc financial models and statistical analyses for lending banks, board members, and investors</w:t>
      </w:r>
    </w:p>
    <w:p>
      <w:pPr>
        <w:pBdr>
          <w:bottom w:val="single" w:color="000000" w:sz="1" w:space="0"/>
        </w:pBdr>
        <w:spacing w:before="240" w:after="120"/>
      </w:pPr>
      <w:r>
        <w:rPr>
          <w:rFonts w:ascii="Calibri" w:eastAsia="Calibri" w:hAnsi="Calibri" w:cs="Calibri"/>
          <w:b/>
          <w:bCs/>
          <w:caps/>
          <w:color w:val="000000"/>
          <w:sz w:val="24"/>
          <w:szCs w:val="24"/>
        </w:rPr>
        <w:t xml:space="preserve">Education</w:t>
      </w:r>
    </w:p>
    <w:p>
      <w:pPr>
        <w:spacing w:before="120" w:after="4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 xml:space="preserve">University of Delaware</w:t>
      </w:r>
      <w:r>
        <w:rPr>
          <w:rFonts w:ascii="Calibri" w:eastAsia="Calibri" w:hAnsi="Calibri" w:cs="Calibri"/>
          <w:color w:val="333333"/>
          <w:sz w:val="22"/>
          <w:szCs w:val="22"/>
        </w:rPr>
        <w:t xml:space="preserve"> — Newark, DE</w:t>
      </w:r>
    </w:p>
    <w:p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MBA: Finance</w:t>
      </w:r>
    </w:p>
    <w:p>
      <w:pPr>
        <w:spacing w:before="120" w:after="4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 xml:space="preserve">Augusta State University</w:t>
      </w:r>
      <w:r>
        <w:rPr>
          <w:rFonts w:ascii="Calibri" w:eastAsia="Calibri" w:hAnsi="Calibri" w:cs="Calibri"/>
          <w:color w:val="333333"/>
          <w:sz w:val="22"/>
          <w:szCs w:val="22"/>
        </w:rPr>
        <w:t xml:space="preserve"> — Augusta, GA</w:t>
      </w:r>
    </w:p>
    <w:p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BBA: Finance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ListParagraph">
    <w:name w:val="List Paragraph"/>
    <w:basedOn w:val="Normal"/>
    <w:pPr>
      <w:ind w:left="360" w:hanging="18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2026-03-24T16:10:45.735Z</dcterms:created>
  <dcterms:modified xsi:type="dcterms:W3CDTF">2026-03-24T16:10:45.736Z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